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4E" w:rsidRPr="00B12B4E" w:rsidRDefault="00B12B4E" w:rsidP="00B12B4E">
      <w:pPr>
        <w:jc w:val="both"/>
        <w:rPr>
          <w:rFonts w:ascii="Times New Roman" w:hAnsi="Times New Roman" w:cs="Times New Roman"/>
          <w:sz w:val="24"/>
        </w:rPr>
      </w:pPr>
      <w:r w:rsidRPr="00B12B4E">
        <w:rPr>
          <w:rFonts w:ascii="Times New Roman" w:hAnsi="Times New Roman" w:cs="Times New Roman"/>
          <w:sz w:val="24"/>
        </w:rPr>
        <w:t>W roku 2019 Rada Miejska Legnicy rozpatrzyła jedną petycję.</w:t>
      </w:r>
    </w:p>
    <w:p w:rsidR="00946CC5" w:rsidRPr="00B12B4E" w:rsidRDefault="00B12B4E" w:rsidP="00B12B4E">
      <w:pPr>
        <w:jc w:val="both"/>
        <w:rPr>
          <w:rFonts w:ascii="Times New Roman" w:hAnsi="Times New Roman" w:cs="Times New Roman"/>
          <w:sz w:val="24"/>
        </w:rPr>
      </w:pPr>
      <w:r w:rsidRPr="00B12B4E">
        <w:rPr>
          <w:rFonts w:ascii="Times New Roman" w:hAnsi="Times New Roman" w:cs="Times New Roman"/>
          <w:sz w:val="24"/>
        </w:rPr>
        <w:t>Petycja na mocy uchwały Rady Miejskiej Legnicy z 25 listopada 2019 r. nr XIV/212/19 została odrzucona.</w:t>
      </w:r>
    </w:p>
    <w:sectPr w:rsidR="00946CC5" w:rsidRPr="00B12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12B4E"/>
    <w:rsid w:val="00946CC5"/>
    <w:rsid w:val="00B1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140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3</cp:revision>
  <dcterms:created xsi:type="dcterms:W3CDTF">2020-09-04T09:38:00Z</dcterms:created>
  <dcterms:modified xsi:type="dcterms:W3CDTF">2020-09-04T09:43:00Z</dcterms:modified>
</cp:coreProperties>
</file>