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6218" w:rsidRDefault="009E6218">
      <w:pPr>
        <w:rPr>
          <w:rFonts w:ascii="Times New Roman" w:hAnsi="Times New Roman" w:cs="Times New Roman"/>
          <w:sz w:val="24"/>
        </w:rPr>
      </w:pPr>
      <w:r w:rsidRPr="009E6218">
        <w:rPr>
          <w:rFonts w:ascii="Times New Roman" w:hAnsi="Times New Roman" w:cs="Times New Roman"/>
          <w:sz w:val="24"/>
        </w:rPr>
        <w:t>W roku 2018 nie wpłynęły petycje do rozpatrzenia przez Komisję Rewizyjną.</w:t>
      </w:r>
    </w:p>
    <w:p w:rsidR="009E6218" w:rsidRPr="009E6218" w:rsidRDefault="009E6218">
      <w:pPr>
        <w:rPr>
          <w:rFonts w:ascii="Times New Roman" w:hAnsi="Times New Roman" w:cs="Times New Roman"/>
          <w:b/>
          <w:sz w:val="24"/>
        </w:rPr>
      </w:pPr>
    </w:p>
    <w:sectPr w:rsidR="009E6218" w:rsidRPr="009E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E6218"/>
    <w:rsid w:val="009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2019-07-01T07:22:00Z</dcterms:created>
  <dcterms:modified xsi:type="dcterms:W3CDTF">2019-07-01T07:27:00Z</dcterms:modified>
</cp:coreProperties>
</file>