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UMOWA SPRZEDAŻY NR ……….</w:t>
      </w:r>
    </w:p>
    <w:p>
      <w:pPr>
        <w:pStyle w:val="style0"/>
        <w:jc w:val="center"/>
      </w:pPr>
      <w:r>
        <w:rPr>
          <w:rFonts w:ascii="Calibri" w:hAnsi="Calibri"/>
          <w:bCs/>
          <w:color w:val="000000"/>
          <w:sz w:val="20"/>
          <w:szCs w:val="20"/>
        </w:rPr>
        <w:t xml:space="preserve">zawarta  </w:t>
      </w:r>
      <w:r>
        <w:rPr>
          <w:rFonts w:ascii="Calibri" w:hAnsi="Calibri"/>
          <w:color w:val="000000"/>
          <w:sz w:val="20"/>
          <w:szCs w:val="20"/>
        </w:rPr>
        <w:t>w dniu ……………… w Legnicy</w:t>
      </w:r>
    </w:p>
    <w:p>
      <w:pPr>
        <w:pStyle w:val="style0"/>
        <w:spacing w:line="360" w:lineRule="auto"/>
        <w:jc w:val="both"/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Calibri" w:hAnsi="Calibri"/>
          <w:color w:val="000000"/>
          <w:sz w:val="20"/>
          <w:szCs w:val="20"/>
        </w:rPr>
        <w:t>pomiędzy</w:t>
      </w:r>
    </w:p>
    <w:p>
      <w:pPr>
        <w:pStyle w:val="style0"/>
        <w:jc w:val="both"/>
      </w:pPr>
      <w:r>
        <w:rPr>
          <w:rFonts w:ascii="Calibri" w:hAnsi="Calibri"/>
          <w:b/>
          <w:bCs/>
          <w:color w:val="000000"/>
          <w:sz w:val="20"/>
          <w:szCs w:val="20"/>
        </w:rPr>
        <w:t>Legnickim Przedsiębiorstwem Gospodarki Komunalnej Sp. z o. o. z siedzibą w Legnicy (59-220) przy                         ul. Nowodworskiej 60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zarejestrowaną w Sądzie Rejonowym dla Wrocławia Fabrycznej, IX Wydział Gospodarczy Krajowego Rejestru Sądowego, nr KRS 0000124337, 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NIP 691-020-39-67, REGON 390081536, kapitał zakładowy: 17.567.390,00 zł, 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telefon 76/ 856-63-50, fax 76/ 856-63-55, 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>zwaną dalej „</w:t>
      </w:r>
      <w:r>
        <w:rPr>
          <w:rFonts w:ascii="Calibri" w:hAnsi="Calibri"/>
          <w:b/>
          <w:bCs/>
          <w:color w:val="000000"/>
          <w:sz w:val="20"/>
          <w:szCs w:val="20"/>
        </w:rPr>
        <w:t>SPRZEDAWCĄ</w:t>
      </w:r>
      <w:r>
        <w:rPr>
          <w:rFonts w:ascii="Calibri" w:hAnsi="Calibri"/>
          <w:color w:val="000000"/>
          <w:sz w:val="20"/>
          <w:szCs w:val="20"/>
        </w:rPr>
        <w:t>”, reprezentowaną przez: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>Józefa Wasinkiewicza – Prezesa Zarządu</w:t>
      </w:r>
    </w:p>
    <w:p>
      <w:pPr>
        <w:pStyle w:val="style0"/>
        <w:spacing w:line="360" w:lineRule="auto"/>
        <w:jc w:val="center"/>
      </w:pPr>
      <w:r>
        <w:rPr>
          <w:rFonts w:ascii="Calibri" w:hAnsi="Calibri"/>
          <w:color w:val="000000"/>
          <w:sz w:val="20"/>
          <w:szCs w:val="20"/>
        </w:rPr>
        <w:t>a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>zwanym dalej „</w:t>
      </w:r>
      <w:r>
        <w:rPr>
          <w:rFonts w:ascii="Calibri" w:hAnsi="Calibri"/>
          <w:b/>
          <w:bCs/>
          <w:color w:val="000000"/>
          <w:sz w:val="20"/>
          <w:szCs w:val="20"/>
        </w:rPr>
        <w:t>KUPUJĄCYM</w:t>
      </w:r>
      <w:r>
        <w:rPr>
          <w:rFonts w:ascii="Calibri" w:hAnsi="Calibri"/>
          <w:color w:val="000000"/>
          <w:sz w:val="20"/>
          <w:szCs w:val="20"/>
        </w:rPr>
        <w:t>”, reprezentowanym przez:</w:t>
      </w:r>
    </w:p>
    <w:p>
      <w:pPr>
        <w:pStyle w:val="style0"/>
        <w:spacing w:after="120" w:before="120"/>
        <w:contextualSpacing w:val="false"/>
        <w:jc w:val="both"/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</w:rPr>
        <w:t>.</w:t>
      </w:r>
    </w:p>
    <w:p>
      <w:pPr>
        <w:pStyle w:val="style0"/>
        <w:tabs>
          <w:tab w:leader="none" w:pos="7230" w:val="left"/>
        </w:tabs>
        <w:jc w:val="center"/>
      </w:pPr>
      <w:r>
        <w:rPr>
          <w:rFonts w:ascii="Calibri" w:eastAsia="Batang" w:hAnsi="Calibri"/>
          <w:b/>
          <w:bCs/>
          <w:color w:val="000000"/>
          <w:sz w:val="20"/>
          <w:szCs w:val="20"/>
        </w:rPr>
        <w:t>§ 1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alibri" w:eastAsia="Batang" w:hAnsi="Calibri"/>
          <w:color w:val="000000"/>
          <w:sz w:val="20"/>
          <w:szCs w:val="20"/>
        </w:rPr>
        <w:t>Strony oświadczają, że podczas przetargu ustnego (publicznej licytacji) przeprowadzonego w dniu ……………..…  Kupujący zaoferował najwyższą cenę za środek trwały określony w ust. 2, w wyniku czego udzielono mu przybicia.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3739" w:val="left"/>
        </w:tabs>
        <w:suppressAutoHyphens w:val="true"/>
        <w:jc w:val="both"/>
      </w:pPr>
      <w:r>
        <w:rPr>
          <w:rFonts w:ascii="Calibri" w:eastAsia="Batang" w:hAnsi="Calibri"/>
          <w:color w:val="000000"/>
          <w:sz w:val="20"/>
          <w:szCs w:val="20"/>
        </w:rPr>
        <w:t>Sprzedawca oświadcza, że jest wyłącznym właścicielem …………………….. (nazwa środka trwałego), którego sprzedaż stanowi przedmiot umowy.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3739" w:val="left"/>
        </w:tabs>
        <w:suppressAutoHyphens w:val="true"/>
        <w:jc w:val="both"/>
      </w:pPr>
      <w:r>
        <w:rPr>
          <w:rFonts w:ascii="Calibri" w:eastAsia="Batang" w:hAnsi="Calibri"/>
          <w:color w:val="000000"/>
          <w:sz w:val="20"/>
          <w:szCs w:val="20"/>
        </w:rPr>
        <w:t xml:space="preserve">Sprzedawca oświadcza, że opisany w ust. 2 środek trwały jest wolny od wszelkich wad prawnych, w tym praw osób trzecich i jakichkolwiek innych obciążeń i zabezpieczeń. 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3739" w:val="left"/>
        </w:tabs>
        <w:suppressAutoHyphens w:val="true"/>
        <w:jc w:val="both"/>
      </w:pPr>
      <w:r>
        <w:rPr>
          <w:rFonts w:ascii="Calibri" w:hAnsi="Calibri"/>
          <w:color w:val="000000"/>
          <w:sz w:val="20"/>
          <w:szCs w:val="20"/>
        </w:rPr>
        <w:t>Kupujący oświadcza, że dokonał oględzin środka trwałego, o którym mowa w ust. 2.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13739" w:val="left"/>
        </w:tabs>
        <w:suppressAutoHyphens w:val="true"/>
        <w:jc w:val="both"/>
      </w:pPr>
      <w:r>
        <w:rPr>
          <w:rFonts w:ascii="Calibri" w:hAnsi="Calibri"/>
          <w:color w:val="000000"/>
          <w:sz w:val="20"/>
          <w:szCs w:val="20"/>
        </w:rPr>
        <w:t>Kupujący oświadcza, że znany jest mu stan techniczny środka trwałego, jego właściwości, wszystkie parametry a także wygląd oraz,  że nie będzie wnosił w tym zakresie żadnych zastrzeżeń.</w:t>
      </w:r>
    </w:p>
    <w:p>
      <w:pPr>
        <w:pStyle w:val="style0"/>
        <w:tabs>
          <w:tab w:leader="none" w:pos="7230" w:val="left"/>
        </w:tabs>
        <w:jc w:val="center"/>
      </w:pPr>
      <w:r>
        <w:rPr>
          <w:rFonts w:ascii="Calibri" w:eastAsia="Batang" w:hAnsi="Calibri"/>
          <w:b/>
          <w:bCs/>
          <w:color w:val="000000"/>
          <w:sz w:val="20"/>
          <w:szCs w:val="20"/>
        </w:rPr>
      </w:r>
    </w:p>
    <w:p>
      <w:pPr>
        <w:pStyle w:val="style0"/>
        <w:tabs>
          <w:tab w:leader="none" w:pos="7230" w:val="left"/>
        </w:tabs>
        <w:jc w:val="center"/>
      </w:pPr>
      <w:r>
        <w:rPr>
          <w:rFonts w:ascii="Calibri" w:eastAsia="Batang" w:hAnsi="Calibri"/>
          <w:b/>
          <w:bCs/>
          <w:color w:val="000000"/>
          <w:sz w:val="20"/>
          <w:szCs w:val="20"/>
        </w:rPr>
        <w:t>§ 2</w:t>
      </w:r>
    </w:p>
    <w:p>
      <w:pPr>
        <w:pStyle w:val="style0"/>
        <w:tabs>
          <w:tab w:leader="none" w:pos="7514" w:val="left"/>
        </w:tabs>
        <w:ind w:hanging="284" w:left="284" w:right="0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1. Sprzedawca sprzedaje, a Kupujący kupuje środek trwały opisany w </w:t>
      </w:r>
      <w:r>
        <w:rPr>
          <w:rFonts w:ascii="Calibri" w:eastAsia="Batang" w:hAnsi="Calibri"/>
          <w:bCs/>
          <w:color w:val="000000"/>
          <w:sz w:val="20"/>
          <w:szCs w:val="20"/>
        </w:rPr>
        <w:t>§1</w:t>
      </w:r>
      <w:r>
        <w:rPr>
          <w:rFonts w:ascii="Calibri" w:hAnsi="Calibri"/>
          <w:color w:val="000000"/>
          <w:sz w:val="20"/>
          <w:szCs w:val="20"/>
        </w:rPr>
        <w:t xml:space="preserve"> ust. 2 za kwotę: ……………….. zł brutto (słownie: …………………..).</w:t>
      </w:r>
    </w:p>
    <w:p>
      <w:pPr>
        <w:pStyle w:val="style0"/>
        <w:jc w:val="both"/>
      </w:pPr>
      <w:r>
        <w:rPr>
          <w:rFonts w:ascii="Calibri" w:hAnsi="Calibri"/>
          <w:color w:val="000000"/>
          <w:sz w:val="20"/>
          <w:szCs w:val="20"/>
        </w:rPr>
        <w:t>2. Rozliczenie za przedmiot umowy nastąpi na podstawie faktury wystawionej przez Sprzedawcę.</w:t>
      </w:r>
    </w:p>
    <w:p>
      <w:pPr>
        <w:pStyle w:val="style0"/>
        <w:ind w:hanging="284" w:left="284" w:right="0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3. Kupujący przekaże należność przelewem na konto Sprzedającego w terminie 7 dni od daty otrzymania prawidłowo wystawionej faktury. </w:t>
      </w:r>
    </w:p>
    <w:p>
      <w:pPr>
        <w:pStyle w:val="style0"/>
        <w:ind w:hanging="142" w:left="142" w:right="0"/>
        <w:jc w:val="both"/>
      </w:pPr>
      <w:r>
        <w:rPr>
          <w:rFonts w:ascii="Calibri" w:hAnsi="Calibri"/>
          <w:color w:val="000000"/>
          <w:sz w:val="20"/>
          <w:szCs w:val="20"/>
        </w:rPr>
        <w:t>4. Jeżeli należność nie zostanie uregulowana w ustalonym terminie, Wykonawca będzie miał prawo naliczyć Zamawiającemu odsetki ustawowe zgodnie z obowiązującymi przepisami prawa, za każdy rozpoczęty dzień opóźnienia.</w:t>
      </w:r>
    </w:p>
    <w:p>
      <w:pPr>
        <w:pStyle w:val="style0"/>
        <w:ind w:hanging="0" w:left="283" w:right="0"/>
        <w:jc w:val="both"/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style0"/>
        <w:tabs>
          <w:tab w:leader="none" w:pos="7230" w:val="left"/>
        </w:tabs>
        <w:jc w:val="center"/>
      </w:pPr>
      <w:r>
        <w:rPr>
          <w:rFonts w:ascii="Calibri" w:eastAsia="Batang" w:hAnsi="Calibri"/>
          <w:b/>
          <w:bCs/>
          <w:color w:val="000000"/>
          <w:sz w:val="20"/>
          <w:szCs w:val="20"/>
        </w:rPr>
        <w:t>§ 3</w:t>
      </w:r>
    </w:p>
    <w:p>
      <w:pPr>
        <w:pStyle w:val="style0"/>
        <w:numPr>
          <w:ilvl w:val="0"/>
          <w:numId w:val="2"/>
        </w:numPr>
        <w:tabs>
          <w:tab w:leader="none" w:pos="568" w:val="left"/>
          <w:tab w:leader="none" w:pos="7514" w:val="left"/>
        </w:tabs>
        <w:ind w:hanging="284" w:left="284" w:right="0"/>
        <w:jc w:val="both"/>
      </w:pPr>
      <w:r>
        <w:rPr>
          <w:rFonts w:ascii="Calibri" w:eastAsia="Batang" w:hAnsi="Calibri"/>
          <w:color w:val="000000"/>
          <w:sz w:val="20"/>
          <w:szCs w:val="20"/>
        </w:rPr>
        <w:t xml:space="preserve">Wydanie przedmiotu umowy nastąpi niezwłocznie po zapłaceniu ceny, o której mowa w </w:t>
      </w:r>
      <w:r>
        <w:rPr>
          <w:rFonts w:ascii="Calibri" w:eastAsia="Batang" w:hAnsi="Calibri"/>
          <w:bCs/>
          <w:color w:val="000000"/>
          <w:sz w:val="20"/>
          <w:szCs w:val="20"/>
        </w:rPr>
        <w:t>§2 ust. 1</w:t>
      </w:r>
      <w:r>
        <w:rPr>
          <w:rFonts w:ascii="Calibri" w:eastAsia="Batang" w:hAnsi="Calibri"/>
          <w:color w:val="000000"/>
          <w:sz w:val="20"/>
          <w:szCs w:val="20"/>
        </w:rPr>
        <w:t>. Fakt wydania przedmiotu umowy zostanie potwierdzony stosownym protokołem.</w:t>
      </w:r>
    </w:p>
    <w:p>
      <w:pPr>
        <w:pStyle w:val="style0"/>
        <w:numPr>
          <w:ilvl w:val="0"/>
          <w:numId w:val="2"/>
        </w:numPr>
        <w:tabs>
          <w:tab w:leader="none" w:pos="568" w:val="left"/>
          <w:tab w:leader="none" w:pos="7514" w:val="left"/>
        </w:tabs>
        <w:ind w:hanging="284" w:left="284" w:right="0"/>
        <w:jc w:val="both"/>
      </w:pPr>
      <w:r>
        <w:rPr>
          <w:rFonts w:ascii="Calibri" w:eastAsia="Batang" w:hAnsi="Calibri"/>
          <w:color w:val="000000"/>
          <w:sz w:val="20"/>
          <w:szCs w:val="20"/>
        </w:rPr>
        <w:t>Wraz z wydaniem przedmiotu umowy Sprzedawca przekaże Kupującemu  wszelkie posiadane przez niego dokumenty dotyczące danego środka trwałego.</w:t>
      </w:r>
    </w:p>
    <w:p>
      <w:pPr>
        <w:pStyle w:val="style34"/>
        <w:numPr>
          <w:ilvl w:val="0"/>
          <w:numId w:val="2"/>
        </w:numPr>
        <w:tabs>
          <w:tab w:leader="none" w:pos="568" w:val="left"/>
        </w:tabs>
        <w:ind w:hanging="284" w:left="284" w:right="0"/>
        <w:jc w:val="both"/>
      </w:pPr>
      <w:r>
        <w:rPr>
          <w:rFonts w:ascii="Calibri" w:hAnsi="Calibri"/>
          <w:color w:val="000000"/>
          <w:sz w:val="20"/>
          <w:szCs w:val="20"/>
        </w:rPr>
        <w:t>Strony ustaliły, że wszelkiego rodzaju koszty wynikające z realizacji  umowy obciążają Kupującego.</w:t>
      </w:r>
    </w:p>
    <w:p>
      <w:pPr>
        <w:pStyle w:val="style0"/>
        <w:tabs>
          <w:tab w:leader="none" w:pos="7230" w:val="left"/>
        </w:tabs>
        <w:jc w:val="center"/>
      </w:pPr>
      <w:r>
        <w:rPr>
          <w:rFonts w:ascii="Calibri" w:eastAsia="Batang" w:hAnsi="Calibri"/>
          <w:b/>
          <w:bCs/>
          <w:color w:val="000000"/>
          <w:sz w:val="20"/>
          <w:szCs w:val="20"/>
        </w:rPr>
      </w:r>
    </w:p>
    <w:p>
      <w:pPr>
        <w:pStyle w:val="style0"/>
        <w:tabs>
          <w:tab w:leader="none" w:pos="7230" w:val="left"/>
        </w:tabs>
        <w:jc w:val="center"/>
      </w:pPr>
      <w:r>
        <w:rPr>
          <w:rFonts w:ascii="Calibri" w:eastAsia="Batang" w:hAnsi="Calibri"/>
          <w:b/>
          <w:bCs/>
          <w:color w:val="000000"/>
          <w:sz w:val="20"/>
          <w:szCs w:val="20"/>
        </w:rPr>
        <w:t>§ 4</w:t>
      </w:r>
    </w:p>
    <w:p>
      <w:pPr>
        <w:pStyle w:val="style0"/>
        <w:widowControl w:val="false"/>
        <w:numPr>
          <w:ilvl w:val="2"/>
          <w:numId w:val="3"/>
        </w:numPr>
        <w:suppressAutoHyphens w:val="true"/>
        <w:ind w:hanging="284" w:left="284" w:right="0"/>
        <w:jc w:val="both"/>
      </w:pPr>
      <w:r>
        <w:rPr>
          <w:rFonts w:ascii="Calibri" w:eastAsia="Batang" w:hAnsi="Calibri"/>
          <w:color w:val="000000"/>
          <w:sz w:val="20"/>
          <w:szCs w:val="20"/>
        </w:rPr>
        <w:t>W sprawach nieuregulowanych w niniejszej umowie będą miały zastosowanie przepisy Kodeksu cywilnego.</w:t>
      </w:r>
    </w:p>
    <w:p>
      <w:pPr>
        <w:pStyle w:val="style0"/>
        <w:numPr>
          <w:ilvl w:val="2"/>
          <w:numId w:val="3"/>
        </w:numPr>
        <w:ind w:hanging="284" w:left="284" w:right="0"/>
        <w:jc w:val="both"/>
      </w:pPr>
      <w:r>
        <w:rPr>
          <w:rFonts w:ascii="Calibri" w:hAnsi="Calibri"/>
          <w:color w:val="000000"/>
          <w:sz w:val="20"/>
          <w:szCs w:val="20"/>
        </w:rPr>
        <w:t>Umowa została sporządzona w trzech jednobrzmiących egzemplarzach: 2 egzemplarze dla Sprzedawcy i             1 egzemplarz dla Kupującego.</w:t>
      </w:r>
    </w:p>
    <w:p>
      <w:pPr>
        <w:pStyle w:val="style0"/>
        <w:jc w:val="both"/>
      </w:pPr>
      <w:r>
        <w:rPr>
          <w:rFonts w:ascii="Calibri" w:hAnsi="Calibri"/>
          <w:b/>
          <w:bCs/>
          <w:color w:val="000000"/>
          <w:sz w:val="20"/>
          <w:szCs w:val="20"/>
        </w:rPr>
      </w:r>
    </w:p>
    <w:p>
      <w:pPr>
        <w:pStyle w:val="style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SPRZEDAWCA</w:t>
        <w:tab/>
        <w:tab/>
      </w:r>
      <w:r>
        <w:rPr>
          <w:rFonts w:ascii="Calibri" w:hAnsi="Calibri"/>
          <w:color w:val="000000"/>
          <w:sz w:val="20"/>
          <w:szCs w:val="20"/>
        </w:rPr>
        <w:tab/>
        <w:tab/>
        <w:tab/>
        <w:tab/>
        <w:t xml:space="preserve">            </w:t>
      </w:r>
      <w:r>
        <w:rPr>
          <w:rFonts w:ascii="Calibri" w:hAnsi="Calibri"/>
          <w:b/>
          <w:bCs/>
          <w:color w:val="000000"/>
          <w:sz w:val="20"/>
          <w:szCs w:val="20"/>
        </w:rPr>
        <w:t>KUPUJĄCY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76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sz w:val="16"/>
        <w:szCs w:val="16"/>
      </w:rPr>
    </w:r>
  </w:p>
  <w:p>
    <w:pPr>
      <w:pStyle w:val="style0"/>
      <w:widowControl w:val="false"/>
      <w:suppressAutoHyphens w:val="true"/>
      <w:jc w:val="both"/>
    </w:pPr>
    <w:r>
      <w:rPr>
        <w:sz w:val="22"/>
        <w:szCs w:val="22"/>
      </w:rPr>
    </w:r>
  </w:p>
  <w:p>
    <w:pPr>
      <w:pStyle w:val="style32"/>
      <w:jc w:val="center"/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283" w:left="283"/>
      </w:pPr>
      <w:rPr>
        <w:b w:val="false"/>
        <w:bCs w:val="false"/>
      </w:rPr>
    </w:lvl>
    <w:lvl w:ilvl="1">
      <w:start w:val="1"/>
      <w:numFmt w:val="decimal"/>
      <w:lvlText w:val="%2"/>
      <w:lvlJc w:val="left"/>
      <w:pPr>
        <w:ind w:hanging="283" w:left="567"/>
      </w:pPr>
    </w:lvl>
    <w:lvl w:ilvl="2">
      <w:start w:val="1"/>
      <w:numFmt w:val="decimal"/>
      <w:lvlText w:val="%3"/>
      <w:lvlJc w:val="left"/>
      <w:pPr>
        <w:ind w:hanging="283" w:left="850"/>
      </w:pPr>
    </w:lvl>
    <w:lvl w:ilvl="3">
      <w:start w:val="1"/>
      <w:numFmt w:val="decimal"/>
      <w:lvlText w:val="%4"/>
      <w:lvlJc w:val="left"/>
      <w:pPr>
        <w:ind w:hanging="283" w:left="1134"/>
      </w:pPr>
    </w:lvl>
    <w:lvl w:ilvl="4">
      <w:start w:val="1"/>
      <w:numFmt w:val="decimal"/>
      <w:lvlText w:val="%5"/>
      <w:lvlJc w:val="left"/>
      <w:pPr>
        <w:ind w:hanging="283" w:left="1417"/>
      </w:pPr>
    </w:lvl>
    <w:lvl w:ilvl="5">
      <w:start w:val="1"/>
      <w:numFmt w:val="decimal"/>
      <w:lvlText w:val="%6"/>
      <w:lvlJc w:val="left"/>
      <w:pPr>
        <w:ind w:hanging="283" w:left="1701"/>
      </w:pPr>
    </w:lvl>
    <w:lvl w:ilvl="6">
      <w:start w:val="1"/>
      <w:numFmt w:val="decimal"/>
      <w:lvlText w:val="%7"/>
      <w:lvlJc w:val="left"/>
      <w:pPr>
        <w:ind w:hanging="283" w:left="1984"/>
      </w:pPr>
    </w:lvl>
    <w:lvl w:ilvl="7">
      <w:start w:val="1"/>
      <w:numFmt w:val="decimal"/>
      <w:lvlText w:val="%8"/>
      <w:lvlJc w:val="left"/>
      <w:pPr>
        <w:ind w:hanging="283" w:left="2268"/>
      </w:pPr>
    </w:lvl>
    <w:lvl w:ilvl="8">
      <w:start w:val="1"/>
      <w:numFmt w:val="decimal"/>
      <w:lvlText w:val="%9"/>
      <w:lvlJc w:val="left"/>
      <w:pPr>
        <w:ind w:hanging="283" w:left="2551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1353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3"/>
      <w:numFmt w:val="decimal"/>
      <w:lvlText w:val="%1"/>
      <w:lvlJc w:val="left"/>
      <w:pPr>
        <w:ind w:hanging="283" w:left="283"/>
      </w:pPr>
    </w:lvl>
    <w:lvl w:ilvl="1">
      <w:start w:val="1"/>
      <w:numFmt w:val="decimal"/>
      <w:lvlText w:val="%2"/>
      <w:lvlJc w:val="left"/>
      <w:pPr>
        <w:ind w:hanging="283" w:left="567"/>
      </w:pPr>
    </w:lvl>
    <w:lvl w:ilvl="2">
      <w:start w:val="1"/>
      <w:numFmt w:val="decimal"/>
      <w:lvlText w:val="%3"/>
      <w:lvlJc w:val="left"/>
      <w:pPr>
        <w:ind w:hanging="283" w:left="850"/>
      </w:pPr>
    </w:lvl>
    <w:lvl w:ilvl="3">
      <w:start w:val="1"/>
      <w:numFmt w:val="decimal"/>
      <w:lvlText w:val="%4"/>
      <w:lvlJc w:val="left"/>
      <w:pPr>
        <w:ind w:hanging="283" w:left="1134"/>
      </w:pPr>
    </w:lvl>
    <w:lvl w:ilvl="4">
      <w:start w:val="1"/>
      <w:numFmt w:val="decimal"/>
      <w:lvlText w:val="%5"/>
      <w:lvlJc w:val="left"/>
      <w:pPr>
        <w:ind w:hanging="283" w:left="1417"/>
      </w:pPr>
    </w:lvl>
    <w:lvl w:ilvl="5">
      <w:start w:val="1"/>
      <w:numFmt w:val="decimal"/>
      <w:lvlText w:val="%6"/>
      <w:lvlJc w:val="left"/>
      <w:pPr>
        <w:ind w:hanging="283" w:left="1701"/>
      </w:pPr>
    </w:lvl>
    <w:lvl w:ilvl="6">
      <w:start w:val="1"/>
      <w:numFmt w:val="decimal"/>
      <w:lvlText w:val="%7"/>
      <w:lvlJc w:val="left"/>
      <w:pPr>
        <w:ind w:hanging="283" w:left="1984"/>
      </w:pPr>
    </w:lvl>
    <w:lvl w:ilvl="7">
      <w:start w:val="1"/>
      <w:numFmt w:val="decimal"/>
      <w:lvlText w:val="%8"/>
      <w:lvlJc w:val="left"/>
      <w:pPr>
        <w:ind w:hanging="283" w:left="2268"/>
      </w:pPr>
    </w:lvl>
    <w:lvl w:ilvl="8">
      <w:start w:val="1"/>
      <w:numFmt w:val="decimal"/>
      <w:lvlText w:val="%9"/>
      <w:lvlJc w:val="left"/>
      <w:pPr>
        <w:ind w:hanging="283" w:left="2551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dolnego Znak"/>
    <w:basedOn w:val="style15"/>
    <w:next w:val="style16"/>
    <w:rPr>
      <w:rFonts w:ascii="Times New Roman" w:cs="Times New Roman" w:eastAsia="Calibri" w:hAnsi="Times New Roman"/>
      <w:sz w:val="20"/>
      <w:szCs w:val="20"/>
      <w:lang w:eastAsia="pl-PL"/>
    </w:rPr>
  </w:style>
  <w:style w:styleId="style17" w:type="character">
    <w:name w:val="Nagłówek Znak"/>
    <w:basedOn w:val="style15"/>
    <w:next w:val="style17"/>
    <w:rPr>
      <w:rFonts w:ascii="Times New Roman" w:cs="Times New Roman" w:eastAsia="Calibri" w:hAnsi="Times New Roman"/>
      <w:sz w:val="24"/>
      <w:szCs w:val="24"/>
      <w:lang w:eastAsia="pl-PL"/>
    </w:rPr>
  </w:style>
  <w:style w:styleId="style18" w:type="character">
    <w:name w:val="Stopka Znak"/>
    <w:basedOn w:val="style15"/>
    <w:next w:val="style18"/>
    <w:rPr>
      <w:rFonts w:ascii="Times New Roman" w:cs="Times New Roman" w:eastAsia="Calibri" w:hAnsi="Times New Roman"/>
      <w:sz w:val="24"/>
      <w:szCs w:val="24"/>
      <w:lang w:eastAsia="pl-PL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Łącze internetowe"/>
    <w:basedOn w:val="style15"/>
    <w:next w:val="style20"/>
    <w:rPr>
      <w:color w:val="0563C1"/>
      <w:u w:val="single"/>
      <w:lang w:bidi="zxx-" w:eastAsia="zxx-" w:val="zxx-"/>
    </w:rPr>
  </w:style>
  <w:style w:styleId="style21" w:type="character">
    <w:name w:val="Tekst dymka Znak"/>
    <w:basedOn w:val="style15"/>
    <w:next w:val="style21"/>
    <w:rPr>
      <w:rFonts w:ascii="Segoe UI" w:cs="Segoe UI" w:eastAsia="Calibri" w:hAnsi="Segoe UI"/>
      <w:sz w:val="18"/>
      <w:szCs w:val="18"/>
      <w:lang w:eastAsia="pl-PL"/>
    </w:rPr>
  </w:style>
  <w:style w:styleId="style22" w:type="character">
    <w:name w:val="ListLabel 1"/>
    <w:next w:val="style22"/>
    <w:rPr>
      <w:b w:val="false"/>
      <w:bCs w:val="false"/>
    </w:rPr>
  </w:style>
  <w:style w:styleId="style23" w:type="character">
    <w:name w:val="ListLabel 2"/>
    <w:next w:val="style23"/>
    <w:rPr>
      <w:rFonts w:eastAsia="Batang"/>
    </w:rPr>
  </w:style>
  <w:style w:styleId="style24" w:type="character">
    <w:name w:val="ListLabel 3"/>
    <w:next w:val="style24"/>
    <w:rPr>
      <w:b w:val="false"/>
      <w:bCs w:val="false"/>
      <w:strike w:val="false"/>
      <w:dstrike w:val="false"/>
      <w:color w:val="00000A"/>
    </w:rPr>
  </w:style>
  <w:style w:styleId="style25" w:type="character">
    <w:name w:val="ListLabel 4"/>
    <w:next w:val="style25"/>
    <w:rPr>
      <w:rFonts w:cs="Courier New"/>
    </w:rPr>
  </w:style>
  <w:style w:styleId="style26" w:type="paragraph">
    <w:name w:val="Nagłówek"/>
    <w:basedOn w:val="style0"/>
    <w:next w:val="style27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a"/>
    <w:basedOn w:val="style27"/>
    <w:next w:val="style28"/>
    <w:pPr/>
    <w:rPr>
      <w:rFonts w:cs="Arial Unicode MS"/>
    </w:rPr>
  </w:style>
  <w:style w:styleId="style29" w:type="paragraph">
    <w:name w:val="Podpis"/>
    <w:basedOn w:val="style0"/>
    <w:next w:val="style29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Arial Unicode MS"/>
    </w:rPr>
  </w:style>
  <w:style w:styleId="style31" w:type="paragraph">
    <w:name w:val="footnote text"/>
    <w:basedOn w:val="style0"/>
    <w:next w:val="style31"/>
    <w:pPr/>
    <w:rPr>
      <w:sz w:val="20"/>
      <w:szCs w:val="20"/>
    </w:rPr>
  </w:style>
  <w:style w:styleId="style32" w:type="paragraph">
    <w:name w:val="Główka"/>
    <w:basedOn w:val="style0"/>
    <w:next w:val="style32"/>
    <w:pPr>
      <w:tabs>
        <w:tab w:leader="none" w:pos="4536" w:val="center"/>
        <w:tab w:leader="none" w:pos="9072" w:val="right"/>
      </w:tabs>
    </w:pPr>
    <w:rPr/>
  </w:style>
  <w:style w:styleId="style33" w:type="paragraph">
    <w:name w:val="Stopka"/>
    <w:basedOn w:val="style0"/>
    <w:next w:val="style33"/>
    <w:pPr>
      <w:tabs>
        <w:tab w:leader="none" w:pos="4536" w:val="center"/>
        <w:tab w:leader="none" w:pos="9072" w:val="right"/>
      </w:tabs>
    </w:pPr>
    <w:rPr/>
  </w:style>
  <w:style w:styleId="style34" w:type="paragraph">
    <w:name w:val="List Paragraph"/>
    <w:basedOn w:val="style0"/>
    <w:next w:val="style34"/>
    <w:pPr>
      <w:suppressAutoHyphens w:val="true"/>
      <w:ind w:hanging="0" w:left="720" w:right="0"/>
    </w:pPr>
    <w:rPr>
      <w:rFonts w:eastAsia="Times New Roman"/>
      <w:lang w:eastAsia="ar-SA"/>
    </w:rPr>
  </w:style>
  <w:style w:styleId="style35" w:type="paragraph">
    <w:name w:val="Balloon Text"/>
    <w:basedOn w:val="style0"/>
    <w:next w:val="style35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2016-03-07T11:14:00.00Z</dcterms:created>
  <dc:creator>b_pierzga</dc:creator>
  <cp:lastModifiedBy>m_pietrak</cp:lastModifiedBy>
  <cp:lastPrinted>2016-06-22T09:47:00.00Z</cp:lastPrinted>
  <dcterms:modified xsi:type="dcterms:W3CDTF">2016-09-28T07:07:00.00Z</dcterms:modified>
  <cp:revision>23</cp:revision>
</cp:coreProperties>
</file>