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6A" w:rsidRPr="00F54C75" w:rsidRDefault="004C276A" w:rsidP="004C276A">
      <w:pPr>
        <w:jc w:val="center"/>
        <w:rPr>
          <w:b/>
          <w:sz w:val="24"/>
          <w:szCs w:val="24"/>
        </w:rPr>
      </w:pPr>
      <w:r w:rsidRPr="00F54C75">
        <w:rPr>
          <w:b/>
          <w:sz w:val="24"/>
          <w:szCs w:val="24"/>
        </w:rPr>
        <w:t>CHARAKTERYSTYKA PRZEDSIĘWZIĘCIA</w:t>
      </w:r>
    </w:p>
    <w:p w:rsidR="004C276A" w:rsidRPr="00F54C75" w:rsidRDefault="004C276A" w:rsidP="004C276A">
      <w:pPr>
        <w:jc w:val="center"/>
        <w:rPr>
          <w:b/>
          <w:sz w:val="24"/>
          <w:szCs w:val="24"/>
        </w:rPr>
      </w:pPr>
    </w:p>
    <w:p w:rsidR="00223C46" w:rsidRPr="00F54C75" w:rsidRDefault="00223C46" w:rsidP="00223C46">
      <w:pPr>
        <w:spacing w:line="276" w:lineRule="auto"/>
        <w:jc w:val="both"/>
        <w:rPr>
          <w:b/>
          <w:sz w:val="24"/>
          <w:szCs w:val="24"/>
        </w:rPr>
      </w:pPr>
      <w:r w:rsidRPr="00F54C75">
        <w:rPr>
          <w:b/>
          <w:sz w:val="24"/>
          <w:szCs w:val="24"/>
        </w:rPr>
        <w:t>„ Punkt do zbierania lub przeładunku złomu” zlokalizowanego w Legnicy na działkach nr 199/4 obręb 0005 Piątnica oraz nr 150/13 obręb 0005 Piątnica przy ul. Prusa 13.</w:t>
      </w:r>
    </w:p>
    <w:p w:rsidR="004C276A" w:rsidRPr="00F54C75" w:rsidRDefault="004C276A" w:rsidP="004C276A">
      <w:pPr>
        <w:jc w:val="both"/>
        <w:rPr>
          <w:b/>
          <w:sz w:val="24"/>
          <w:szCs w:val="24"/>
        </w:rPr>
      </w:pPr>
    </w:p>
    <w:p w:rsidR="00223C46" w:rsidRPr="00F54C75" w:rsidRDefault="00223C46" w:rsidP="00223C46">
      <w:pPr>
        <w:jc w:val="both"/>
        <w:rPr>
          <w:b/>
          <w:bCs/>
          <w:sz w:val="24"/>
          <w:szCs w:val="24"/>
        </w:rPr>
      </w:pPr>
      <w:r w:rsidRPr="00F54C75">
        <w:rPr>
          <w:b/>
          <w:bCs/>
          <w:sz w:val="24"/>
          <w:szCs w:val="24"/>
        </w:rPr>
        <w:t>1.Rodzaj, skala i usytuowanie przedsięwzięcia.</w:t>
      </w:r>
    </w:p>
    <w:p w:rsidR="00223C46" w:rsidRPr="00F54C75" w:rsidRDefault="00223C46" w:rsidP="00223C46">
      <w:pPr>
        <w:jc w:val="both"/>
        <w:rPr>
          <w:b/>
          <w:bCs/>
          <w:sz w:val="24"/>
          <w:szCs w:val="24"/>
        </w:rPr>
      </w:pPr>
    </w:p>
    <w:p w:rsidR="00223C46" w:rsidRPr="00F54C75" w:rsidRDefault="00223C46" w:rsidP="00223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>Planowane przedsięwzięcie polega na prowadzeniu punktu skupu złomu, baterii i akumulatorów oraz zużytego sprzętu elektrycznego i elektronicznego.</w:t>
      </w:r>
    </w:p>
    <w:p w:rsidR="00223C46" w:rsidRPr="00F54C75" w:rsidRDefault="00223C46" w:rsidP="00223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>Zlokalizowane będzie w Legnicy na działkach nr 199/4 oraz nr 150/13 obręb 0005 Piątnica o łącznej powierzchni 3320, 00m</w:t>
      </w:r>
      <w:r w:rsidRPr="00F54C75">
        <w:rPr>
          <w:sz w:val="24"/>
          <w:szCs w:val="24"/>
          <w:vertAlign w:val="superscript"/>
        </w:rPr>
        <w:t>2</w:t>
      </w:r>
      <w:r w:rsidRPr="00F54C75">
        <w:rPr>
          <w:sz w:val="24"/>
          <w:szCs w:val="24"/>
        </w:rPr>
        <w:t>. Adres: Legnica ul. Prusa 13.</w:t>
      </w:r>
    </w:p>
    <w:p w:rsidR="00223C46" w:rsidRPr="00F54C75" w:rsidRDefault="00223C46" w:rsidP="00223C46">
      <w:pPr>
        <w:ind w:firstLine="708"/>
        <w:jc w:val="both"/>
        <w:rPr>
          <w:b/>
          <w:bCs/>
          <w:sz w:val="24"/>
          <w:szCs w:val="24"/>
        </w:rPr>
      </w:pPr>
      <w:r w:rsidRPr="00F54C75">
        <w:rPr>
          <w:sz w:val="24"/>
          <w:szCs w:val="24"/>
        </w:rPr>
        <w:t>Dla terenu planowanej lokalizacji inwestycji brak jest  ustaleń miejscowego planu zagospodarowania przestrzennego</w:t>
      </w:r>
    </w:p>
    <w:p w:rsidR="00223C46" w:rsidRPr="00F54C75" w:rsidRDefault="00223C46" w:rsidP="00223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Pomieszczenia oraz plac, na którym będzie prowadzona działalność, zlokalizowane są na terenie byłej firmy </w:t>
      </w:r>
      <w:r w:rsidR="000934F6" w:rsidRPr="00F54C75">
        <w:rPr>
          <w:sz w:val="24"/>
          <w:szCs w:val="24"/>
        </w:rPr>
        <w:t>Przedsiębiorstwo Robót Górniczych i Wiertniczych</w:t>
      </w:r>
      <w:r w:rsidRPr="00F54C75">
        <w:rPr>
          <w:sz w:val="24"/>
          <w:szCs w:val="24"/>
        </w:rPr>
        <w:t xml:space="preserve"> WIERTEX SA. </w:t>
      </w:r>
    </w:p>
    <w:p w:rsidR="004D31B9" w:rsidRPr="00F54C75" w:rsidRDefault="004D31B9" w:rsidP="004D31B9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Na podstawie § 3 ust. 1 </w:t>
      </w:r>
      <w:proofErr w:type="spellStart"/>
      <w:r w:rsidRPr="00F54C75">
        <w:rPr>
          <w:sz w:val="24"/>
          <w:szCs w:val="24"/>
        </w:rPr>
        <w:t>pkt</w:t>
      </w:r>
      <w:proofErr w:type="spellEnd"/>
      <w:r w:rsidRPr="00F54C75">
        <w:rPr>
          <w:sz w:val="24"/>
          <w:szCs w:val="24"/>
        </w:rPr>
        <w:t xml:space="preserve"> 81 rozporządzenia Rady Ministrów z dnia 9 listopada 2010r. w sprawie przedsięwzięć mogących znacząco oddziaływać na środowisko (</w:t>
      </w:r>
      <w:proofErr w:type="spellStart"/>
      <w:r w:rsidRPr="00F54C75">
        <w:rPr>
          <w:sz w:val="24"/>
          <w:szCs w:val="24"/>
        </w:rPr>
        <w:t>Dz.U</w:t>
      </w:r>
      <w:proofErr w:type="spellEnd"/>
      <w:r w:rsidRPr="00F54C75">
        <w:rPr>
          <w:sz w:val="24"/>
          <w:szCs w:val="24"/>
        </w:rPr>
        <w:t>. Nr 213 poz. 1397), planowana inwestycja kwalifikuje się do przedsięwzięć mogących potencjalnie znacząco oddziaływać na środowisko, dla których obowiązek przeprowadzenia oceny oddziaływania na środowisko może być wymagany.</w:t>
      </w:r>
    </w:p>
    <w:p w:rsidR="004D31B9" w:rsidRPr="00F54C75" w:rsidRDefault="004D31B9" w:rsidP="00223C46">
      <w:pPr>
        <w:spacing w:line="276" w:lineRule="auto"/>
        <w:ind w:firstLine="708"/>
        <w:jc w:val="both"/>
        <w:rPr>
          <w:sz w:val="24"/>
          <w:szCs w:val="24"/>
        </w:rPr>
      </w:pPr>
    </w:p>
    <w:p w:rsidR="004D31B9" w:rsidRPr="00F54C75" w:rsidRDefault="004D31B9" w:rsidP="004D31B9">
      <w:pPr>
        <w:jc w:val="both"/>
        <w:rPr>
          <w:b/>
          <w:sz w:val="24"/>
          <w:szCs w:val="24"/>
        </w:rPr>
      </w:pPr>
      <w:r w:rsidRPr="00F54C75">
        <w:rPr>
          <w:b/>
          <w:sz w:val="24"/>
          <w:szCs w:val="24"/>
        </w:rPr>
        <w:t>2. Dane o powierzchni zajmowanej nieruchomości, a także obiektu budowlanego oraz dotychczasowym sposobie ich wykorzystywania i pokryciu szatą roślinną.</w:t>
      </w:r>
    </w:p>
    <w:p w:rsidR="00371CD7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Na terenie obiektu znajdują się budynki magazynowe oraz niezagospodarowane pomieszczenia. </w:t>
      </w:r>
    </w:p>
    <w:p w:rsidR="00371CD7" w:rsidRPr="00F54C75" w:rsidRDefault="00371CD7" w:rsidP="00371CD7">
      <w:pPr>
        <w:autoSpaceDE w:val="0"/>
        <w:autoSpaceDN w:val="0"/>
        <w:adjustRightInd w:val="0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Łączna powierzchnia działek wynosi F= 3320m</w:t>
      </w:r>
      <w:r w:rsidRPr="00F54C75">
        <w:rPr>
          <w:rFonts w:eastAsia="TTC3Co00"/>
          <w:sz w:val="24"/>
          <w:szCs w:val="24"/>
          <w:vertAlign w:val="superscript"/>
          <w:lang w:eastAsia="en-US"/>
        </w:rPr>
        <w:t>2</w:t>
      </w:r>
      <w:r w:rsidRPr="00F54C75">
        <w:rPr>
          <w:rFonts w:eastAsia="TTC3Co00"/>
          <w:sz w:val="24"/>
          <w:szCs w:val="24"/>
          <w:lang w:eastAsia="en-US"/>
        </w:rPr>
        <w:t xml:space="preserve"> = 0,3320ha</w:t>
      </w:r>
    </w:p>
    <w:p w:rsidR="00371CD7" w:rsidRPr="00F54C75" w:rsidRDefault="00371CD7" w:rsidP="00371CD7">
      <w:pPr>
        <w:autoSpaceDE w:val="0"/>
        <w:autoSpaceDN w:val="0"/>
        <w:adjustRightInd w:val="0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w tym powierzchnia:</w:t>
      </w:r>
    </w:p>
    <w:p w:rsidR="00371CD7" w:rsidRPr="00F54C75" w:rsidRDefault="00371CD7" w:rsidP="00371CD7">
      <w:pPr>
        <w:autoSpaceDE w:val="0"/>
        <w:autoSpaceDN w:val="0"/>
        <w:adjustRightInd w:val="0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- dachowa budynków  F1 = 450m</w:t>
      </w:r>
      <w:r w:rsidRPr="00F54C75">
        <w:rPr>
          <w:rFonts w:eastAsia="TTC3Co00"/>
          <w:sz w:val="24"/>
          <w:szCs w:val="24"/>
          <w:vertAlign w:val="superscript"/>
          <w:lang w:eastAsia="en-US"/>
        </w:rPr>
        <w:t>2</w:t>
      </w:r>
    </w:p>
    <w:p w:rsidR="00371CD7" w:rsidRPr="00F54C75" w:rsidRDefault="00371CD7" w:rsidP="00371CD7">
      <w:pPr>
        <w:autoSpaceDE w:val="0"/>
        <w:autoSpaceDN w:val="0"/>
        <w:adjustRightInd w:val="0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- terenu utwardzonego  F2 = 2264m</w:t>
      </w:r>
      <w:r w:rsidRPr="00F54C75">
        <w:rPr>
          <w:rFonts w:eastAsia="TTC3Co00"/>
          <w:sz w:val="24"/>
          <w:szCs w:val="24"/>
          <w:vertAlign w:val="superscript"/>
          <w:lang w:eastAsia="en-US"/>
        </w:rPr>
        <w:t>2</w:t>
      </w:r>
    </w:p>
    <w:p w:rsidR="00371CD7" w:rsidRPr="00F54C75" w:rsidRDefault="00371CD7" w:rsidP="00371CD7">
      <w:pPr>
        <w:spacing w:line="276" w:lineRule="auto"/>
        <w:jc w:val="both"/>
        <w:rPr>
          <w:sz w:val="24"/>
          <w:szCs w:val="24"/>
        </w:rPr>
      </w:pPr>
      <w:r w:rsidRPr="00F54C75">
        <w:rPr>
          <w:rFonts w:eastAsia="TTC3Co00"/>
          <w:sz w:val="24"/>
          <w:szCs w:val="24"/>
          <w:lang w:eastAsia="en-US"/>
        </w:rPr>
        <w:t>- terenu nieutwardzonego  F2 = 610m</w:t>
      </w:r>
      <w:r w:rsidRPr="00F54C75">
        <w:rPr>
          <w:rFonts w:eastAsia="TTC3Co00"/>
          <w:sz w:val="24"/>
          <w:szCs w:val="24"/>
          <w:vertAlign w:val="superscript"/>
          <w:lang w:eastAsia="en-US"/>
        </w:rPr>
        <w:t>2</w:t>
      </w:r>
    </w:p>
    <w:p w:rsidR="00150C46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>Droga dojazdowa oraz teren jest utwardzony, wybetonowany, ogrodzony.</w:t>
      </w:r>
    </w:p>
    <w:p w:rsidR="00150C46" w:rsidRPr="00F54C75" w:rsidRDefault="00150C46" w:rsidP="00150C46">
      <w:pPr>
        <w:spacing w:line="276" w:lineRule="auto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Teren pokryty jest w 15% zielenią, która nie koliduje z realizacją zamierzonej inwestycji. </w:t>
      </w:r>
    </w:p>
    <w:p w:rsidR="00150C46" w:rsidRPr="00F54C75" w:rsidRDefault="00150C46" w:rsidP="00150C46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Teren inwestycji to typowy obszar miejski, mieszkaniowo-przemysłowy. Na obszarze sąsiednim brak jest chronionych elementów przyrodniczych.</w:t>
      </w:r>
    </w:p>
    <w:p w:rsidR="00150C46" w:rsidRPr="00F54C75" w:rsidRDefault="00150C46" w:rsidP="00150C46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</w:p>
    <w:p w:rsidR="00150C46" w:rsidRPr="00F54C75" w:rsidRDefault="00150C46" w:rsidP="00150C46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Otoczenie zakładu stanowią:</w:t>
      </w:r>
    </w:p>
    <w:p w:rsidR="00150C46" w:rsidRPr="00F54C75" w:rsidRDefault="00150C46" w:rsidP="00150C46">
      <w:pPr>
        <w:autoSpaceDE w:val="0"/>
        <w:autoSpaceDN w:val="0"/>
        <w:adjustRightInd w:val="0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• od północnego - zachodu: ulica Bolesława Prusa, za ulicą zabudowa mieszkaniowa</w:t>
      </w:r>
    </w:p>
    <w:p w:rsidR="00150C46" w:rsidRPr="00F54C75" w:rsidRDefault="00150C46" w:rsidP="00150C46">
      <w:pPr>
        <w:autoSpaceDE w:val="0"/>
        <w:autoSpaceDN w:val="0"/>
        <w:adjustRightInd w:val="0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wielorodzinna i zamieszkania zbiorowego ulica Prusa numery 8, 10, 12, 14, 16, 18 oraz</w:t>
      </w:r>
    </w:p>
    <w:p w:rsidR="00150C46" w:rsidRPr="00F54C75" w:rsidRDefault="00150C46" w:rsidP="00150C46">
      <w:pPr>
        <w:autoSpaceDE w:val="0"/>
        <w:autoSpaceDN w:val="0"/>
        <w:adjustRightInd w:val="0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ulica Kraszewskiego 1, 2.</w:t>
      </w:r>
    </w:p>
    <w:p w:rsidR="00150C46" w:rsidRPr="00F54C75" w:rsidRDefault="00150C46" w:rsidP="00150C46">
      <w:pPr>
        <w:autoSpaceDE w:val="0"/>
        <w:autoSpaceDN w:val="0"/>
        <w:adjustRightInd w:val="0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• od wschodu: nieużytki, następnie ulica Leszczyńska, za ulicą tereny przemysłowe.</w:t>
      </w:r>
    </w:p>
    <w:p w:rsidR="00150C46" w:rsidRPr="00F54C75" w:rsidRDefault="00150C46" w:rsidP="00150C46">
      <w:pPr>
        <w:autoSpaceDE w:val="0"/>
        <w:autoSpaceDN w:val="0"/>
        <w:adjustRightInd w:val="0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 xml:space="preserve">• od południa: zabudowania Głównej Dyrekcji </w:t>
      </w:r>
      <w:r w:rsidR="00F54C75" w:rsidRPr="00F54C75">
        <w:rPr>
          <w:rFonts w:eastAsia="TTC3Co00"/>
          <w:sz w:val="24"/>
          <w:szCs w:val="24"/>
          <w:lang w:eastAsia="en-US"/>
        </w:rPr>
        <w:t>Dróg</w:t>
      </w:r>
      <w:r w:rsidRPr="00F54C75">
        <w:rPr>
          <w:rFonts w:eastAsia="TTC3Co00"/>
          <w:sz w:val="24"/>
          <w:szCs w:val="24"/>
          <w:lang w:eastAsia="en-US"/>
        </w:rPr>
        <w:t xml:space="preserve"> Krajowych i Autostrad, następnie</w:t>
      </w:r>
    </w:p>
    <w:p w:rsidR="00150C46" w:rsidRDefault="00150C46" w:rsidP="00150C46">
      <w:pPr>
        <w:spacing w:line="276" w:lineRule="auto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zabudowa mieszkaniowa wielorodzinna i zamieszkania zbiorowego.</w:t>
      </w:r>
    </w:p>
    <w:p w:rsidR="00C500C8" w:rsidRDefault="00C500C8" w:rsidP="00150C46">
      <w:pPr>
        <w:spacing w:line="276" w:lineRule="auto"/>
        <w:ind w:firstLine="708"/>
        <w:jc w:val="both"/>
        <w:rPr>
          <w:rFonts w:eastAsia="TTC3Co00"/>
          <w:sz w:val="24"/>
          <w:szCs w:val="24"/>
          <w:lang w:eastAsia="en-US"/>
        </w:rPr>
      </w:pPr>
    </w:p>
    <w:p w:rsidR="00371CD7" w:rsidRPr="00F54C75" w:rsidRDefault="00371CD7" w:rsidP="00371CD7">
      <w:pPr>
        <w:jc w:val="both"/>
        <w:rPr>
          <w:b/>
          <w:bCs/>
          <w:sz w:val="24"/>
          <w:szCs w:val="24"/>
        </w:rPr>
      </w:pPr>
      <w:r w:rsidRPr="00F54C75">
        <w:rPr>
          <w:b/>
          <w:bCs/>
          <w:sz w:val="24"/>
          <w:szCs w:val="24"/>
        </w:rPr>
        <w:t>3. Dane o rodzaju technologii.</w:t>
      </w:r>
    </w:p>
    <w:p w:rsidR="00150C46" w:rsidRPr="00F54C75" w:rsidRDefault="00150C46" w:rsidP="00150C46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 xml:space="preserve">Inwestycja polega na prowadzeniu punktu skupu złomu, baterii i akumulatorów oraz zużytego sprzętu elektrycznego i elektronicznego. Odpady będą zbierane w sposób selektywny . </w:t>
      </w:r>
    </w:p>
    <w:p w:rsidR="00150C46" w:rsidRPr="00F54C75" w:rsidRDefault="00150C46" w:rsidP="00150C46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lastRenderedPageBreak/>
        <w:t>Zebrane odpady, po czasowym magazynowaniu przekazywane będą uprawnionemu odbiorcy posiadającemu stosowne zezwolenie w zakresie gospodarowania odpadami.</w:t>
      </w:r>
    </w:p>
    <w:p w:rsidR="00150C46" w:rsidRPr="00F54C75" w:rsidRDefault="00150C46" w:rsidP="00150C46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sz w:val="24"/>
          <w:szCs w:val="24"/>
        </w:rPr>
        <w:t>Prowadzona będzie ewidencja wszystkich zebranych odpadów zgodnie z wymaganiami ustawy o odpadach.</w:t>
      </w:r>
    </w:p>
    <w:p w:rsidR="00150C46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Złom stalowy magazynowany będzie w kontenerach ustawionych na wybetonowanym placu, pozostały złom będzie  magazynowany w metalowych, opisanych sześciocyfrowym kodem  pojemnikach, ustawionych na podłożu betonowym, w zamkniętym pomieszczeniu magazynowym. Podłoże jest dodatkowo wyłożone płytkami ceramicznymi gwarantującymi szczelność. </w:t>
      </w:r>
    </w:p>
    <w:p w:rsidR="00150C46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 xml:space="preserve">Baterie i akumulatory magazynowane będą w pojemnikach kwasoodpornych, w pomieszczeniu magazynowym. </w:t>
      </w:r>
    </w:p>
    <w:p w:rsidR="00150C46" w:rsidRPr="00F54C75" w:rsidRDefault="00150C46" w:rsidP="00150C46">
      <w:pPr>
        <w:spacing w:line="276" w:lineRule="auto"/>
        <w:jc w:val="both"/>
        <w:rPr>
          <w:sz w:val="24"/>
          <w:szCs w:val="24"/>
        </w:rPr>
      </w:pPr>
      <w:r w:rsidRPr="00F54C75">
        <w:rPr>
          <w:sz w:val="24"/>
          <w:szCs w:val="24"/>
        </w:rPr>
        <w:t>Zużyty sprzęt elektryczny i elektroniczny magazynowany będzie w oznakowanych metalowych koszach i pojemnikach w osobnym pomieszczeniu magazynowym.</w:t>
      </w:r>
    </w:p>
    <w:p w:rsidR="00150C46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  <w:r w:rsidRPr="00F54C75">
        <w:rPr>
          <w:sz w:val="24"/>
          <w:szCs w:val="24"/>
        </w:rPr>
        <w:t>Cały teren przeznaczony na ww. działalność jest zabezpieczony monitoringiem oraz ogrodzony. Wszystkie pomieszczenia magazynowe posiadają dostęp do mediów.</w:t>
      </w:r>
    </w:p>
    <w:p w:rsidR="00150C46" w:rsidRPr="00F54C75" w:rsidRDefault="00150C46" w:rsidP="00150C46">
      <w:pPr>
        <w:spacing w:line="276" w:lineRule="auto"/>
        <w:ind w:firstLine="708"/>
        <w:jc w:val="both"/>
        <w:rPr>
          <w:sz w:val="24"/>
          <w:szCs w:val="24"/>
        </w:rPr>
      </w:pPr>
    </w:p>
    <w:p w:rsidR="00F54C75" w:rsidRDefault="00F54C75" w:rsidP="00F54C7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F54C75">
        <w:rPr>
          <w:rFonts w:eastAsiaTheme="minorHAnsi"/>
          <w:b/>
          <w:sz w:val="24"/>
          <w:szCs w:val="24"/>
          <w:lang w:eastAsia="en-US"/>
        </w:rPr>
        <w:t>Odpady planowane do zbierania</w:t>
      </w:r>
      <w:r w:rsidR="00C500C8">
        <w:rPr>
          <w:rFonts w:eastAsiaTheme="minorHAnsi"/>
          <w:b/>
          <w:sz w:val="24"/>
          <w:szCs w:val="24"/>
          <w:lang w:eastAsia="en-US"/>
        </w:rPr>
        <w:t>:</w:t>
      </w:r>
    </w:p>
    <w:p w:rsidR="00C500C8" w:rsidRPr="00F54C75" w:rsidRDefault="00C500C8" w:rsidP="00F54C7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10 03 02</w:t>
      </w:r>
      <w:r w:rsidRPr="00C500C8">
        <w:rPr>
          <w:rFonts w:eastAsiaTheme="minorHAnsi"/>
          <w:sz w:val="24"/>
          <w:szCs w:val="24"/>
          <w:lang w:eastAsia="en-US"/>
        </w:rPr>
        <w:t xml:space="preserve"> Odpadowe anody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10 05 11</w:t>
      </w:r>
      <w:r w:rsidRPr="00C500C8">
        <w:rPr>
          <w:rFonts w:eastAsiaTheme="minorHAnsi"/>
          <w:sz w:val="24"/>
          <w:szCs w:val="24"/>
          <w:lang w:eastAsia="en-US"/>
        </w:rPr>
        <w:t xml:space="preserve"> Odpady tlenku glinu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 xml:space="preserve">10 </w:t>
      </w:r>
      <w:proofErr w:type="spellStart"/>
      <w:r w:rsidRPr="00C500C8">
        <w:rPr>
          <w:rFonts w:eastAsiaTheme="minorHAnsi"/>
          <w:b/>
          <w:sz w:val="24"/>
          <w:szCs w:val="24"/>
          <w:lang w:eastAsia="en-US"/>
        </w:rPr>
        <w:t>10</w:t>
      </w:r>
      <w:proofErr w:type="spellEnd"/>
      <w:r w:rsidRPr="00C500C8">
        <w:rPr>
          <w:rFonts w:eastAsiaTheme="minorHAnsi"/>
          <w:b/>
          <w:sz w:val="24"/>
          <w:szCs w:val="24"/>
          <w:lang w:eastAsia="en-US"/>
        </w:rPr>
        <w:t xml:space="preserve"> 03</w:t>
      </w:r>
      <w:r w:rsidRPr="00C500C8">
        <w:rPr>
          <w:rFonts w:eastAsiaTheme="minorHAnsi"/>
          <w:sz w:val="24"/>
          <w:szCs w:val="24"/>
          <w:lang w:eastAsia="en-US"/>
        </w:rPr>
        <w:t xml:space="preserve"> Zgary i żużle odlewnicze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 xml:space="preserve">12 01 </w:t>
      </w:r>
      <w:proofErr w:type="spellStart"/>
      <w:r w:rsidRPr="00C500C8">
        <w:rPr>
          <w:rFonts w:eastAsiaTheme="minorHAnsi"/>
          <w:b/>
          <w:sz w:val="24"/>
          <w:szCs w:val="24"/>
          <w:lang w:eastAsia="en-US"/>
        </w:rPr>
        <w:t>01</w:t>
      </w:r>
      <w:proofErr w:type="spellEnd"/>
      <w:r w:rsidRPr="00C500C8">
        <w:rPr>
          <w:rFonts w:eastAsiaTheme="minorHAnsi"/>
          <w:sz w:val="24"/>
          <w:szCs w:val="24"/>
          <w:lang w:eastAsia="en-US"/>
        </w:rPr>
        <w:t xml:space="preserve"> Odpady z toczenia i piłowania żelaza oraz jego stopów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12 01 02</w:t>
      </w:r>
      <w:r w:rsidRPr="00C500C8">
        <w:rPr>
          <w:rFonts w:eastAsiaTheme="minorHAnsi"/>
          <w:sz w:val="24"/>
          <w:szCs w:val="24"/>
          <w:lang w:eastAsia="en-US"/>
        </w:rPr>
        <w:t xml:space="preserve"> Cząstki i pyły żelaza oraz jego stopów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12 01 03</w:t>
      </w:r>
      <w:r w:rsidRPr="00C500C8">
        <w:rPr>
          <w:rFonts w:eastAsiaTheme="minorHAnsi"/>
          <w:sz w:val="24"/>
          <w:szCs w:val="24"/>
          <w:lang w:eastAsia="en-US"/>
        </w:rPr>
        <w:t xml:space="preserve"> Odpady z toczenia i piłowania metali nieżelaznych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12 01 04</w:t>
      </w:r>
      <w:r w:rsidRPr="00C500C8">
        <w:rPr>
          <w:rFonts w:eastAsiaTheme="minorHAnsi"/>
          <w:sz w:val="24"/>
          <w:szCs w:val="24"/>
          <w:lang w:eastAsia="en-US"/>
        </w:rPr>
        <w:t xml:space="preserve"> Cząstki i pyły metali nieżelaznych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12 01 05</w:t>
      </w:r>
      <w:r w:rsidRPr="00C500C8">
        <w:rPr>
          <w:rFonts w:eastAsiaTheme="minorHAnsi"/>
          <w:sz w:val="24"/>
          <w:szCs w:val="24"/>
          <w:lang w:eastAsia="en-US"/>
        </w:rPr>
        <w:t xml:space="preserve"> Odpady z toczenia i wygładzania tworzyw sztucznych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15 01 04</w:t>
      </w:r>
      <w:r w:rsidRPr="00C500C8">
        <w:rPr>
          <w:rFonts w:eastAsiaTheme="minorHAnsi"/>
          <w:sz w:val="24"/>
          <w:szCs w:val="24"/>
          <w:lang w:eastAsia="en-US"/>
        </w:rPr>
        <w:t xml:space="preserve"> Opakowania z metali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16 01 17</w:t>
      </w:r>
      <w:r w:rsidRPr="00C500C8">
        <w:rPr>
          <w:rFonts w:eastAsiaTheme="minorHAnsi"/>
          <w:sz w:val="24"/>
          <w:szCs w:val="24"/>
          <w:lang w:eastAsia="en-US"/>
        </w:rPr>
        <w:t xml:space="preserve"> Metale żelazne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16 01 18</w:t>
      </w:r>
      <w:r w:rsidRPr="00C500C8">
        <w:rPr>
          <w:rFonts w:eastAsiaTheme="minorHAnsi"/>
          <w:sz w:val="24"/>
          <w:szCs w:val="24"/>
          <w:lang w:eastAsia="en-US"/>
        </w:rPr>
        <w:t xml:space="preserve"> Metale nieżelazne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02 13*</w:t>
      </w:r>
      <w:r w:rsidRPr="00C500C8">
        <w:rPr>
          <w:rFonts w:eastAsiaTheme="minorHAnsi"/>
          <w:sz w:val="24"/>
          <w:szCs w:val="24"/>
          <w:lang w:eastAsia="en-US"/>
        </w:rPr>
        <w:t>Zużyte urządzenia zawierające niebezpieczne elementy inne niż</w:t>
      </w:r>
    </w:p>
    <w:p w:rsidR="00F54C75" w:rsidRPr="00C500C8" w:rsidRDefault="00F54C75" w:rsidP="00C500C8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sz w:val="24"/>
          <w:szCs w:val="24"/>
          <w:lang w:eastAsia="en-US"/>
        </w:rPr>
        <w:t>wymienione w 16 02 09 do 16 02 12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16 02 14</w:t>
      </w:r>
      <w:r w:rsidRPr="00C500C8">
        <w:rPr>
          <w:rFonts w:eastAsiaTheme="minorHAnsi"/>
          <w:sz w:val="24"/>
          <w:szCs w:val="24"/>
          <w:lang w:eastAsia="en-US"/>
        </w:rPr>
        <w:t xml:space="preserve"> Zużyte urządzenia inne niż wymienione w 16 02 09 do 16 02 13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06 01*</w:t>
      </w:r>
      <w:r w:rsidRPr="00C500C8">
        <w:rPr>
          <w:rFonts w:eastAsiaTheme="minorHAnsi"/>
          <w:sz w:val="24"/>
          <w:szCs w:val="24"/>
          <w:lang w:eastAsia="en-US"/>
        </w:rPr>
        <w:t xml:space="preserve"> Baterie i akumulatory ołowiowe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16 06 02*</w:t>
      </w:r>
      <w:r w:rsidRPr="00C500C8">
        <w:rPr>
          <w:rFonts w:eastAsiaTheme="minorHAnsi"/>
          <w:sz w:val="24"/>
          <w:szCs w:val="24"/>
          <w:lang w:eastAsia="en-US"/>
        </w:rPr>
        <w:t xml:space="preserve"> Baterie i akumulatory niklowo-kadmowe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17 04 01</w:t>
      </w:r>
      <w:r w:rsidRPr="00C500C8">
        <w:rPr>
          <w:rFonts w:eastAsiaTheme="minorHAnsi"/>
          <w:sz w:val="24"/>
          <w:szCs w:val="24"/>
          <w:lang w:eastAsia="en-US"/>
        </w:rPr>
        <w:t xml:space="preserve"> Miedź, brąz, mosiądz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17 04 02</w:t>
      </w:r>
      <w:r w:rsidRPr="00C500C8">
        <w:rPr>
          <w:rFonts w:eastAsiaTheme="minorHAnsi"/>
          <w:sz w:val="24"/>
          <w:szCs w:val="24"/>
          <w:lang w:eastAsia="en-US"/>
        </w:rPr>
        <w:t xml:space="preserve"> Aluminium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17 04 03</w:t>
      </w:r>
      <w:r w:rsidRPr="00C500C8">
        <w:rPr>
          <w:rFonts w:eastAsiaTheme="minorHAnsi"/>
          <w:sz w:val="24"/>
          <w:szCs w:val="24"/>
          <w:lang w:eastAsia="en-US"/>
        </w:rPr>
        <w:t xml:space="preserve"> Ołów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 xml:space="preserve">17 04 </w:t>
      </w:r>
      <w:proofErr w:type="spellStart"/>
      <w:r w:rsidRPr="00C500C8">
        <w:rPr>
          <w:rFonts w:eastAsiaTheme="minorHAnsi"/>
          <w:b/>
          <w:sz w:val="24"/>
          <w:szCs w:val="24"/>
          <w:lang w:eastAsia="en-US"/>
        </w:rPr>
        <w:t>04</w:t>
      </w:r>
      <w:proofErr w:type="spellEnd"/>
      <w:r w:rsidRPr="00C500C8">
        <w:rPr>
          <w:rFonts w:eastAsiaTheme="minorHAnsi"/>
          <w:sz w:val="24"/>
          <w:szCs w:val="24"/>
          <w:lang w:eastAsia="en-US"/>
        </w:rPr>
        <w:t xml:space="preserve"> Cynk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17 04 05</w:t>
      </w:r>
      <w:r w:rsidRPr="00C500C8">
        <w:rPr>
          <w:rFonts w:eastAsiaTheme="minorHAnsi"/>
          <w:sz w:val="24"/>
          <w:szCs w:val="24"/>
          <w:lang w:eastAsia="en-US"/>
        </w:rPr>
        <w:t xml:space="preserve"> Żelazo i stal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17 04 06</w:t>
      </w:r>
      <w:r w:rsidRPr="00C500C8">
        <w:rPr>
          <w:rFonts w:eastAsiaTheme="minorHAnsi"/>
          <w:sz w:val="24"/>
          <w:szCs w:val="24"/>
          <w:lang w:eastAsia="en-US"/>
        </w:rPr>
        <w:t xml:space="preserve"> Cyna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17 04 07</w:t>
      </w:r>
      <w:r w:rsidRPr="00C500C8">
        <w:rPr>
          <w:rFonts w:eastAsiaTheme="minorHAnsi"/>
          <w:sz w:val="24"/>
          <w:szCs w:val="24"/>
          <w:lang w:eastAsia="en-US"/>
        </w:rPr>
        <w:t xml:space="preserve"> Mieszaniny metali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17 04 11</w:t>
      </w:r>
      <w:r w:rsidRPr="00C500C8">
        <w:rPr>
          <w:rFonts w:eastAsiaTheme="minorHAnsi"/>
          <w:sz w:val="24"/>
          <w:szCs w:val="24"/>
          <w:lang w:eastAsia="en-US"/>
        </w:rPr>
        <w:t xml:space="preserve"> Kable inne niż wymienione w 17 04 11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19 10 01</w:t>
      </w:r>
      <w:r w:rsidRPr="00C500C8">
        <w:rPr>
          <w:rFonts w:eastAsiaTheme="minorHAnsi"/>
          <w:sz w:val="24"/>
          <w:szCs w:val="24"/>
          <w:lang w:eastAsia="en-US"/>
        </w:rPr>
        <w:t xml:space="preserve"> Odpady żelaza i stali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19 10 02</w:t>
      </w:r>
      <w:r w:rsidRPr="00C500C8">
        <w:rPr>
          <w:rFonts w:eastAsiaTheme="minorHAnsi"/>
          <w:sz w:val="24"/>
          <w:szCs w:val="24"/>
          <w:lang w:eastAsia="en-US"/>
        </w:rPr>
        <w:t xml:space="preserve"> Odpady metali nieżelaznych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19 12 02</w:t>
      </w:r>
      <w:r w:rsidRPr="00C500C8">
        <w:rPr>
          <w:rFonts w:eastAsiaTheme="minorHAnsi"/>
          <w:sz w:val="24"/>
          <w:szCs w:val="24"/>
          <w:lang w:eastAsia="en-US"/>
        </w:rPr>
        <w:t xml:space="preserve"> Metale żelazne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19 12 03</w:t>
      </w:r>
      <w:r w:rsidRPr="00C500C8">
        <w:rPr>
          <w:rFonts w:eastAsiaTheme="minorHAnsi"/>
          <w:sz w:val="24"/>
          <w:szCs w:val="24"/>
          <w:lang w:eastAsia="en-US"/>
        </w:rPr>
        <w:t xml:space="preserve"> Metale nieżelazne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lastRenderedPageBreak/>
        <w:t>20 01 34</w:t>
      </w:r>
      <w:r w:rsidRPr="00C500C8">
        <w:rPr>
          <w:rFonts w:eastAsiaTheme="minorHAnsi"/>
          <w:sz w:val="24"/>
          <w:szCs w:val="24"/>
          <w:lang w:eastAsia="en-US"/>
        </w:rPr>
        <w:t xml:space="preserve"> Baterie i akumulatory inne niż wymienione w 20 01 33</w:t>
      </w:r>
    </w:p>
    <w:p w:rsidR="00F54C75" w:rsidRPr="00C500C8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20 01 36</w:t>
      </w:r>
      <w:r w:rsidRPr="00C500C8">
        <w:rPr>
          <w:rFonts w:eastAsiaTheme="minorHAnsi"/>
          <w:sz w:val="24"/>
          <w:szCs w:val="24"/>
          <w:lang w:eastAsia="en-US"/>
        </w:rPr>
        <w:t xml:space="preserve"> Zużyte urządzenia elektryczne i elektroniczne inne niż wymienione w 20 01</w:t>
      </w:r>
    </w:p>
    <w:p w:rsidR="00F54C75" w:rsidRPr="00C500C8" w:rsidRDefault="00F54C75" w:rsidP="00C500C8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sz w:val="24"/>
          <w:szCs w:val="24"/>
          <w:lang w:eastAsia="en-US"/>
        </w:rPr>
        <w:t>21, 20 01 23 i 20 01 35</w:t>
      </w:r>
    </w:p>
    <w:p w:rsidR="00F54C75" w:rsidRDefault="00F54C75" w:rsidP="00C500C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500C8">
        <w:rPr>
          <w:rFonts w:eastAsiaTheme="minorHAnsi"/>
          <w:b/>
          <w:sz w:val="24"/>
          <w:szCs w:val="24"/>
          <w:lang w:eastAsia="en-US"/>
        </w:rPr>
        <w:t>20 01 40</w:t>
      </w:r>
      <w:r w:rsidRPr="00C500C8">
        <w:rPr>
          <w:rFonts w:eastAsiaTheme="minorHAnsi"/>
          <w:sz w:val="24"/>
          <w:szCs w:val="24"/>
          <w:lang w:eastAsia="en-US"/>
        </w:rPr>
        <w:t xml:space="preserve"> Metale</w:t>
      </w:r>
    </w:p>
    <w:p w:rsidR="00BE7442" w:rsidRDefault="00BE7442" w:rsidP="00BE744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E7442" w:rsidRPr="00BE7442" w:rsidRDefault="00BE7442" w:rsidP="00BE7442">
      <w:pPr>
        <w:ind w:firstLine="360"/>
        <w:jc w:val="both"/>
        <w:rPr>
          <w:sz w:val="24"/>
          <w:szCs w:val="24"/>
        </w:rPr>
      </w:pPr>
      <w:r w:rsidRPr="00BE7442">
        <w:rPr>
          <w:sz w:val="24"/>
          <w:szCs w:val="24"/>
        </w:rPr>
        <w:t>Zbieranie odpadów polegać będzie na następujących działaniach: gromadzenie w wyznaczonych miejscach zakładu, sortowanie i segregowanie odpadów, tymczasowe magazynowanie do czasu transportu  ich do miejsc przetwarzania lub przekazania uprawnionemu odbiorcy.</w:t>
      </w:r>
    </w:p>
    <w:p w:rsidR="00BE7442" w:rsidRPr="00BE7442" w:rsidRDefault="00BE7442" w:rsidP="00BE7442">
      <w:pPr>
        <w:jc w:val="both"/>
        <w:rPr>
          <w:sz w:val="24"/>
          <w:szCs w:val="24"/>
        </w:rPr>
      </w:pPr>
      <w:r w:rsidRPr="00BE7442">
        <w:rPr>
          <w:sz w:val="24"/>
          <w:szCs w:val="24"/>
        </w:rPr>
        <w:t>Wszystkie zbierane będą gromadzone w sposób selektywny. Odpady będą zbierane w sposób niezagrażający środowisku naturalnemu.</w:t>
      </w:r>
    </w:p>
    <w:p w:rsidR="00BE7442" w:rsidRDefault="00BE7442" w:rsidP="00BE7442">
      <w:pPr>
        <w:jc w:val="both"/>
        <w:rPr>
          <w:sz w:val="24"/>
          <w:szCs w:val="24"/>
        </w:rPr>
      </w:pPr>
      <w:r w:rsidRPr="00BE7442">
        <w:rPr>
          <w:sz w:val="24"/>
          <w:szCs w:val="24"/>
        </w:rPr>
        <w:t>Odpady będą przekazywane firmom posiadającym stosowne zezwolenia w zakresie gospodarowania odpadami.</w:t>
      </w:r>
    </w:p>
    <w:p w:rsidR="007318A0" w:rsidRPr="00BE7442" w:rsidRDefault="007318A0" w:rsidP="00BE7442">
      <w:pPr>
        <w:jc w:val="both"/>
        <w:rPr>
          <w:sz w:val="24"/>
          <w:szCs w:val="24"/>
        </w:rPr>
      </w:pPr>
    </w:p>
    <w:p w:rsidR="007318A0" w:rsidRPr="00F54C75" w:rsidRDefault="007318A0" w:rsidP="005511D9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Obecnie firma zatrudnia na tym terenie 2 pracowników, docelowo maksymalne planowane</w:t>
      </w:r>
    </w:p>
    <w:p w:rsidR="007318A0" w:rsidRDefault="007318A0" w:rsidP="007318A0">
      <w:pPr>
        <w:spacing w:line="276" w:lineRule="auto"/>
        <w:jc w:val="both"/>
        <w:rPr>
          <w:rFonts w:eastAsia="TTC3Co00"/>
          <w:sz w:val="24"/>
          <w:szCs w:val="24"/>
          <w:lang w:eastAsia="en-US"/>
        </w:rPr>
      </w:pPr>
      <w:r w:rsidRPr="00F54C75">
        <w:rPr>
          <w:rFonts w:eastAsia="TTC3Co00"/>
          <w:sz w:val="24"/>
          <w:szCs w:val="24"/>
          <w:lang w:eastAsia="en-US"/>
        </w:rPr>
        <w:t>zatrudnienie to 3 osoby. Pracuje w systemie jednozmianowym.</w:t>
      </w:r>
    </w:p>
    <w:p w:rsidR="00BE7442" w:rsidRPr="00BE7442" w:rsidRDefault="00BE7442" w:rsidP="00BE744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50C46" w:rsidRPr="00150C46" w:rsidRDefault="00BE7442" w:rsidP="00150C46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50C46" w:rsidRPr="00150C46">
        <w:rPr>
          <w:bCs/>
          <w:sz w:val="24"/>
          <w:szCs w:val="24"/>
        </w:rPr>
        <w:t>Na etapie eksploatacji wystąpi emisja zanieczyszczeń do powietrza, której źródłem będą głównie silniki pojazdów przywożących i odbierających odpady. W wyniku prowadzenia działalności wystąpi także emisja hałasu związana z rozładunkiem, załadunkiem odpadów oraz z ruchem pojazdów.</w:t>
      </w:r>
    </w:p>
    <w:p w:rsidR="00150C46" w:rsidRPr="00150C46" w:rsidRDefault="00150C46" w:rsidP="00150C46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>Maksymalne natężenie ruchu pojazdów oszacowano na:</w:t>
      </w:r>
    </w:p>
    <w:p w:rsidR="00150C46" w:rsidRPr="00150C46" w:rsidRDefault="00150C46" w:rsidP="00150C46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>- samochody ciężarowe – 1 pojazd w porze dziennej (raz w tygodniu odwiezienie i przywiezienia kontenera),</w:t>
      </w:r>
    </w:p>
    <w:p w:rsidR="00150C46" w:rsidRPr="00150C46" w:rsidRDefault="00150C46" w:rsidP="00150C46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>- samochody osobowe – 2 pojazdy/16 godzin pracy w porze dziennej,</w:t>
      </w:r>
    </w:p>
    <w:p w:rsidR="00150C46" w:rsidRPr="00150C46" w:rsidRDefault="00150C46" w:rsidP="00150C46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>- wózek widłowy – 1 pojazd w porze dziennej (maks. 40 pojazdów).</w:t>
      </w:r>
    </w:p>
    <w:p w:rsidR="00223C46" w:rsidRPr="00150C46" w:rsidRDefault="00223C46" w:rsidP="004C276A">
      <w:pPr>
        <w:jc w:val="both"/>
        <w:rPr>
          <w:b/>
          <w:sz w:val="24"/>
          <w:szCs w:val="24"/>
        </w:rPr>
      </w:pPr>
    </w:p>
    <w:p w:rsidR="00371CD7" w:rsidRPr="007A64DC" w:rsidRDefault="00371CD7" w:rsidP="00371CD7">
      <w:pPr>
        <w:jc w:val="both"/>
        <w:rPr>
          <w:b/>
          <w:bCs/>
          <w:sz w:val="24"/>
          <w:szCs w:val="24"/>
        </w:rPr>
      </w:pPr>
      <w:r w:rsidRPr="007A64DC">
        <w:rPr>
          <w:b/>
          <w:bCs/>
          <w:sz w:val="24"/>
          <w:szCs w:val="24"/>
        </w:rPr>
        <w:t>4. Dane o ewentualnych wariantach przedsięwzięcia.</w:t>
      </w:r>
    </w:p>
    <w:p w:rsidR="00371CD7" w:rsidRPr="00371CD7" w:rsidRDefault="00371CD7" w:rsidP="00371CD7">
      <w:pPr>
        <w:jc w:val="both"/>
        <w:rPr>
          <w:bCs/>
          <w:sz w:val="24"/>
          <w:szCs w:val="24"/>
        </w:rPr>
      </w:pPr>
    </w:p>
    <w:p w:rsidR="00371CD7" w:rsidRPr="007A64DC" w:rsidRDefault="00371CD7" w:rsidP="00371CD7">
      <w:pPr>
        <w:jc w:val="both"/>
        <w:rPr>
          <w:sz w:val="24"/>
          <w:szCs w:val="24"/>
        </w:rPr>
      </w:pPr>
      <w:r w:rsidRPr="007A64DC">
        <w:rPr>
          <w:sz w:val="24"/>
          <w:szCs w:val="24"/>
        </w:rPr>
        <w:t>Innego wariantu skupu złomu, baterii i akumulatorów oraz zużytego sprzętu elektrycznego i elektronicznego  nie przewiduje się.</w:t>
      </w:r>
    </w:p>
    <w:p w:rsidR="004C276A" w:rsidRPr="00F017BA" w:rsidRDefault="004C276A" w:rsidP="004C276A">
      <w:pPr>
        <w:jc w:val="both"/>
        <w:rPr>
          <w:rFonts w:ascii="Arial" w:hAnsi="Arial"/>
          <w:b/>
          <w:bCs/>
          <w:sz w:val="22"/>
          <w:szCs w:val="22"/>
        </w:rPr>
      </w:pPr>
    </w:p>
    <w:p w:rsidR="004C276A" w:rsidRDefault="004C276A" w:rsidP="004C276A">
      <w:pPr>
        <w:jc w:val="both"/>
        <w:rPr>
          <w:b/>
          <w:bCs/>
          <w:sz w:val="24"/>
          <w:szCs w:val="24"/>
        </w:rPr>
      </w:pPr>
      <w:r w:rsidRPr="007A64DC">
        <w:rPr>
          <w:b/>
          <w:bCs/>
          <w:sz w:val="24"/>
          <w:szCs w:val="24"/>
        </w:rPr>
        <w:t>5. Dane o przewidywanej ilości wykorzystywanej wody i innych wykorzystywanych surowców, materiałów, paliw oraz energii.</w:t>
      </w:r>
    </w:p>
    <w:p w:rsidR="00315370" w:rsidRDefault="00315370" w:rsidP="004C276A">
      <w:pPr>
        <w:jc w:val="both"/>
        <w:rPr>
          <w:b/>
          <w:bCs/>
          <w:sz w:val="24"/>
          <w:szCs w:val="24"/>
        </w:rPr>
      </w:pPr>
    </w:p>
    <w:p w:rsidR="004C276A" w:rsidRPr="008E5B1B" w:rsidRDefault="004C276A" w:rsidP="008E5B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5B1B">
        <w:rPr>
          <w:sz w:val="24"/>
          <w:szCs w:val="24"/>
        </w:rPr>
        <w:t xml:space="preserve">Woda </w:t>
      </w:r>
      <w:r w:rsidR="008E5B1B" w:rsidRPr="008E5B1B">
        <w:rPr>
          <w:sz w:val="24"/>
          <w:szCs w:val="24"/>
        </w:rPr>
        <w:t>45</w:t>
      </w:r>
      <w:r w:rsidRPr="008E5B1B">
        <w:rPr>
          <w:sz w:val="24"/>
          <w:szCs w:val="24"/>
        </w:rPr>
        <w:t xml:space="preserve"> m</w:t>
      </w:r>
      <w:r w:rsidRPr="008E5B1B">
        <w:rPr>
          <w:kern w:val="24"/>
          <w:sz w:val="24"/>
          <w:szCs w:val="24"/>
          <w:vertAlign w:val="superscript"/>
        </w:rPr>
        <w:t>3</w:t>
      </w:r>
      <w:r w:rsidRPr="008E5B1B">
        <w:rPr>
          <w:sz w:val="24"/>
          <w:szCs w:val="24"/>
        </w:rPr>
        <w:t xml:space="preserve"> miesięcznie.</w:t>
      </w:r>
    </w:p>
    <w:p w:rsidR="008E5B1B" w:rsidRPr="008E5B1B" w:rsidRDefault="008E5B1B" w:rsidP="008E5B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5B1B">
        <w:rPr>
          <w:sz w:val="24"/>
          <w:szCs w:val="24"/>
        </w:rPr>
        <w:t>Ścieki 45 m</w:t>
      </w:r>
      <w:r w:rsidRPr="008E5B1B">
        <w:rPr>
          <w:kern w:val="24"/>
          <w:sz w:val="24"/>
          <w:szCs w:val="24"/>
          <w:vertAlign w:val="superscript"/>
        </w:rPr>
        <w:t>3</w:t>
      </w:r>
      <w:r w:rsidRPr="008E5B1B">
        <w:rPr>
          <w:sz w:val="24"/>
          <w:szCs w:val="24"/>
        </w:rPr>
        <w:t xml:space="preserve"> miesięcznie.</w:t>
      </w:r>
    </w:p>
    <w:p w:rsidR="004C276A" w:rsidRPr="008E5B1B" w:rsidRDefault="004C276A" w:rsidP="008E5B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5B1B">
        <w:rPr>
          <w:sz w:val="24"/>
          <w:szCs w:val="24"/>
        </w:rPr>
        <w:t xml:space="preserve">Energia elektryczna do celów oświetlenia i ogrzewania wydzielonego pomieszczenia biurowego – 50 </w:t>
      </w:r>
      <w:proofErr w:type="spellStart"/>
      <w:r w:rsidRPr="008E5B1B">
        <w:rPr>
          <w:sz w:val="24"/>
          <w:szCs w:val="24"/>
        </w:rPr>
        <w:t>kW</w:t>
      </w:r>
      <w:r w:rsidR="008E5B1B" w:rsidRPr="008E5B1B">
        <w:rPr>
          <w:sz w:val="24"/>
          <w:szCs w:val="24"/>
        </w:rPr>
        <w:t>h</w:t>
      </w:r>
      <w:proofErr w:type="spellEnd"/>
      <w:r w:rsidR="008E5B1B" w:rsidRPr="008E5B1B">
        <w:rPr>
          <w:sz w:val="24"/>
          <w:szCs w:val="24"/>
        </w:rPr>
        <w:t xml:space="preserve"> </w:t>
      </w:r>
      <w:r w:rsidRPr="008E5B1B">
        <w:rPr>
          <w:sz w:val="24"/>
          <w:szCs w:val="24"/>
        </w:rPr>
        <w:t xml:space="preserve"> miesięcznie</w:t>
      </w:r>
    </w:p>
    <w:p w:rsidR="004C276A" w:rsidRPr="007A64DC" w:rsidRDefault="004C276A" w:rsidP="007318A0">
      <w:pPr>
        <w:ind w:firstLine="360"/>
        <w:jc w:val="both"/>
        <w:rPr>
          <w:sz w:val="24"/>
          <w:szCs w:val="24"/>
        </w:rPr>
      </w:pPr>
      <w:r w:rsidRPr="007A64DC">
        <w:rPr>
          <w:sz w:val="24"/>
          <w:szCs w:val="24"/>
        </w:rPr>
        <w:t>Charakter przedsięwzięcia nie przewiduje korzystania z innych surowców, materiałów oraz paliw.</w:t>
      </w:r>
    </w:p>
    <w:p w:rsidR="00C500C8" w:rsidRPr="00150C46" w:rsidRDefault="007318A0" w:rsidP="00C500C8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500C8" w:rsidRPr="00150C46">
        <w:rPr>
          <w:bCs/>
          <w:sz w:val="24"/>
          <w:szCs w:val="24"/>
        </w:rPr>
        <w:t xml:space="preserve">Nie przewiduje się wytwarzania ścieków technologicznych. Woda do celów socjalno – bytowych pobierana będzie z wodociągu miejskiego, ścieki sanitarne odprowadzane do  kanalizacji miejskiej ( umowa z Legnickim Przedsiębiorstwem Wodociągów i Kanalizacji). Wody opadowe z połaci dachowych będą odprowadzane poprzez system rynien i spływów  </w:t>
      </w:r>
      <w:r w:rsidR="00C500C8" w:rsidRPr="00150C46">
        <w:rPr>
          <w:bCs/>
          <w:sz w:val="24"/>
          <w:szCs w:val="24"/>
        </w:rPr>
        <w:lastRenderedPageBreak/>
        <w:t xml:space="preserve">do istniejącej kanalizacji ogólnospławnej, natomiast z terenu utwardzonego - poprzez separator do istniejącej kanalizacji ogólnospławnej. </w:t>
      </w:r>
    </w:p>
    <w:p w:rsidR="004C276A" w:rsidRPr="007A64DC" w:rsidRDefault="004C276A" w:rsidP="004C276A">
      <w:pPr>
        <w:jc w:val="both"/>
        <w:rPr>
          <w:b/>
          <w:bCs/>
          <w:sz w:val="24"/>
          <w:szCs w:val="24"/>
        </w:rPr>
      </w:pPr>
      <w:r w:rsidRPr="007A64DC">
        <w:rPr>
          <w:b/>
          <w:bCs/>
          <w:sz w:val="24"/>
          <w:szCs w:val="24"/>
        </w:rPr>
        <w:t>6. Dane o rozwiązaniach chroniących środowisko.</w:t>
      </w:r>
    </w:p>
    <w:p w:rsidR="004C276A" w:rsidRPr="007A64DC" w:rsidRDefault="004C276A" w:rsidP="004C276A">
      <w:pPr>
        <w:jc w:val="both"/>
        <w:rPr>
          <w:b/>
          <w:bCs/>
          <w:sz w:val="24"/>
          <w:szCs w:val="24"/>
        </w:rPr>
      </w:pPr>
    </w:p>
    <w:p w:rsidR="004C276A" w:rsidRPr="007A64DC" w:rsidRDefault="004C276A" w:rsidP="004C276A">
      <w:pPr>
        <w:jc w:val="both"/>
        <w:rPr>
          <w:sz w:val="24"/>
          <w:szCs w:val="24"/>
        </w:rPr>
      </w:pPr>
      <w:r w:rsidRPr="007A64DC">
        <w:rPr>
          <w:sz w:val="24"/>
          <w:szCs w:val="24"/>
        </w:rPr>
        <w:t xml:space="preserve">Przedsięwzięcie nie spowoduje zagrożenia dla środowiska. Złom stalowy składowany będzie w kontenerach, pozostały złom do metalowych pojemników  ustawionych na podłożu betonowym, baterie i akumulatory do pojemników kwasoodpornych natomiast zużyty sprzęt elektryczny i elektroniczny do metalowych koszy i pojemników. Na etapie realizacji i eksploatacji inwestycji nie będą wywarzane jakiekolwiek odpady. Z uwagi na istniejące obecnie warunki zabudowy terenu byłej firmy </w:t>
      </w:r>
      <w:proofErr w:type="spellStart"/>
      <w:r w:rsidRPr="007A64DC">
        <w:rPr>
          <w:sz w:val="24"/>
          <w:szCs w:val="24"/>
        </w:rPr>
        <w:t>PRGiW</w:t>
      </w:r>
      <w:proofErr w:type="spellEnd"/>
      <w:r w:rsidRPr="007A64DC">
        <w:rPr>
          <w:sz w:val="24"/>
          <w:szCs w:val="24"/>
        </w:rPr>
        <w:t xml:space="preserve"> WIERTEX S.A.  nie zachodzi konieczność jakichkolwiek inwestycji związanych z projektowaniem i realizacj</w:t>
      </w:r>
      <w:r>
        <w:rPr>
          <w:sz w:val="24"/>
          <w:szCs w:val="24"/>
        </w:rPr>
        <w:t>ą</w:t>
      </w:r>
      <w:r w:rsidRPr="007A64DC">
        <w:rPr>
          <w:sz w:val="24"/>
          <w:szCs w:val="24"/>
        </w:rPr>
        <w:t xml:space="preserve"> miejsc postojowych, parkingowych, manewrowych itp..</w:t>
      </w:r>
    </w:p>
    <w:p w:rsidR="004C276A" w:rsidRPr="007A64DC" w:rsidRDefault="004C276A" w:rsidP="004C276A">
      <w:pPr>
        <w:jc w:val="both"/>
        <w:rPr>
          <w:sz w:val="24"/>
          <w:szCs w:val="24"/>
        </w:rPr>
      </w:pPr>
      <w:r w:rsidRPr="007A64DC">
        <w:rPr>
          <w:sz w:val="24"/>
          <w:szCs w:val="24"/>
        </w:rPr>
        <w:t xml:space="preserve">Planowane jest powiększenie terenu zieleni: </w:t>
      </w:r>
    </w:p>
    <w:p w:rsidR="004C276A" w:rsidRPr="007A64DC" w:rsidRDefault="004C276A" w:rsidP="004C276A">
      <w:pPr>
        <w:jc w:val="both"/>
        <w:rPr>
          <w:sz w:val="24"/>
          <w:szCs w:val="24"/>
        </w:rPr>
      </w:pPr>
      <w:r w:rsidRPr="007A64DC">
        <w:rPr>
          <w:sz w:val="24"/>
          <w:szCs w:val="24"/>
        </w:rPr>
        <w:t xml:space="preserve">- posadzenie sadzonek drzewek  ozdobnych oraz </w:t>
      </w:r>
      <w:proofErr w:type="spellStart"/>
      <w:r w:rsidRPr="007A64DC">
        <w:rPr>
          <w:sz w:val="24"/>
          <w:szCs w:val="24"/>
        </w:rPr>
        <w:t>drzewopłotu</w:t>
      </w:r>
      <w:proofErr w:type="spellEnd"/>
      <w:r w:rsidRPr="007A64DC">
        <w:rPr>
          <w:sz w:val="24"/>
          <w:szCs w:val="24"/>
        </w:rPr>
        <w:t xml:space="preserve"> wzdłuż ogrodzenia</w:t>
      </w:r>
    </w:p>
    <w:p w:rsidR="004C276A" w:rsidRPr="007A64DC" w:rsidRDefault="004C276A" w:rsidP="004C276A">
      <w:pPr>
        <w:jc w:val="both"/>
        <w:rPr>
          <w:sz w:val="24"/>
          <w:szCs w:val="24"/>
        </w:rPr>
      </w:pPr>
      <w:r w:rsidRPr="007A64DC">
        <w:rPr>
          <w:sz w:val="24"/>
          <w:szCs w:val="24"/>
        </w:rPr>
        <w:t>- odnowienie i poszerzenie trawników</w:t>
      </w:r>
    </w:p>
    <w:p w:rsidR="004C276A" w:rsidRPr="00F017BA" w:rsidRDefault="004C276A" w:rsidP="004C276A">
      <w:pPr>
        <w:jc w:val="both"/>
        <w:rPr>
          <w:rFonts w:ascii="Arial" w:hAnsi="Arial"/>
          <w:sz w:val="22"/>
          <w:szCs w:val="22"/>
        </w:rPr>
      </w:pPr>
    </w:p>
    <w:p w:rsidR="004C276A" w:rsidRDefault="004C276A" w:rsidP="004C276A">
      <w:pPr>
        <w:jc w:val="both"/>
        <w:rPr>
          <w:b/>
          <w:bCs/>
          <w:sz w:val="24"/>
          <w:szCs w:val="24"/>
        </w:rPr>
      </w:pPr>
      <w:r w:rsidRPr="004E2A09">
        <w:rPr>
          <w:b/>
          <w:bCs/>
          <w:sz w:val="24"/>
          <w:szCs w:val="24"/>
        </w:rPr>
        <w:t>7. Dane o rodzajach i przewidywanej ilości wprowadzanych do środowiska substancji lub energii przy zastosowaniu rozwiązań chroniących środowisko.</w:t>
      </w:r>
    </w:p>
    <w:p w:rsidR="004C276A" w:rsidRPr="004E2A09" w:rsidRDefault="004C276A" w:rsidP="004C276A">
      <w:pPr>
        <w:jc w:val="both"/>
        <w:rPr>
          <w:b/>
          <w:bCs/>
          <w:sz w:val="24"/>
          <w:szCs w:val="24"/>
        </w:rPr>
      </w:pPr>
    </w:p>
    <w:p w:rsidR="004C276A" w:rsidRDefault="004C276A" w:rsidP="004C276A">
      <w:pPr>
        <w:jc w:val="both"/>
        <w:rPr>
          <w:sz w:val="24"/>
          <w:szCs w:val="24"/>
        </w:rPr>
      </w:pPr>
      <w:r w:rsidRPr="00664EF8">
        <w:rPr>
          <w:sz w:val="24"/>
          <w:szCs w:val="24"/>
        </w:rPr>
        <w:t>Nie przewiduje się emisji do powietrza, gleby i wód powierzchniowych. Emisja hałasu związana będzie z obsługą kontenerów i pojemników w trakcie ich wymiany. Przystosowanie obiektu do planowanej inwestycji nie wymaga wprowadzania żadnych zmian w otaczającym środowisku przyrodniczym. W ramach planowanej inwestycji nie przewiduje się wycinki drzew.</w:t>
      </w:r>
    </w:p>
    <w:p w:rsidR="00F4576A" w:rsidRPr="00F4576A" w:rsidRDefault="00F4576A" w:rsidP="00F4576A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  <w:r w:rsidRPr="00F4576A">
        <w:rPr>
          <w:rFonts w:eastAsia="TTC3Co00"/>
          <w:sz w:val="24"/>
          <w:szCs w:val="24"/>
          <w:lang w:eastAsia="en-US"/>
        </w:rPr>
        <w:t>Podczas pracy zakładu nie będą powstawały ścieki przemysłowe. Woda jest pobierana na cele</w:t>
      </w:r>
      <w:r>
        <w:rPr>
          <w:rFonts w:eastAsia="TTC3Co00"/>
          <w:sz w:val="24"/>
          <w:szCs w:val="24"/>
          <w:lang w:eastAsia="en-US"/>
        </w:rPr>
        <w:t xml:space="preserve"> </w:t>
      </w:r>
      <w:r w:rsidRPr="00F4576A">
        <w:rPr>
          <w:rFonts w:eastAsia="TTC3Co00"/>
          <w:sz w:val="24"/>
          <w:szCs w:val="24"/>
          <w:lang w:eastAsia="en-US"/>
        </w:rPr>
        <w:t>socjalno – bytowe pracowników. Zarówno ścieki jak i wody opadowe odprowadzane będą do</w:t>
      </w:r>
      <w:r>
        <w:rPr>
          <w:rFonts w:eastAsia="TTC3Co00"/>
          <w:sz w:val="24"/>
          <w:szCs w:val="24"/>
          <w:lang w:eastAsia="en-US"/>
        </w:rPr>
        <w:t xml:space="preserve"> </w:t>
      </w:r>
      <w:r w:rsidRPr="00F4576A">
        <w:rPr>
          <w:rFonts w:eastAsia="TTC3Co00"/>
          <w:sz w:val="24"/>
          <w:szCs w:val="24"/>
          <w:lang w:eastAsia="en-US"/>
        </w:rPr>
        <w:t>istn</w:t>
      </w:r>
      <w:r>
        <w:rPr>
          <w:rFonts w:eastAsia="TTC3Co00"/>
          <w:sz w:val="24"/>
          <w:szCs w:val="24"/>
          <w:lang w:eastAsia="en-US"/>
        </w:rPr>
        <w:t>iejącej</w:t>
      </w:r>
      <w:r w:rsidRPr="00F4576A">
        <w:rPr>
          <w:rFonts w:eastAsia="TTC3Co00"/>
          <w:sz w:val="24"/>
          <w:szCs w:val="24"/>
          <w:lang w:eastAsia="en-US"/>
        </w:rPr>
        <w:t xml:space="preserve"> sieci kanalizacyjnej</w:t>
      </w:r>
      <w:r>
        <w:rPr>
          <w:rFonts w:eastAsia="TTC3Co00"/>
          <w:sz w:val="24"/>
          <w:szCs w:val="24"/>
          <w:lang w:eastAsia="en-US"/>
        </w:rPr>
        <w:t>.</w:t>
      </w:r>
    </w:p>
    <w:p w:rsidR="004C276A" w:rsidRDefault="004C276A" w:rsidP="004C2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Ścieki socjalno – bytowe będą odprowadzane do istniejącej sieci kanalizacji sanitarnej, w tym zakresie uruchomienie przedsięwzięcia nie wpłynie na żadne zmiany. </w:t>
      </w:r>
    </w:p>
    <w:p w:rsidR="004C276A" w:rsidRDefault="004C276A" w:rsidP="004C276A">
      <w:pPr>
        <w:jc w:val="both"/>
        <w:rPr>
          <w:sz w:val="24"/>
          <w:szCs w:val="24"/>
        </w:rPr>
      </w:pPr>
      <w:r>
        <w:rPr>
          <w:sz w:val="24"/>
          <w:szCs w:val="24"/>
        </w:rPr>
        <w:t>Wody opadowe i roztopowe z dachów nie narażone na zanieczyszczenia substancjami ropopochodnymi będą odprowadzane istniejącą siecią do kanalizacji deszczowej.</w:t>
      </w:r>
    </w:p>
    <w:p w:rsidR="004C276A" w:rsidRDefault="004C276A" w:rsidP="007318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Uzyskane wyniki obliczeń propagacji hałasu przenikającego do środowiska z terenu planowanego zakładu, dla opisanej sytuacji i sposobu jej funkcjonowania  wykazały dotrzymanie poziomu dźwięku na chronionych terenach środowiska w porze dziennej, poniżej wartości dla tych terenów dopuszczalnych. </w:t>
      </w:r>
    </w:p>
    <w:p w:rsidR="004C276A" w:rsidRDefault="004C276A" w:rsidP="004C276A">
      <w:pPr>
        <w:jc w:val="both"/>
        <w:rPr>
          <w:sz w:val="24"/>
          <w:szCs w:val="24"/>
        </w:rPr>
      </w:pPr>
    </w:p>
    <w:p w:rsidR="005511D9" w:rsidRPr="00150C46" w:rsidRDefault="005511D9" w:rsidP="005511D9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>Z przedłożonej dokumentacji wynika, że klimat akustyczny wokół przedsięwzięcia kształtowany jest głównie przez hałas pochodzący z ruchu pojazdów na ul. Leszczyńskiej (droga wylotowa na Głogów) oraz na ul. B. Prusa.</w:t>
      </w:r>
    </w:p>
    <w:p w:rsidR="005511D9" w:rsidRPr="00150C46" w:rsidRDefault="005511D9" w:rsidP="005511D9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ab/>
        <w:t>W celu ograniczenia  uciążliwości hałasowej Inwestor zaplanował prowadzenie prac związanych z sortowaniem, przesypywaniem i  układaniem złomu w budynku, kontenery na złom ustawione będą w jak największej odległości od terenów chronionych, a pojazdy poruszać się będą z ograniczona prędkością – ok.10km/h.</w:t>
      </w:r>
    </w:p>
    <w:p w:rsidR="005511D9" w:rsidRPr="00150C46" w:rsidRDefault="005511D9" w:rsidP="005511D9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150C46">
        <w:rPr>
          <w:bCs/>
          <w:sz w:val="24"/>
          <w:szCs w:val="24"/>
        </w:rPr>
        <w:tab/>
        <w:t>Biorąc pod uwagę zakres prowadzonej działalności, lokalizację w sąsiedztwie dróg o dużym natężeniu ruchu, oddziaływanie planowanego zamierzenia inwestycyjnego nie powinno znacząco wpłynąć na obecny klimat akustyczny analizowanego terenu, a ponadto nie powinno spowodować znaczącego pogorszenia stanu powietrza na przedmiotowym terenie.</w:t>
      </w:r>
    </w:p>
    <w:p w:rsidR="001E4BD7" w:rsidRPr="004E2A09" w:rsidRDefault="001E4BD7" w:rsidP="004C276A">
      <w:pPr>
        <w:jc w:val="both"/>
        <w:rPr>
          <w:sz w:val="24"/>
          <w:szCs w:val="24"/>
        </w:rPr>
      </w:pPr>
    </w:p>
    <w:p w:rsidR="004C276A" w:rsidRPr="004E2A09" w:rsidRDefault="004C276A" w:rsidP="004C276A">
      <w:pPr>
        <w:jc w:val="both"/>
        <w:rPr>
          <w:b/>
          <w:bCs/>
          <w:sz w:val="24"/>
          <w:szCs w:val="24"/>
        </w:rPr>
      </w:pPr>
      <w:r w:rsidRPr="004E2A09">
        <w:rPr>
          <w:b/>
          <w:bCs/>
          <w:sz w:val="24"/>
          <w:szCs w:val="24"/>
        </w:rPr>
        <w:t xml:space="preserve">8. Dane o możliwym </w:t>
      </w:r>
      <w:proofErr w:type="spellStart"/>
      <w:r w:rsidRPr="004E2A09">
        <w:rPr>
          <w:b/>
          <w:bCs/>
          <w:sz w:val="24"/>
          <w:szCs w:val="24"/>
        </w:rPr>
        <w:t>transgranicznym</w:t>
      </w:r>
      <w:proofErr w:type="spellEnd"/>
      <w:r w:rsidRPr="004E2A09">
        <w:rPr>
          <w:b/>
          <w:bCs/>
          <w:sz w:val="24"/>
          <w:szCs w:val="24"/>
        </w:rPr>
        <w:t xml:space="preserve"> oddziaływania na środowisko.</w:t>
      </w:r>
    </w:p>
    <w:p w:rsidR="004C276A" w:rsidRPr="004E2A09" w:rsidRDefault="004C276A" w:rsidP="004C276A">
      <w:pPr>
        <w:jc w:val="both"/>
        <w:rPr>
          <w:sz w:val="24"/>
          <w:szCs w:val="24"/>
        </w:rPr>
      </w:pPr>
      <w:r w:rsidRPr="004E2A09">
        <w:rPr>
          <w:sz w:val="24"/>
          <w:szCs w:val="24"/>
        </w:rPr>
        <w:t>Nie dotyczy.</w:t>
      </w:r>
    </w:p>
    <w:p w:rsidR="004C276A" w:rsidRPr="00F017BA" w:rsidRDefault="004C276A" w:rsidP="004C276A">
      <w:pPr>
        <w:jc w:val="both"/>
        <w:rPr>
          <w:rFonts w:ascii="Arial" w:hAnsi="Arial"/>
          <w:sz w:val="22"/>
          <w:szCs w:val="22"/>
        </w:rPr>
      </w:pPr>
    </w:p>
    <w:p w:rsidR="004C276A" w:rsidRPr="001E4BD7" w:rsidRDefault="004C276A" w:rsidP="004C276A">
      <w:pPr>
        <w:jc w:val="both"/>
        <w:rPr>
          <w:b/>
          <w:bCs/>
          <w:sz w:val="24"/>
          <w:szCs w:val="24"/>
        </w:rPr>
      </w:pPr>
      <w:r w:rsidRPr="004E2A09">
        <w:rPr>
          <w:b/>
          <w:bCs/>
          <w:sz w:val="24"/>
          <w:szCs w:val="24"/>
        </w:rPr>
        <w:t>9. Dane o obszar</w:t>
      </w:r>
      <w:r>
        <w:rPr>
          <w:b/>
          <w:bCs/>
          <w:sz w:val="24"/>
          <w:szCs w:val="24"/>
        </w:rPr>
        <w:t>ach</w:t>
      </w:r>
      <w:r w:rsidRPr="004E2A09">
        <w:rPr>
          <w:b/>
          <w:bCs/>
          <w:sz w:val="24"/>
          <w:szCs w:val="24"/>
        </w:rPr>
        <w:t xml:space="preserve"> podlegających ochronie na podstawie ustawy z dnia 16 kwietnia 2004 r. o ochronie przyrody </w:t>
      </w:r>
      <w:r w:rsidR="001E4BD7" w:rsidRPr="001E4BD7">
        <w:rPr>
          <w:b/>
          <w:sz w:val="24"/>
          <w:szCs w:val="24"/>
        </w:rPr>
        <w:t>( Dz. U. z 2013 r., poz.627 ze zm.).</w:t>
      </w:r>
      <w:r w:rsidRPr="001E4BD7">
        <w:rPr>
          <w:b/>
          <w:bCs/>
          <w:sz w:val="24"/>
          <w:szCs w:val="24"/>
        </w:rPr>
        <w:t xml:space="preserve">znajdujących się w zasięgu znaczącego oddziaływania przedsięwzięcia. </w:t>
      </w:r>
    </w:p>
    <w:p w:rsidR="004C276A" w:rsidRDefault="004C276A" w:rsidP="004C276A">
      <w:pPr>
        <w:jc w:val="both"/>
        <w:rPr>
          <w:b/>
          <w:bCs/>
          <w:sz w:val="24"/>
          <w:szCs w:val="24"/>
        </w:rPr>
      </w:pPr>
    </w:p>
    <w:p w:rsidR="009D57E9" w:rsidRPr="00150C46" w:rsidRDefault="007318A0" w:rsidP="009D57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D57E9" w:rsidRPr="00150C46">
        <w:rPr>
          <w:sz w:val="24"/>
          <w:szCs w:val="24"/>
        </w:rPr>
        <w:t xml:space="preserve"> zasięgu  oddziaływania planowanego do realizacji przedsięwzięcia oraz w jego pobliżu nie występują chronione obszary wodno-błotne, obszary górskie, obszary leśne, obszary przylegające do jezior, a także obszary wymagające specjalnej ochrony ze względu na występowanie gatunków roślin i zwierząt lub ich siedlisk lub siedlisk przyrodniczych objętych ochroną,  w tym obszary  Natura 2000 oraz pozostałe formy ochrony przyrody- w rozumieniu art.6 ustawy z dnia 16 kwietnia 2004 roku o ochronie przyrody ( Dz. U. z 2013 r., poz.627 ze zm.).</w:t>
      </w:r>
    </w:p>
    <w:p w:rsidR="009D57E9" w:rsidRPr="00150C46" w:rsidRDefault="009D57E9" w:rsidP="009D57E9">
      <w:pPr>
        <w:spacing w:line="276" w:lineRule="auto"/>
        <w:jc w:val="both"/>
        <w:rPr>
          <w:sz w:val="24"/>
          <w:szCs w:val="24"/>
        </w:rPr>
      </w:pPr>
      <w:r w:rsidRPr="00150C46">
        <w:rPr>
          <w:sz w:val="24"/>
          <w:szCs w:val="24"/>
        </w:rPr>
        <w:t xml:space="preserve">Najbliżej położony obszar mający znaczenie dla Wspólnoty – projektowany Specjalny Obszar Ochrony Siedlisk Natura 2000 - „Pątnów Legnicki” PLH020052 znajduje się w odległości ok. 5 </w:t>
      </w:r>
      <w:proofErr w:type="spellStart"/>
      <w:r w:rsidRPr="00150C46">
        <w:rPr>
          <w:sz w:val="24"/>
          <w:szCs w:val="24"/>
        </w:rPr>
        <w:t>km</w:t>
      </w:r>
      <w:proofErr w:type="spellEnd"/>
      <w:r w:rsidRPr="00150C46">
        <w:rPr>
          <w:sz w:val="24"/>
          <w:szCs w:val="24"/>
        </w:rPr>
        <w:t>. Oceniając sk</w:t>
      </w:r>
      <w:bookmarkStart w:id="0" w:name="_GoBack"/>
      <w:bookmarkEnd w:id="0"/>
      <w:r w:rsidRPr="00150C46">
        <w:rPr>
          <w:sz w:val="24"/>
          <w:szCs w:val="24"/>
        </w:rPr>
        <w:t>alę i rodzaj możliwego oddziaływania stwierdzono, iż z uwagi na charakter przedsięwzięcia, zakres planowanych prac oraz lokalizację inwestycji w terenie przekształconym antropogenicznie, nie powinna ona oddziaływać na środowisko przyrodnicze w tym na ww. obszar Natura 2000.</w:t>
      </w:r>
    </w:p>
    <w:p w:rsidR="009D57E9" w:rsidRDefault="009D57E9" w:rsidP="004C276A">
      <w:pPr>
        <w:jc w:val="both"/>
        <w:rPr>
          <w:b/>
          <w:bCs/>
          <w:sz w:val="24"/>
          <w:szCs w:val="24"/>
        </w:rPr>
      </w:pPr>
    </w:p>
    <w:p w:rsidR="004C276A" w:rsidRPr="009D57E9" w:rsidRDefault="009D57E9" w:rsidP="009D57E9">
      <w:pPr>
        <w:pStyle w:val="arialblok"/>
        <w:spacing w:line="360" w:lineRule="auto"/>
        <w:ind w:left="0"/>
        <w:jc w:val="left"/>
        <w:rPr>
          <w:rFonts w:ascii="Times New Roman" w:hAnsi="Times New Roman" w:cs="Times New Roman"/>
          <w:b/>
          <w:szCs w:val="22"/>
        </w:rPr>
      </w:pPr>
      <w:r w:rsidRPr="009D57E9">
        <w:rPr>
          <w:rFonts w:ascii="Times New Roman" w:hAnsi="Times New Roman" w:cs="Times New Roman"/>
          <w:b/>
          <w:szCs w:val="22"/>
        </w:rPr>
        <w:t>10.</w:t>
      </w:r>
      <w:r>
        <w:rPr>
          <w:rFonts w:ascii="Times New Roman" w:hAnsi="Times New Roman" w:cs="Times New Roman"/>
          <w:b/>
          <w:szCs w:val="22"/>
        </w:rPr>
        <w:t xml:space="preserve"> KIP</w:t>
      </w:r>
    </w:p>
    <w:p w:rsidR="00756016" w:rsidRPr="00756016" w:rsidRDefault="00756016" w:rsidP="00756016">
      <w:pPr>
        <w:spacing w:line="336" w:lineRule="auto"/>
        <w:ind w:firstLine="708"/>
        <w:jc w:val="both"/>
        <w:rPr>
          <w:color w:val="000000"/>
          <w:sz w:val="24"/>
          <w:szCs w:val="24"/>
        </w:rPr>
      </w:pPr>
      <w:r w:rsidRPr="00BC039F">
        <w:rPr>
          <w:color w:val="000000"/>
          <w:sz w:val="24"/>
          <w:szCs w:val="24"/>
        </w:rPr>
        <w:t xml:space="preserve">Szczegółowe informacje oraz obliczenia dotyczące przedsięwzięcia znajdują się 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Karcie Informacyjnej </w:t>
      </w:r>
      <w:r w:rsidRPr="00BC039F">
        <w:rPr>
          <w:sz w:val="24"/>
          <w:szCs w:val="24"/>
        </w:rPr>
        <w:t xml:space="preserve">przedsięwzięcia na środowisko pn.: </w:t>
      </w:r>
      <w:r w:rsidRPr="00756016">
        <w:rPr>
          <w:sz w:val="24"/>
          <w:szCs w:val="24"/>
        </w:rPr>
        <w:t xml:space="preserve">„ Punkt do zbierania lub przeładunku złomu” </w:t>
      </w:r>
      <w:r>
        <w:rPr>
          <w:sz w:val="24"/>
          <w:szCs w:val="24"/>
        </w:rPr>
        <w:t xml:space="preserve">, </w:t>
      </w:r>
      <w:r w:rsidRPr="00756016">
        <w:rPr>
          <w:sz w:val="24"/>
          <w:szCs w:val="24"/>
        </w:rPr>
        <w:t>Przedsiębiorstwo Handlowo – Usługowe Józef Śl</w:t>
      </w:r>
      <w:r w:rsidR="009D57E9">
        <w:rPr>
          <w:sz w:val="24"/>
          <w:szCs w:val="24"/>
        </w:rPr>
        <w:t>ę</w:t>
      </w:r>
      <w:r w:rsidRPr="00756016">
        <w:rPr>
          <w:sz w:val="24"/>
          <w:szCs w:val="24"/>
        </w:rPr>
        <w:t>zak, ul. Senatorska 37, 59 – 220  Legnica, Chojnów 30 grudnia 2013r.</w:t>
      </w:r>
    </w:p>
    <w:p w:rsidR="004C276A" w:rsidRDefault="004C276A" w:rsidP="004C276A"/>
    <w:p w:rsidR="00A46B24" w:rsidRDefault="002E560C"/>
    <w:sectPr w:rsidR="00A46B24" w:rsidSect="00AD36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0C" w:rsidRDefault="002E560C" w:rsidP="004E7B3A">
      <w:r>
        <w:separator/>
      </w:r>
    </w:p>
  </w:endnote>
  <w:endnote w:type="continuationSeparator" w:id="0">
    <w:p w:rsidR="002E560C" w:rsidRDefault="002E560C" w:rsidP="004E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C3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689"/>
      <w:docPartObj>
        <w:docPartGallery w:val="Page Numbers (Bottom of Page)"/>
        <w:docPartUnique/>
      </w:docPartObj>
    </w:sdtPr>
    <w:sdtContent>
      <w:p w:rsidR="00BB7586" w:rsidRDefault="00BB7586">
        <w:pPr>
          <w:pStyle w:val="Stopka"/>
          <w:jc w:val="center"/>
        </w:pPr>
        <w:fldSimple w:instr=" PAGE   \* MERGEFORMAT ">
          <w:r w:rsidR="00F4576A">
            <w:rPr>
              <w:noProof/>
            </w:rPr>
            <w:t>5</w:t>
          </w:r>
        </w:fldSimple>
      </w:p>
    </w:sdtContent>
  </w:sdt>
  <w:p w:rsidR="00B65CC8" w:rsidRDefault="00B65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0C" w:rsidRDefault="002E560C" w:rsidP="004E7B3A">
      <w:r>
        <w:separator/>
      </w:r>
    </w:p>
  </w:footnote>
  <w:footnote w:type="continuationSeparator" w:id="0">
    <w:p w:rsidR="002E560C" w:rsidRDefault="002E560C" w:rsidP="004E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A" w:rsidRPr="00FB0F62" w:rsidRDefault="004E7B3A" w:rsidP="004E7B3A">
    <w:pPr>
      <w:rPr>
        <w:b/>
        <w:sz w:val="24"/>
        <w:szCs w:val="24"/>
      </w:rPr>
    </w:pPr>
    <w:r w:rsidRPr="00FB0F62">
      <w:rPr>
        <w:b/>
        <w:i/>
        <w:sz w:val="24"/>
        <w:szCs w:val="24"/>
      </w:rPr>
      <w:t xml:space="preserve">Załącznik </w:t>
    </w:r>
    <w:r w:rsidRPr="00FB0F62">
      <w:rPr>
        <w:b/>
        <w:sz w:val="24"/>
        <w:szCs w:val="24"/>
      </w:rPr>
      <w:t>nr 1 do decyzji Prezydenta Miasta Legnicy nr OŚR.6220.</w:t>
    </w:r>
    <w:r>
      <w:rPr>
        <w:b/>
        <w:sz w:val="24"/>
        <w:szCs w:val="24"/>
      </w:rPr>
      <w:t>14</w:t>
    </w:r>
    <w:r w:rsidRPr="00FB0F62">
      <w:rPr>
        <w:b/>
        <w:sz w:val="24"/>
        <w:szCs w:val="24"/>
      </w:rPr>
      <w:t>.201</w:t>
    </w:r>
    <w:r>
      <w:rPr>
        <w:b/>
        <w:sz w:val="24"/>
        <w:szCs w:val="24"/>
      </w:rPr>
      <w:t>4</w:t>
    </w:r>
    <w:r w:rsidRPr="00FB0F62">
      <w:rPr>
        <w:b/>
        <w:sz w:val="24"/>
        <w:szCs w:val="24"/>
      </w:rPr>
      <w:t xml:space="preserve">.VII </w:t>
    </w:r>
    <w:r>
      <w:rPr>
        <w:b/>
        <w:sz w:val="24"/>
        <w:szCs w:val="24"/>
      </w:rPr>
      <w:br/>
    </w:r>
    <w:r w:rsidRPr="00FB0F62">
      <w:rPr>
        <w:b/>
        <w:sz w:val="24"/>
        <w:szCs w:val="24"/>
      </w:rPr>
      <w:t xml:space="preserve">z dnia </w:t>
    </w:r>
    <w:r w:rsidR="00223C46">
      <w:rPr>
        <w:b/>
        <w:sz w:val="24"/>
        <w:szCs w:val="24"/>
      </w:rPr>
      <w:t>21. 07.</w:t>
    </w:r>
    <w:r>
      <w:rPr>
        <w:b/>
        <w:sz w:val="24"/>
        <w:szCs w:val="24"/>
      </w:rPr>
      <w:t xml:space="preserve"> </w:t>
    </w:r>
    <w:r w:rsidRPr="00FB0F62">
      <w:rPr>
        <w:b/>
        <w:sz w:val="24"/>
        <w:szCs w:val="24"/>
      </w:rPr>
      <w:t>2014r.</w:t>
    </w:r>
  </w:p>
  <w:p w:rsidR="004E7B3A" w:rsidRDefault="004E7B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0B0"/>
    <w:multiLevelType w:val="hybridMultilevel"/>
    <w:tmpl w:val="B054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4688"/>
    <w:multiLevelType w:val="hybridMultilevel"/>
    <w:tmpl w:val="9E46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FF2"/>
    <w:multiLevelType w:val="hybridMultilevel"/>
    <w:tmpl w:val="BD02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D0D1C"/>
    <w:multiLevelType w:val="hybridMultilevel"/>
    <w:tmpl w:val="73D4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6A"/>
    <w:rsid w:val="000934F6"/>
    <w:rsid w:val="000F0E4B"/>
    <w:rsid w:val="00150C46"/>
    <w:rsid w:val="001E4BD7"/>
    <w:rsid w:val="00223C46"/>
    <w:rsid w:val="002E560C"/>
    <w:rsid w:val="00315370"/>
    <w:rsid w:val="00371CD7"/>
    <w:rsid w:val="003B0400"/>
    <w:rsid w:val="004C276A"/>
    <w:rsid w:val="004D31B9"/>
    <w:rsid w:val="004E7B3A"/>
    <w:rsid w:val="005511D9"/>
    <w:rsid w:val="00624916"/>
    <w:rsid w:val="007318A0"/>
    <w:rsid w:val="00756016"/>
    <w:rsid w:val="00783390"/>
    <w:rsid w:val="007C0BD4"/>
    <w:rsid w:val="008E5B1B"/>
    <w:rsid w:val="009B2A5C"/>
    <w:rsid w:val="009D57E9"/>
    <w:rsid w:val="00AB5099"/>
    <w:rsid w:val="00B227F6"/>
    <w:rsid w:val="00B65CC8"/>
    <w:rsid w:val="00BB7586"/>
    <w:rsid w:val="00BE7442"/>
    <w:rsid w:val="00C04D01"/>
    <w:rsid w:val="00C500C8"/>
    <w:rsid w:val="00F04BA4"/>
    <w:rsid w:val="00F4576A"/>
    <w:rsid w:val="00F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lok">
    <w:name w:val="arial blok"/>
    <w:basedOn w:val="Normalny"/>
    <w:rsid w:val="004C276A"/>
    <w:pPr>
      <w:spacing w:line="300" w:lineRule="auto"/>
      <w:ind w:left="567"/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4E7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5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13</cp:revision>
  <cp:lastPrinted>2014-07-22T08:59:00Z</cp:lastPrinted>
  <dcterms:created xsi:type="dcterms:W3CDTF">2014-07-11T08:17:00Z</dcterms:created>
  <dcterms:modified xsi:type="dcterms:W3CDTF">2014-07-22T09:03:00Z</dcterms:modified>
</cp:coreProperties>
</file>