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97" w:rsidRPr="00B63597" w:rsidRDefault="00B63597" w:rsidP="00B63597">
      <w:pPr>
        <w:spacing w:line="276" w:lineRule="auto"/>
        <w:rPr>
          <w:b/>
          <w:sz w:val="24"/>
          <w:szCs w:val="24"/>
        </w:rPr>
      </w:pPr>
      <w:r w:rsidRPr="00B63597">
        <w:rPr>
          <w:b/>
          <w:sz w:val="24"/>
          <w:szCs w:val="24"/>
          <w:lang w:val="de-DE"/>
        </w:rPr>
        <w:t>PREZYDENT MIASTA</w:t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b/>
          <w:sz w:val="24"/>
          <w:szCs w:val="24"/>
          <w:lang w:val="de-DE"/>
        </w:rPr>
        <w:tab/>
      </w:r>
      <w:r w:rsidRPr="00B63597">
        <w:rPr>
          <w:sz w:val="24"/>
          <w:szCs w:val="24"/>
        </w:rPr>
        <w:t xml:space="preserve">Legnica, </w:t>
      </w:r>
      <w:r w:rsidR="003F0EB7">
        <w:rPr>
          <w:sz w:val="24"/>
          <w:szCs w:val="24"/>
        </w:rPr>
        <w:t xml:space="preserve">21. 07. </w:t>
      </w:r>
      <w:r w:rsidRPr="00B63597">
        <w:rPr>
          <w:sz w:val="24"/>
          <w:szCs w:val="24"/>
        </w:rPr>
        <w:t>2014r.</w:t>
      </w:r>
    </w:p>
    <w:p w:rsidR="00B63597" w:rsidRPr="00B63597" w:rsidRDefault="00B63597" w:rsidP="00B63597">
      <w:pPr>
        <w:spacing w:line="276" w:lineRule="auto"/>
        <w:ind w:firstLine="708"/>
        <w:jc w:val="both"/>
        <w:rPr>
          <w:b/>
          <w:sz w:val="24"/>
          <w:szCs w:val="24"/>
          <w:lang w:val="de-DE"/>
        </w:rPr>
      </w:pPr>
      <w:r w:rsidRPr="00B63597">
        <w:rPr>
          <w:b/>
          <w:sz w:val="24"/>
          <w:szCs w:val="24"/>
          <w:lang w:val="de-DE"/>
        </w:rPr>
        <w:t>LEGNICY</w:t>
      </w:r>
    </w:p>
    <w:p w:rsidR="00B63597" w:rsidRDefault="00B63597" w:rsidP="00B63597">
      <w:pPr>
        <w:pStyle w:val="Standard"/>
        <w:spacing w:line="276" w:lineRule="auto"/>
        <w:jc w:val="both"/>
        <w:rPr>
          <w:b/>
        </w:rPr>
      </w:pPr>
      <w:r w:rsidRPr="00526FA5">
        <w:rPr>
          <w:b/>
        </w:rPr>
        <w:t>OŚR.6220.14.2014.VII</w:t>
      </w:r>
    </w:p>
    <w:p w:rsidR="00B63597" w:rsidRDefault="00B63597" w:rsidP="00B63597">
      <w:pPr>
        <w:rPr>
          <w:sz w:val="24"/>
          <w:szCs w:val="24"/>
        </w:rPr>
      </w:pPr>
    </w:p>
    <w:p w:rsidR="00EB4C62" w:rsidRPr="0001078E" w:rsidRDefault="00EB4C62" w:rsidP="00EB4C62">
      <w:pPr>
        <w:jc w:val="center"/>
        <w:rPr>
          <w:b/>
          <w:sz w:val="28"/>
          <w:szCs w:val="28"/>
        </w:rPr>
      </w:pPr>
      <w:r w:rsidRPr="0001078E">
        <w:rPr>
          <w:b/>
          <w:sz w:val="28"/>
          <w:szCs w:val="28"/>
        </w:rPr>
        <w:t>DECYZJA</w:t>
      </w:r>
    </w:p>
    <w:p w:rsidR="00EB4C62" w:rsidRDefault="00EB4C62" w:rsidP="00B63597">
      <w:pPr>
        <w:rPr>
          <w:sz w:val="24"/>
          <w:szCs w:val="24"/>
        </w:rPr>
      </w:pPr>
    </w:p>
    <w:p w:rsidR="00EB4C62" w:rsidRDefault="00EB4C62" w:rsidP="00B63597">
      <w:pPr>
        <w:rPr>
          <w:sz w:val="24"/>
          <w:szCs w:val="24"/>
        </w:rPr>
      </w:pPr>
    </w:p>
    <w:p w:rsidR="00EB4C62" w:rsidRPr="00EB4C62" w:rsidRDefault="00EB4C62" w:rsidP="00EB4C62">
      <w:pPr>
        <w:ind w:firstLine="708"/>
        <w:jc w:val="both"/>
        <w:rPr>
          <w:sz w:val="24"/>
          <w:szCs w:val="24"/>
        </w:rPr>
      </w:pPr>
      <w:r w:rsidRPr="00EB4C62">
        <w:rPr>
          <w:sz w:val="24"/>
          <w:szCs w:val="24"/>
        </w:rPr>
        <w:t xml:space="preserve">Na podstawie art. 71 ust. 2 pkt. 2 , art. 75 ust. 1 pkt. 4 oraz art.84 ust.1 i 2 ustawy z dnia 3 października 2008 r. </w:t>
      </w:r>
      <w:r w:rsidRPr="00EB4C62">
        <w:rPr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EB4C62">
        <w:rPr>
          <w:sz w:val="24"/>
          <w:szCs w:val="24"/>
        </w:rPr>
        <w:t xml:space="preserve"> (Dz. U. z 2013r., poz. 1235), a także na podstawie § 3 ust. </w:t>
      </w:r>
      <w:r w:rsidR="008B7C8A">
        <w:rPr>
          <w:sz w:val="24"/>
          <w:szCs w:val="24"/>
        </w:rPr>
        <w:t>1</w:t>
      </w:r>
      <w:r w:rsidRPr="00EB4C62">
        <w:rPr>
          <w:sz w:val="24"/>
          <w:szCs w:val="24"/>
        </w:rPr>
        <w:t xml:space="preserve"> pkt.81 rozporządzenia Rady Ministrów z dnia 9 listopada 2010r. w sprawie przedsięwzięć mogących znacząco oddziaływać na środowisko (</w:t>
      </w:r>
      <w:proofErr w:type="spellStart"/>
      <w:r w:rsidRPr="00EB4C62">
        <w:rPr>
          <w:sz w:val="24"/>
          <w:szCs w:val="24"/>
        </w:rPr>
        <w:t>Dz.U</w:t>
      </w:r>
      <w:proofErr w:type="spellEnd"/>
      <w:r w:rsidRPr="00EB4C62">
        <w:rPr>
          <w:sz w:val="24"/>
          <w:szCs w:val="24"/>
        </w:rPr>
        <w:t xml:space="preserve">. Nr 213 poz. 1397), oraz art. 104 ustawy z dnia 14 czerwca 1960 r. Kodeks postępowania administracyjnego (tekst jedn. Dz. U. z 2000r. Nr 98, poz.1071 z </w:t>
      </w:r>
      <w:proofErr w:type="spellStart"/>
      <w:r w:rsidRPr="00EB4C62">
        <w:rPr>
          <w:sz w:val="24"/>
          <w:szCs w:val="24"/>
        </w:rPr>
        <w:t>późn</w:t>
      </w:r>
      <w:proofErr w:type="spellEnd"/>
      <w:r w:rsidRPr="00EB4C62">
        <w:rPr>
          <w:sz w:val="24"/>
          <w:szCs w:val="24"/>
        </w:rPr>
        <w:t>. zm.),</w:t>
      </w:r>
    </w:p>
    <w:p w:rsidR="00EB4C62" w:rsidRPr="00EB4C62" w:rsidRDefault="00EB4C62" w:rsidP="00EB4C62">
      <w:pPr>
        <w:ind w:firstLine="708"/>
        <w:jc w:val="both"/>
        <w:rPr>
          <w:sz w:val="24"/>
          <w:szCs w:val="24"/>
        </w:rPr>
      </w:pPr>
      <w:r w:rsidRPr="00EB4C62">
        <w:rPr>
          <w:sz w:val="24"/>
          <w:szCs w:val="24"/>
        </w:rPr>
        <w:t>po rozpatrzeniu wniosku z dnia 28.05.2014 r.  złożonego przez Pana Józefa Ślęzaka prowadzącego działalność  gospodarczą pod nazwą Przedsiębiorstwo Handlowo – Usługowe Józef Ślęzak ul. Senatorska 37, 59 - 220 Legnica, w sprawie wydania decyzji o środowiskowych uwarunkowaniach  na realizację przedsięwzięcia pn.</w:t>
      </w:r>
      <w:r w:rsidRPr="00EB4C62">
        <w:rPr>
          <w:b/>
          <w:sz w:val="24"/>
          <w:szCs w:val="24"/>
        </w:rPr>
        <w:t xml:space="preserve"> </w:t>
      </w:r>
      <w:r w:rsidRPr="00EB4C62">
        <w:rPr>
          <w:sz w:val="24"/>
          <w:szCs w:val="24"/>
        </w:rPr>
        <w:t>„ Punkt do zbierania lub przeładunku złomu” zlokalizowanego w Legnicy na działkach nr 199/4 obręb 0005 Piątnica oraz nr 150/13 obręb 0005 Piątnica przy ul. Prusa 13.,</w:t>
      </w:r>
    </w:p>
    <w:p w:rsidR="00EB4C62" w:rsidRPr="00EB4C62" w:rsidRDefault="00EB4C62" w:rsidP="00EB4C62">
      <w:pPr>
        <w:spacing w:line="276" w:lineRule="auto"/>
        <w:ind w:firstLine="708"/>
        <w:jc w:val="both"/>
        <w:rPr>
          <w:sz w:val="24"/>
          <w:szCs w:val="24"/>
        </w:rPr>
      </w:pPr>
      <w:r w:rsidRPr="00EB4C62">
        <w:rPr>
          <w:sz w:val="24"/>
          <w:szCs w:val="24"/>
        </w:rPr>
        <w:t xml:space="preserve">oraz po zasięgnięciu opinii organów o których mowa w art.64 ust.1 </w:t>
      </w:r>
      <w:proofErr w:type="spellStart"/>
      <w:r w:rsidRPr="00EB4C62">
        <w:rPr>
          <w:sz w:val="24"/>
          <w:szCs w:val="24"/>
        </w:rPr>
        <w:t>pkt</w:t>
      </w:r>
      <w:proofErr w:type="spellEnd"/>
      <w:r w:rsidRPr="00EB4C62">
        <w:rPr>
          <w:sz w:val="24"/>
          <w:szCs w:val="24"/>
        </w:rPr>
        <w:t xml:space="preserve"> 1 i 2 i </w:t>
      </w:r>
      <w:r w:rsidR="005C26E8">
        <w:rPr>
          <w:sz w:val="24"/>
          <w:szCs w:val="24"/>
        </w:rPr>
        <w:t xml:space="preserve">art.78 ust.1 </w:t>
      </w:r>
      <w:proofErr w:type="spellStart"/>
      <w:r w:rsidR="005C26E8">
        <w:rPr>
          <w:sz w:val="24"/>
          <w:szCs w:val="24"/>
        </w:rPr>
        <w:t>pkt</w:t>
      </w:r>
      <w:proofErr w:type="spellEnd"/>
      <w:r w:rsidR="005C26E8">
        <w:rPr>
          <w:sz w:val="24"/>
          <w:szCs w:val="24"/>
        </w:rPr>
        <w:t xml:space="preserve"> 2 ww. ustawy </w:t>
      </w:r>
      <w:r w:rsidRPr="00EB4C62">
        <w:rPr>
          <w:sz w:val="24"/>
          <w:szCs w:val="24"/>
        </w:rPr>
        <w:t>z dnia 3 października 2008 roku,</w:t>
      </w:r>
    </w:p>
    <w:p w:rsidR="00EB4C62" w:rsidRPr="00EB4C62" w:rsidRDefault="00EB4C62" w:rsidP="00EB4C62">
      <w:pPr>
        <w:spacing w:line="276" w:lineRule="auto"/>
        <w:ind w:firstLine="708"/>
        <w:jc w:val="both"/>
        <w:rPr>
          <w:sz w:val="24"/>
          <w:szCs w:val="24"/>
        </w:rPr>
      </w:pPr>
    </w:p>
    <w:p w:rsidR="00EB4C62" w:rsidRDefault="00EB4C62" w:rsidP="00EB4C62">
      <w:pPr>
        <w:spacing w:line="360" w:lineRule="auto"/>
        <w:jc w:val="center"/>
        <w:rPr>
          <w:b/>
          <w:sz w:val="24"/>
          <w:szCs w:val="24"/>
        </w:rPr>
      </w:pPr>
      <w:r w:rsidRPr="00EB4C62">
        <w:rPr>
          <w:b/>
          <w:sz w:val="24"/>
          <w:szCs w:val="24"/>
        </w:rPr>
        <w:t>stwierdzam</w:t>
      </w:r>
    </w:p>
    <w:p w:rsidR="00EB4C62" w:rsidRPr="00EB4C62" w:rsidRDefault="00EB4C62" w:rsidP="00EB4C62">
      <w:pPr>
        <w:spacing w:line="360" w:lineRule="auto"/>
        <w:jc w:val="center"/>
        <w:rPr>
          <w:b/>
          <w:sz w:val="24"/>
          <w:szCs w:val="24"/>
        </w:rPr>
      </w:pPr>
    </w:p>
    <w:p w:rsidR="00EB4C62" w:rsidRPr="00EB4C62" w:rsidRDefault="00EB4C62" w:rsidP="00CA063E">
      <w:pPr>
        <w:ind w:firstLine="708"/>
        <w:jc w:val="both"/>
        <w:rPr>
          <w:b/>
          <w:sz w:val="24"/>
          <w:szCs w:val="24"/>
        </w:rPr>
      </w:pPr>
      <w:r w:rsidRPr="00EB4C62">
        <w:rPr>
          <w:b/>
          <w:sz w:val="24"/>
          <w:szCs w:val="24"/>
        </w:rPr>
        <w:t xml:space="preserve">brak potrzeby przeprowadzenia oceny oddziaływania przedsięwzięcia </w:t>
      </w:r>
    </w:p>
    <w:p w:rsidR="00CC0B38" w:rsidRDefault="00EB4C62" w:rsidP="00CA063E">
      <w:pPr>
        <w:spacing w:line="276" w:lineRule="auto"/>
        <w:jc w:val="both"/>
        <w:rPr>
          <w:b/>
          <w:sz w:val="24"/>
          <w:szCs w:val="24"/>
        </w:rPr>
      </w:pPr>
      <w:r w:rsidRPr="00EB4C62">
        <w:rPr>
          <w:b/>
          <w:sz w:val="24"/>
          <w:szCs w:val="24"/>
        </w:rPr>
        <w:t>pn.: „ Punkt do zbierania lub przeładunku złomu” zlokalizowanego w Legnicy na działkach nr 199/4 obręb 0005 Piątnica oraz nr 150/13 obręb 0005 Piątnica przy ul. Prusa 13.</w:t>
      </w:r>
    </w:p>
    <w:p w:rsidR="00CC0B38" w:rsidRPr="00695080" w:rsidRDefault="00CA063E" w:rsidP="00CC0B38">
      <w:pPr>
        <w:pStyle w:val="Tekstpodstawowy"/>
        <w:tabs>
          <w:tab w:val="left" w:pos="360"/>
        </w:tabs>
        <w:suppressAutoHyphens/>
        <w:spacing w:line="312" w:lineRule="auto"/>
      </w:pPr>
      <w:r>
        <w:rPr>
          <w:b/>
        </w:rPr>
        <w:tab/>
      </w:r>
      <w:r w:rsidR="00CC0B38">
        <w:rPr>
          <w:b/>
        </w:rPr>
        <w:t>N</w:t>
      </w:r>
      <w:r w:rsidR="00CC0B38" w:rsidRPr="00695080">
        <w:rPr>
          <w:b/>
        </w:rPr>
        <w:t>ależy podjąć następujące działania</w:t>
      </w:r>
      <w:r w:rsidR="00CC0B38">
        <w:rPr>
          <w:b/>
        </w:rPr>
        <w:t xml:space="preserve"> w celu zminimalizowania oddziaływania akustycznego</w:t>
      </w:r>
      <w:r w:rsidR="00CC0B38" w:rsidRPr="00695080">
        <w:rPr>
          <w:b/>
        </w:rPr>
        <w:t>:</w:t>
      </w:r>
    </w:p>
    <w:p w:rsidR="00CC0B38" w:rsidRPr="00645D60" w:rsidRDefault="00CC0B38" w:rsidP="00CC0B38">
      <w:pPr>
        <w:pStyle w:val="Akapitzlist2"/>
        <w:spacing w:line="312" w:lineRule="auto"/>
        <w:ind w:left="0"/>
        <w:jc w:val="both"/>
        <w:rPr>
          <w:rFonts w:eastAsia="Calibri"/>
        </w:rPr>
      </w:pPr>
    </w:p>
    <w:p w:rsidR="005C26E8" w:rsidRPr="005C26E8" w:rsidRDefault="00D44D6A" w:rsidP="00CC0B38">
      <w:pPr>
        <w:pStyle w:val="Akapitzlist2"/>
        <w:numPr>
          <w:ilvl w:val="0"/>
          <w:numId w:val="4"/>
        </w:numPr>
        <w:spacing w:line="312" w:lineRule="auto"/>
        <w:ind w:left="709" w:hanging="142"/>
        <w:jc w:val="both"/>
        <w:rPr>
          <w:rFonts w:eastAsia="Calibri"/>
        </w:rPr>
      </w:pPr>
      <w:r>
        <w:rPr>
          <w:rFonts w:eastAsia="Calibri"/>
        </w:rPr>
        <w:t>Prace związane z sortowaniem, przesypywaniem, układaniem złomu należy prowadzić w halach , kontenery na złom ustawić w najdalszej możliwie odległości od obiektów chronio</w:t>
      </w:r>
      <w:r w:rsidR="008B7C8A">
        <w:rPr>
          <w:rFonts w:eastAsia="Calibri"/>
        </w:rPr>
        <w:t>nych (od budynków mieszkalnych).</w:t>
      </w:r>
    </w:p>
    <w:p w:rsidR="00813198" w:rsidRPr="00813198" w:rsidRDefault="00CC0B38" w:rsidP="00CC0B38">
      <w:pPr>
        <w:pStyle w:val="Akapitzlist2"/>
        <w:numPr>
          <w:ilvl w:val="0"/>
          <w:numId w:val="4"/>
        </w:numPr>
        <w:spacing w:line="312" w:lineRule="auto"/>
        <w:ind w:left="709" w:hanging="142"/>
        <w:jc w:val="both"/>
        <w:rPr>
          <w:rFonts w:eastAsia="Calibri"/>
        </w:rPr>
      </w:pPr>
      <w:r w:rsidRPr="009976DB">
        <w:rPr>
          <w:color w:val="000000"/>
        </w:rPr>
        <w:t xml:space="preserve">Eksploatację zakładu, w tym ruch kołowy, </w:t>
      </w:r>
      <w:r w:rsidRPr="009976DB">
        <w:rPr>
          <w:rStyle w:val="category"/>
          <w:color w:val="000000"/>
        </w:rPr>
        <w:t>prowadzić</w:t>
      </w:r>
      <w:r w:rsidRPr="009976DB">
        <w:rPr>
          <w:rStyle w:val="category"/>
          <w:rFonts w:eastAsia="Calibri"/>
          <w:color w:val="000000"/>
        </w:rPr>
        <w:t xml:space="preserve"> </w:t>
      </w:r>
      <w:r w:rsidR="00813198">
        <w:rPr>
          <w:rFonts w:eastAsia="Calibri"/>
          <w:color w:val="000000"/>
        </w:rPr>
        <w:t>w godzinach dziennych</w:t>
      </w:r>
      <w:r w:rsidR="008B7C8A">
        <w:rPr>
          <w:rFonts w:eastAsia="Calibri"/>
          <w:color w:val="000000"/>
        </w:rPr>
        <w:t>.</w:t>
      </w:r>
    </w:p>
    <w:p w:rsidR="00CC0B38" w:rsidRPr="009976DB" w:rsidRDefault="00CC0B38" w:rsidP="00CC0B38">
      <w:pPr>
        <w:pStyle w:val="Akapitzlist2"/>
        <w:numPr>
          <w:ilvl w:val="0"/>
          <w:numId w:val="4"/>
        </w:numPr>
        <w:spacing w:line="312" w:lineRule="auto"/>
        <w:ind w:left="709" w:hanging="142"/>
        <w:jc w:val="both"/>
        <w:rPr>
          <w:rFonts w:eastAsia="Calibri"/>
        </w:rPr>
      </w:pPr>
      <w:r w:rsidRPr="009976DB">
        <w:rPr>
          <w:rFonts w:eastAsia="Calibri"/>
          <w:color w:val="000000"/>
        </w:rPr>
        <w:t xml:space="preserve"> </w:t>
      </w:r>
      <w:r w:rsidRPr="009976DB">
        <w:rPr>
          <w:rStyle w:val="category"/>
          <w:color w:val="000000"/>
        </w:rPr>
        <w:t>Rozładunek i załadunek odpadów prowadzić przy zgaszonym silniku pojazdów do transportu odpadów</w:t>
      </w:r>
      <w:r w:rsidRPr="009976DB">
        <w:rPr>
          <w:rStyle w:val="category"/>
          <w:rFonts w:eastAsia="Calibri"/>
          <w:color w:val="000000"/>
        </w:rPr>
        <w:t>.</w:t>
      </w:r>
    </w:p>
    <w:p w:rsidR="004B5DDA" w:rsidRPr="009976DB" w:rsidRDefault="009976DB" w:rsidP="00813198">
      <w:pPr>
        <w:pStyle w:val="Akapitzlist2"/>
        <w:numPr>
          <w:ilvl w:val="0"/>
          <w:numId w:val="4"/>
        </w:numPr>
        <w:spacing w:line="312" w:lineRule="auto"/>
        <w:ind w:left="709" w:hanging="142"/>
        <w:jc w:val="both"/>
      </w:pPr>
      <w:r>
        <w:t xml:space="preserve">Złom </w:t>
      </w:r>
      <w:r w:rsidR="00D44D6A">
        <w:t xml:space="preserve">przekazywać odbiorcy zewnętrznemu z częstotliwością raz na dwa tygodnie. </w:t>
      </w:r>
    </w:p>
    <w:p w:rsidR="00813198" w:rsidRPr="009976DB" w:rsidRDefault="00813198" w:rsidP="00813198">
      <w:pPr>
        <w:pStyle w:val="Akapitzlist2"/>
        <w:numPr>
          <w:ilvl w:val="0"/>
          <w:numId w:val="4"/>
        </w:numPr>
        <w:spacing w:line="312" w:lineRule="auto"/>
        <w:ind w:left="709" w:hanging="142"/>
        <w:jc w:val="both"/>
        <w:rPr>
          <w:rFonts w:eastAsia="Calibri"/>
        </w:rPr>
      </w:pPr>
      <w:r w:rsidRPr="009976DB">
        <w:t>Niesprawne urządzenia mogące powodować podwyższony poziom hałasu w ich otoczeniu powinny być eliminowane z pracy.</w:t>
      </w:r>
    </w:p>
    <w:p w:rsidR="004B5DDA" w:rsidRDefault="004B5DDA" w:rsidP="00813198">
      <w:pPr>
        <w:pStyle w:val="Akapitzlist2"/>
        <w:spacing w:line="312" w:lineRule="auto"/>
        <w:ind w:left="709"/>
        <w:jc w:val="both"/>
        <w:rPr>
          <w:rFonts w:eastAsia="Calibri"/>
        </w:rPr>
      </w:pPr>
    </w:p>
    <w:p w:rsidR="008B7C8A" w:rsidRPr="00CB0EA0" w:rsidRDefault="008B7C8A" w:rsidP="00813198">
      <w:pPr>
        <w:pStyle w:val="Akapitzlist2"/>
        <w:spacing w:line="312" w:lineRule="auto"/>
        <w:ind w:left="709"/>
        <w:jc w:val="both"/>
        <w:rPr>
          <w:rFonts w:eastAsia="Calibri"/>
        </w:rPr>
      </w:pPr>
    </w:p>
    <w:p w:rsidR="00EB4C62" w:rsidRDefault="00EB4C62" w:rsidP="00EB4C62">
      <w:pPr>
        <w:spacing w:line="276" w:lineRule="auto"/>
        <w:jc w:val="both"/>
        <w:rPr>
          <w:sz w:val="24"/>
          <w:szCs w:val="24"/>
        </w:rPr>
      </w:pPr>
    </w:p>
    <w:p w:rsidR="00B63597" w:rsidRDefault="00B63597" w:rsidP="00EB4C62">
      <w:pPr>
        <w:spacing w:line="276" w:lineRule="auto"/>
        <w:ind w:left="2124" w:firstLine="708"/>
        <w:jc w:val="both"/>
        <w:rPr>
          <w:b/>
          <w:sz w:val="28"/>
          <w:szCs w:val="28"/>
        </w:rPr>
      </w:pPr>
      <w:r w:rsidRPr="00EE29C2">
        <w:rPr>
          <w:b/>
          <w:sz w:val="28"/>
          <w:szCs w:val="28"/>
        </w:rPr>
        <w:lastRenderedPageBreak/>
        <w:t>UZASADNIENIE</w:t>
      </w:r>
    </w:p>
    <w:p w:rsidR="00B63597" w:rsidRDefault="00B63597" w:rsidP="00B63597">
      <w:pPr>
        <w:jc w:val="center"/>
        <w:rPr>
          <w:b/>
          <w:sz w:val="28"/>
          <w:szCs w:val="28"/>
        </w:rPr>
      </w:pP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 xml:space="preserve">Pan Józef Ślęzak prowadzący działalność  gospodarczą pod nazwą Przedsiębiorstwo Handlowo – Usługowe Józef Ślęzak ul. Senatorska 37, 59-220 Legnica, wystąpił z wnioskiem o wydanie decyzji o środowiskowych uwarunkowaniach na realizację przedsięwzięcia </w:t>
      </w:r>
    </w:p>
    <w:p w:rsidR="003209D6" w:rsidRPr="003209D6" w:rsidRDefault="003209D6" w:rsidP="003209D6">
      <w:pPr>
        <w:spacing w:line="276" w:lineRule="auto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pn.</w:t>
      </w:r>
      <w:r w:rsidRPr="003209D6">
        <w:rPr>
          <w:b/>
          <w:sz w:val="24"/>
          <w:szCs w:val="24"/>
        </w:rPr>
        <w:t xml:space="preserve"> </w:t>
      </w:r>
      <w:r w:rsidRPr="003209D6">
        <w:rPr>
          <w:sz w:val="24"/>
          <w:szCs w:val="24"/>
        </w:rPr>
        <w:t xml:space="preserve">„ Punkt do zbierania lub przeładunku złomu” zlokalizowanego w Legnicy na działkach </w:t>
      </w:r>
      <w:r w:rsidRPr="003209D6">
        <w:rPr>
          <w:sz w:val="24"/>
          <w:szCs w:val="24"/>
        </w:rPr>
        <w:br/>
        <w:t>nr 199/4 obręb 0005 Piątnica oraz nr 150/13 obręb 0005 Piątnica przy ul. Prusa 13.</w:t>
      </w:r>
    </w:p>
    <w:p w:rsidR="003209D6" w:rsidRPr="003209D6" w:rsidRDefault="003209D6" w:rsidP="003209D6">
      <w:pPr>
        <w:spacing w:line="276" w:lineRule="auto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Do wniosku załączono kartę informacyjną przedsięwzięcia.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 xml:space="preserve">Na podstawie § 3 ust. 1 </w:t>
      </w:r>
      <w:proofErr w:type="spellStart"/>
      <w:r w:rsidRPr="003209D6">
        <w:rPr>
          <w:sz w:val="24"/>
          <w:szCs w:val="24"/>
        </w:rPr>
        <w:t>pkt</w:t>
      </w:r>
      <w:proofErr w:type="spellEnd"/>
      <w:r w:rsidRPr="003209D6">
        <w:rPr>
          <w:sz w:val="24"/>
          <w:szCs w:val="24"/>
        </w:rPr>
        <w:t xml:space="preserve"> 81 rozporządzenia Rady Ministrów z dnia 9 listopada 2010r. w sprawie przedsięwzięć mogących znacząco oddziaływać na środowisko (</w:t>
      </w:r>
      <w:proofErr w:type="spellStart"/>
      <w:r w:rsidRPr="003209D6">
        <w:rPr>
          <w:sz w:val="24"/>
          <w:szCs w:val="24"/>
        </w:rPr>
        <w:t>Dz.U</w:t>
      </w:r>
      <w:proofErr w:type="spellEnd"/>
      <w:r w:rsidRPr="003209D6">
        <w:rPr>
          <w:sz w:val="24"/>
          <w:szCs w:val="24"/>
        </w:rPr>
        <w:t>.       Nr 213 poz. 1397), planowana inwestycja kwalifikuje się do przedsięwzięć mogących potencjalnie znacząco oddziaływać na środowisko, dla których obowiązek przeprowadzenia oceny oddziaływania na środowisko może być wymagany.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Zgodnie z art. 64 ust. 1 pkt. 1 i 2 oraz ust. 2 i art. 78 ustawy z dnia 3 października 2008 r. o udostępnianiu informacji o środowisku i jego ochronie, ud</w:t>
      </w:r>
      <w:r w:rsidR="00B43D5F">
        <w:rPr>
          <w:sz w:val="24"/>
          <w:szCs w:val="24"/>
        </w:rPr>
        <w:t xml:space="preserve">ziale społeczeństwa   </w:t>
      </w:r>
      <w:r w:rsidRPr="003209D6">
        <w:rPr>
          <w:sz w:val="24"/>
          <w:szCs w:val="24"/>
        </w:rPr>
        <w:t xml:space="preserve">w ochronie środowiska oraz o ocenach oddziaływania na środowisko (Dz. U. z 2013r., poz. 1235), pismem nr OŚR.6220.14.2014.VII z dnia 09.06.2014 r. wystąpiono do Regionalnego Dyrektora Ochrony Środowiska we Wrocławiu oraz Państwowego Powiatowego Inspektora Sanitarnego w Legnicy o wydanie opinii co do potrzeby przeprowadzenia oceny oddziaływania przedsięwzięcia na środowisko, a w przypadku stwierdzenia takiej potrzeby – co do zakresu raportu </w:t>
      </w:r>
      <w:bookmarkStart w:id="0" w:name="OLE_LINK6"/>
      <w:r w:rsidRPr="003209D6">
        <w:rPr>
          <w:sz w:val="24"/>
          <w:szCs w:val="24"/>
        </w:rPr>
        <w:t xml:space="preserve"> o oddziaływaniu przedsięwzięcia na środowisko</w:t>
      </w:r>
      <w:bookmarkEnd w:id="0"/>
      <w:r w:rsidRPr="003209D6">
        <w:rPr>
          <w:sz w:val="24"/>
          <w:szCs w:val="24"/>
        </w:rPr>
        <w:t>.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Państwowy Powiatowy Inspektor Sanitarny w Legnicy postanowieniem nr 80/14                     z dnia 23 czerwca 2014 r. (pismo znak: ZNS-710-1-30/4635/14) wyraził opinię o braku potrzeby przeprowadzenia oceny oddziaływania przedsięwzięcia na środowisko.</w:t>
      </w:r>
    </w:p>
    <w:p w:rsid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Regionalny Dyrektor Ochrony Środowiska we Wrocławiu postanowieniem znak: WOOŚ.4240.339.2014.AG z dnia 20 czerwca 2014 r. wyraził opinię, że dla w/w przedsięwzięcia nie istnieje konieczność przeprowadzenia oceny oddziaływania na środowisko.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Planowane przedsięwzięcie, które polega na prowadzeniu punktu skupu złomu, baterii i akumulatorów oraz zużytego sprzętu elektrycznego i elektronicznego zlokalizowane będzie w Legnicy na działkach nr 199/4 oraz nr 150/13 obręb 0005 Piątnica o łącznej powierzchni 3320, 00m</w:t>
      </w:r>
      <w:r w:rsidRPr="003209D6">
        <w:rPr>
          <w:sz w:val="24"/>
          <w:szCs w:val="24"/>
          <w:vertAlign w:val="superscript"/>
        </w:rPr>
        <w:t>2</w:t>
      </w:r>
      <w:r w:rsidRPr="003209D6">
        <w:rPr>
          <w:sz w:val="24"/>
          <w:szCs w:val="24"/>
        </w:rPr>
        <w:t>.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 xml:space="preserve">Dla terenu planowanej lokalizacji inwestycji brak jest  ustaleń miejscowego planu zagospodarowania przestrzennego. 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 xml:space="preserve">Pomieszczenia oraz plac, na którym będzie prowadzona działalność, zlokalizowane są na terenie byłej firmy </w:t>
      </w:r>
      <w:proofErr w:type="spellStart"/>
      <w:r w:rsidRPr="003209D6">
        <w:rPr>
          <w:sz w:val="24"/>
          <w:szCs w:val="24"/>
        </w:rPr>
        <w:t>PRGiW</w:t>
      </w:r>
      <w:proofErr w:type="spellEnd"/>
      <w:r w:rsidRPr="003209D6">
        <w:rPr>
          <w:sz w:val="24"/>
          <w:szCs w:val="24"/>
        </w:rPr>
        <w:t xml:space="preserve"> WIERTEX SA. </w:t>
      </w:r>
    </w:p>
    <w:p w:rsidR="003209D6" w:rsidRPr="003209D6" w:rsidRDefault="003209D6" w:rsidP="003209D6">
      <w:pPr>
        <w:spacing w:line="276" w:lineRule="auto"/>
        <w:ind w:firstLine="708"/>
        <w:jc w:val="both"/>
        <w:rPr>
          <w:sz w:val="24"/>
          <w:szCs w:val="24"/>
        </w:rPr>
      </w:pPr>
      <w:r w:rsidRPr="003209D6">
        <w:rPr>
          <w:sz w:val="24"/>
          <w:szCs w:val="24"/>
        </w:rPr>
        <w:t>Na terenie obiektu znajdują się budynki magazynowe oraz niezagospodarowane pomieszczenia. Droga dojazdowa oraz teren jest utwardzony, wybetonowany, ogrodzony.</w:t>
      </w:r>
    </w:p>
    <w:p w:rsidR="003209D6" w:rsidRPr="003209D6" w:rsidRDefault="003209D6" w:rsidP="003209D6">
      <w:pPr>
        <w:spacing w:line="276" w:lineRule="auto"/>
        <w:jc w:val="both"/>
        <w:rPr>
          <w:sz w:val="24"/>
          <w:szCs w:val="24"/>
        </w:rPr>
      </w:pPr>
      <w:r w:rsidRPr="003209D6">
        <w:rPr>
          <w:sz w:val="24"/>
          <w:szCs w:val="24"/>
        </w:rPr>
        <w:t xml:space="preserve">Teren pokryty jest w 15% zielenią, która nie koliduje z realizacją zamierzonej inwestycji. </w:t>
      </w:r>
    </w:p>
    <w:p w:rsidR="003209D6" w:rsidRPr="003209D6" w:rsidRDefault="003209D6" w:rsidP="003209D6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  <w:r w:rsidRPr="003209D6">
        <w:rPr>
          <w:rFonts w:eastAsia="TTC3Co00"/>
          <w:sz w:val="24"/>
          <w:szCs w:val="24"/>
          <w:lang w:eastAsia="en-US"/>
        </w:rPr>
        <w:t>Teren inwestycji to typowy obszar miejski, mieszkaniowo-przemysłowy. Na obszarze sąsiednim brak jest chronionych elementów przyrodniczych.</w:t>
      </w:r>
    </w:p>
    <w:p w:rsidR="00C1527E" w:rsidRPr="00C1527E" w:rsidRDefault="00C1527E" w:rsidP="00C1527E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C1527E">
        <w:rPr>
          <w:rFonts w:eastAsia="TTC3Co00"/>
          <w:sz w:val="24"/>
          <w:szCs w:val="24"/>
          <w:lang w:eastAsia="en-US"/>
        </w:rPr>
        <w:t>Teren jest uzbrojony w sieć energetyczną, dopływ wody, zrzut ścieków i wód opadowych do istniejącej sieci kanalizacji.</w:t>
      </w:r>
    </w:p>
    <w:p w:rsidR="00C1527E" w:rsidRPr="00C1527E" w:rsidRDefault="00C1527E" w:rsidP="00C1527E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C1527E">
        <w:rPr>
          <w:rFonts w:eastAsia="TTC3Co00"/>
          <w:sz w:val="24"/>
          <w:szCs w:val="24"/>
          <w:lang w:eastAsia="en-US"/>
        </w:rPr>
        <w:lastRenderedPageBreak/>
        <w:t xml:space="preserve">Inwestycja polega na prowadzeniu punktu skupu złomu, baterii i akumulatorów oraz zużytego sprzętu elektrycznego i elektronicznego. Odpady będą zbierane w sposób selektywny . </w:t>
      </w:r>
    </w:p>
    <w:p w:rsidR="00C1527E" w:rsidRPr="00C1527E" w:rsidRDefault="00C1527E" w:rsidP="00C1527E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C1527E">
        <w:rPr>
          <w:rFonts w:eastAsia="TTC3Co00"/>
          <w:sz w:val="24"/>
          <w:szCs w:val="24"/>
          <w:lang w:eastAsia="en-US"/>
        </w:rPr>
        <w:t>Zebrane odpady, po czasowym magazynowaniu przekazywane będą uprawnionemu odbiorcy posiadającemu stosowne zezwolenie w zakresie gospodarowania odpadami.</w:t>
      </w:r>
    </w:p>
    <w:p w:rsidR="00C1527E" w:rsidRPr="00C1527E" w:rsidRDefault="00C1527E" w:rsidP="00C1527E">
      <w:pPr>
        <w:autoSpaceDE w:val="0"/>
        <w:autoSpaceDN w:val="0"/>
        <w:adjustRightInd w:val="0"/>
        <w:ind w:firstLine="708"/>
        <w:jc w:val="both"/>
        <w:rPr>
          <w:rFonts w:eastAsia="TTC3Co00"/>
          <w:sz w:val="24"/>
          <w:szCs w:val="24"/>
          <w:lang w:eastAsia="en-US"/>
        </w:rPr>
      </w:pPr>
      <w:r w:rsidRPr="00C1527E">
        <w:rPr>
          <w:sz w:val="24"/>
          <w:szCs w:val="24"/>
        </w:rPr>
        <w:t>Prowadzona będzie ewidencja wszystkich zebranych odpadów zgodnie z wymaganiami ustawy o odpadach.</w:t>
      </w:r>
    </w:p>
    <w:p w:rsidR="00C1527E" w:rsidRPr="00C1527E" w:rsidRDefault="00C1527E" w:rsidP="00C1527E">
      <w:pPr>
        <w:spacing w:line="276" w:lineRule="auto"/>
        <w:ind w:firstLine="708"/>
        <w:jc w:val="both"/>
        <w:rPr>
          <w:sz w:val="24"/>
          <w:szCs w:val="24"/>
        </w:rPr>
      </w:pPr>
      <w:r w:rsidRPr="00C1527E">
        <w:rPr>
          <w:sz w:val="24"/>
          <w:szCs w:val="24"/>
        </w:rPr>
        <w:t xml:space="preserve">Złom stalowy magazynowany będzie w kontenerach ustawionych na wybetonowanym placu, pozostały złom będzie  magazynowany w metalowych, opisanych sześciocyfrowym kodem  pojemnikach, ustawionych na podłożu betonowym, w zamkniętym pomieszczeniu magazynowym. Podłoże jest dodatkowo wyłożone płytkami ceramicznymi gwarantującymi szczelność. </w:t>
      </w:r>
    </w:p>
    <w:p w:rsidR="00C1527E" w:rsidRPr="00C1527E" w:rsidRDefault="00C1527E" w:rsidP="00C1527E">
      <w:pPr>
        <w:spacing w:line="276" w:lineRule="auto"/>
        <w:ind w:firstLine="708"/>
        <w:jc w:val="both"/>
        <w:rPr>
          <w:sz w:val="24"/>
          <w:szCs w:val="24"/>
        </w:rPr>
      </w:pPr>
      <w:r w:rsidRPr="00C1527E">
        <w:rPr>
          <w:sz w:val="24"/>
          <w:szCs w:val="24"/>
        </w:rPr>
        <w:t xml:space="preserve">Baterie i akumulatory magazynowane będą w pojemnikach kwasoodpornych, w pomieszczeniu magazynowym. </w:t>
      </w:r>
    </w:p>
    <w:p w:rsidR="00C1527E" w:rsidRPr="00C1527E" w:rsidRDefault="00C1527E" w:rsidP="00C1527E">
      <w:pPr>
        <w:spacing w:line="276" w:lineRule="auto"/>
        <w:jc w:val="both"/>
        <w:rPr>
          <w:sz w:val="24"/>
          <w:szCs w:val="24"/>
        </w:rPr>
      </w:pPr>
      <w:r w:rsidRPr="00C1527E">
        <w:rPr>
          <w:sz w:val="24"/>
          <w:szCs w:val="24"/>
        </w:rPr>
        <w:t>Zużyty sprzęt elektryczny i elektroniczny magazynowany będzie w oznakowanych metalowych koszach i pojemnikach w osobnym pomieszczeniu magazynowym.</w:t>
      </w:r>
    </w:p>
    <w:p w:rsidR="00C1527E" w:rsidRPr="00C1527E" w:rsidRDefault="00C1527E" w:rsidP="00C1527E">
      <w:pPr>
        <w:spacing w:line="276" w:lineRule="auto"/>
        <w:ind w:firstLine="708"/>
        <w:jc w:val="both"/>
        <w:rPr>
          <w:sz w:val="24"/>
          <w:szCs w:val="24"/>
        </w:rPr>
      </w:pPr>
      <w:r w:rsidRPr="00C1527E">
        <w:rPr>
          <w:sz w:val="24"/>
          <w:szCs w:val="24"/>
        </w:rPr>
        <w:t>Cały teren przeznaczony na ww. działalność jest zabezpieczony monitoringiem oraz ogrodzony. Wszystkie pomieszczenia magazynowe posiadają dostęp do mediów.</w:t>
      </w:r>
    </w:p>
    <w:p w:rsidR="00C1527E" w:rsidRPr="00C1527E" w:rsidRDefault="00C1527E" w:rsidP="00C1527E">
      <w:pPr>
        <w:autoSpaceDE w:val="0"/>
        <w:autoSpaceDN w:val="0"/>
        <w:adjustRightInd w:val="0"/>
        <w:rPr>
          <w:rFonts w:eastAsia="TTC3Co00"/>
          <w:sz w:val="24"/>
          <w:szCs w:val="24"/>
          <w:lang w:eastAsia="en-US"/>
        </w:rPr>
      </w:pPr>
      <w:r w:rsidRPr="00C1527E">
        <w:rPr>
          <w:rFonts w:eastAsia="TTC3Co00"/>
          <w:sz w:val="24"/>
          <w:szCs w:val="24"/>
          <w:lang w:eastAsia="en-US"/>
        </w:rPr>
        <w:t>Obecnie firma zatrudnia na tym terenie 2 pracowników, docelowo maksymalne planowane</w:t>
      </w:r>
    </w:p>
    <w:p w:rsidR="00C1527E" w:rsidRPr="00C1527E" w:rsidRDefault="00C1527E" w:rsidP="00C1527E">
      <w:pPr>
        <w:spacing w:line="276" w:lineRule="auto"/>
        <w:jc w:val="both"/>
        <w:rPr>
          <w:rFonts w:eastAsia="TTC3Co00"/>
          <w:sz w:val="24"/>
          <w:szCs w:val="24"/>
          <w:lang w:eastAsia="en-US"/>
        </w:rPr>
      </w:pPr>
      <w:r w:rsidRPr="00C1527E">
        <w:rPr>
          <w:rFonts w:eastAsia="TTC3Co00"/>
          <w:sz w:val="24"/>
          <w:szCs w:val="24"/>
          <w:lang w:eastAsia="en-US"/>
        </w:rPr>
        <w:t>zatrudnienie to 3 osoby. Pracuje w systemie jednozmianowym.</w:t>
      </w:r>
    </w:p>
    <w:p w:rsidR="0086293D" w:rsidRDefault="00C1527E" w:rsidP="0086293D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ab/>
        <w:t xml:space="preserve">Nie przewiduje się wytwarzania ścieków technologicznych. Woda do celów socjalno – bytowych pobierana będzie z wodociągu miejskiego, ścieki sanitarne odprowadzane do  kanalizacji miejskiej ( umowa z Legnickim Przedsiębiorstwem Wodociągów i Kanalizacji). </w:t>
      </w:r>
    </w:p>
    <w:p w:rsidR="0086293D" w:rsidRPr="00F4576A" w:rsidRDefault="0086293D" w:rsidP="0086293D">
      <w:pPr>
        <w:autoSpaceDE w:val="0"/>
        <w:autoSpaceDN w:val="0"/>
        <w:adjustRightInd w:val="0"/>
        <w:ind w:firstLine="708"/>
        <w:rPr>
          <w:rFonts w:eastAsia="TTC3Co00"/>
          <w:sz w:val="24"/>
          <w:szCs w:val="24"/>
          <w:lang w:eastAsia="en-US"/>
        </w:rPr>
      </w:pPr>
      <w:r w:rsidRPr="00F4576A">
        <w:rPr>
          <w:rFonts w:eastAsia="TTC3Co00"/>
          <w:sz w:val="24"/>
          <w:szCs w:val="24"/>
          <w:lang w:eastAsia="en-US"/>
        </w:rPr>
        <w:t>Podczas pracy zakładu nie będą powstawały ścieki przemysłowe. Woda jest pobierana na cele</w:t>
      </w:r>
      <w:r>
        <w:rPr>
          <w:rFonts w:eastAsia="TTC3Co00"/>
          <w:sz w:val="24"/>
          <w:szCs w:val="24"/>
          <w:lang w:eastAsia="en-US"/>
        </w:rPr>
        <w:t xml:space="preserve"> </w:t>
      </w:r>
      <w:r w:rsidRPr="00F4576A">
        <w:rPr>
          <w:rFonts w:eastAsia="TTC3Co00"/>
          <w:sz w:val="24"/>
          <w:szCs w:val="24"/>
          <w:lang w:eastAsia="en-US"/>
        </w:rPr>
        <w:t>socjalno – bytowe pracowników. Zarówno ścieki jak i wody opadowe odprowadzane będą do</w:t>
      </w:r>
      <w:r>
        <w:rPr>
          <w:rFonts w:eastAsia="TTC3Co00"/>
          <w:sz w:val="24"/>
          <w:szCs w:val="24"/>
          <w:lang w:eastAsia="en-US"/>
        </w:rPr>
        <w:t xml:space="preserve"> </w:t>
      </w:r>
      <w:r w:rsidRPr="00F4576A">
        <w:rPr>
          <w:rFonts w:eastAsia="TTC3Co00"/>
          <w:sz w:val="24"/>
          <w:szCs w:val="24"/>
          <w:lang w:eastAsia="en-US"/>
        </w:rPr>
        <w:t>istn</w:t>
      </w:r>
      <w:r>
        <w:rPr>
          <w:rFonts w:eastAsia="TTC3Co00"/>
          <w:sz w:val="24"/>
          <w:szCs w:val="24"/>
          <w:lang w:eastAsia="en-US"/>
        </w:rPr>
        <w:t>iejącej</w:t>
      </w:r>
      <w:r w:rsidRPr="00F4576A">
        <w:rPr>
          <w:rFonts w:eastAsia="TTC3Co00"/>
          <w:sz w:val="24"/>
          <w:szCs w:val="24"/>
          <w:lang w:eastAsia="en-US"/>
        </w:rPr>
        <w:t xml:space="preserve"> sieci kanalizacyjnej</w:t>
      </w:r>
      <w:r>
        <w:rPr>
          <w:rFonts w:eastAsia="TTC3Co00"/>
          <w:sz w:val="24"/>
          <w:szCs w:val="24"/>
          <w:lang w:eastAsia="en-US"/>
        </w:rPr>
        <w:t>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Do celów grzewczych wykorzystywana będzie energia elektryczna. Szacunkowe zapotrzebowanie na wodę wyniesie ok.45 m</w:t>
      </w:r>
      <w:r w:rsidRPr="00C1527E">
        <w:rPr>
          <w:bCs/>
          <w:sz w:val="24"/>
          <w:szCs w:val="24"/>
          <w:vertAlign w:val="superscript"/>
        </w:rPr>
        <w:t>3</w:t>
      </w:r>
      <w:r w:rsidRPr="00C1527E">
        <w:rPr>
          <w:bCs/>
          <w:sz w:val="24"/>
          <w:szCs w:val="24"/>
        </w:rPr>
        <w:t>/rok, zużycie energii elektrycznej – ok.500kWh.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Na etapie eksploatacji wystąpi emisja zanieczyszczeń do powietrza, której źródłem będą głównie silniki pojazdów przywożących i odbierających odpady. W wyniku prowadzenia działalności wystąpi także emisja hałasu związana z rozładunkiem, załadunkiem odpadów oraz z ruchem pojazdów.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Maksymalne natężenie ruchu pojazdów oszacowano na: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- samochody ciężarowe – 1 pojazd w porze dziennej (raz w tygodniu odwiezienie i przywiezienia kontenera),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- samochody osobowe – 2 pojazdy/16 godzin pracy w porze dziennej,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- wózek widłowy – 1 pojazd w porze dziennej (maks. 40 pojazdów).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>Z przedłożonej dokumentacji wynika, że klimat akustyczny wokół przedsięwzięcia kształtowany jest głównie przez hałas pochodzący z ruchu pojazdów na ul. Leszczyńskiej (droga wylotowa na Głogów) oraz na ul. B. Prusa.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tab/>
        <w:t>W celu ograniczenia  uciążliwości hałasowej Inwestor zaplanował prowadzenie prac związanych z sortowaniem, przesypywaniem i  układaniem złomu w budynku, kontenery na złom ustawione będą w jak największej odległości od terenów chronionych, a pojazdy poruszać się będą z ograniczona prędkością – ok.10km/h.</w:t>
      </w:r>
    </w:p>
    <w:p w:rsidR="00C1527E" w:rsidRPr="00C1527E" w:rsidRDefault="00C1527E" w:rsidP="00C1527E">
      <w:pPr>
        <w:tabs>
          <w:tab w:val="left" w:pos="340"/>
          <w:tab w:val="left" w:pos="680"/>
        </w:tabs>
        <w:spacing w:line="276" w:lineRule="auto"/>
        <w:jc w:val="both"/>
        <w:rPr>
          <w:bCs/>
          <w:sz w:val="24"/>
          <w:szCs w:val="24"/>
        </w:rPr>
      </w:pPr>
      <w:r w:rsidRPr="00C1527E">
        <w:rPr>
          <w:bCs/>
          <w:sz w:val="24"/>
          <w:szCs w:val="24"/>
        </w:rPr>
        <w:lastRenderedPageBreak/>
        <w:tab/>
        <w:t>Biorąc pod uwagę zakres prowadzonej działalności, lokalizację w sąsiedztwie dróg o dużym natężeniu ruchu, oddziaływanie planowanego zamierzenia inwestycyjnego nie powinno znacząco wpłynąć na obecny klimat akustyczny analizowanego terenu, a ponadto nie powinno spowodować znaczącego pogorszenia stanu powietrza na przedmiotowym terenie.</w:t>
      </w:r>
    </w:p>
    <w:p w:rsidR="00C1527E" w:rsidRPr="00C1527E" w:rsidRDefault="00C1527E" w:rsidP="00C1527E">
      <w:pPr>
        <w:spacing w:line="276" w:lineRule="auto"/>
        <w:jc w:val="both"/>
        <w:rPr>
          <w:sz w:val="24"/>
          <w:szCs w:val="24"/>
        </w:rPr>
      </w:pPr>
      <w:r w:rsidRPr="00C1527E">
        <w:rPr>
          <w:sz w:val="24"/>
          <w:szCs w:val="24"/>
        </w:rPr>
        <w:t>W ramach planowanej inwestycji nie przewiduje się wycinki drzew.</w:t>
      </w:r>
    </w:p>
    <w:p w:rsidR="00C1527E" w:rsidRDefault="00C1527E" w:rsidP="00C1527E">
      <w:pPr>
        <w:spacing w:line="276" w:lineRule="auto"/>
        <w:ind w:firstLine="708"/>
        <w:jc w:val="both"/>
        <w:rPr>
          <w:sz w:val="24"/>
          <w:szCs w:val="24"/>
        </w:rPr>
      </w:pPr>
      <w:r w:rsidRPr="00C1527E">
        <w:rPr>
          <w:sz w:val="24"/>
          <w:szCs w:val="24"/>
        </w:rPr>
        <w:t xml:space="preserve">Uwzględniając położenie przedsięwzięcia, charakter i wielkość oddziaływań, nie ma możliwości jakichkolwiek oddziaływań </w:t>
      </w:r>
      <w:proofErr w:type="spellStart"/>
      <w:r w:rsidRPr="00C1527E">
        <w:rPr>
          <w:sz w:val="24"/>
          <w:szCs w:val="24"/>
        </w:rPr>
        <w:t>transgranicznych</w:t>
      </w:r>
      <w:proofErr w:type="spellEnd"/>
      <w:r w:rsidRPr="00C1527E">
        <w:rPr>
          <w:sz w:val="24"/>
          <w:szCs w:val="24"/>
        </w:rPr>
        <w:t>.</w:t>
      </w:r>
    </w:p>
    <w:p w:rsidR="00C1527E" w:rsidRPr="00C1527E" w:rsidRDefault="00C1527E" w:rsidP="00C152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C1527E">
        <w:rPr>
          <w:sz w:val="24"/>
          <w:szCs w:val="24"/>
        </w:rPr>
        <w:t>Ponadto, w zakresie  aspektów przyrodniczych stwierdzono, że w zasięgu  oddziaływania planowanego do realizacji przedsięwzięcia oraz w jego pobliżu nie występują chronione obszary wodno-błotne, obszary górskie, obszary leśne, obszary przylegające do jezior, a także obszary wymagające specjalnej ochrony ze względu na występowanie gatunków roślin i zwierząt lub ich siedlisk lub siedlisk przyrodniczych objętych ochroną,  w tym obszary  Natura 2000 oraz pozostałe formy ochrony przyrody- w rozumieniu art.6 ustawy z dnia 16 kwietnia 2004 roku o ochronie przyrody ( Dz. U. z 2013 r., poz.627 ze zm.).</w:t>
      </w:r>
    </w:p>
    <w:p w:rsidR="00C1527E" w:rsidRPr="00C1527E" w:rsidRDefault="00C1527E" w:rsidP="00C1527E">
      <w:pPr>
        <w:spacing w:line="276" w:lineRule="auto"/>
        <w:jc w:val="both"/>
        <w:rPr>
          <w:sz w:val="24"/>
          <w:szCs w:val="24"/>
        </w:rPr>
      </w:pPr>
      <w:r w:rsidRPr="00C1527E">
        <w:rPr>
          <w:sz w:val="24"/>
          <w:szCs w:val="24"/>
        </w:rPr>
        <w:t xml:space="preserve">Najbliżej położony obszar mający znaczenie dla Wspólnoty – projektowany Specjalny Obszar Ochrony Siedlisk Natura 2000 - „Pątnów Legnicki” PLH020052 znajduje się w odległości ok. 5 </w:t>
      </w:r>
      <w:proofErr w:type="spellStart"/>
      <w:r w:rsidRPr="00C1527E">
        <w:rPr>
          <w:sz w:val="24"/>
          <w:szCs w:val="24"/>
        </w:rPr>
        <w:t>km</w:t>
      </w:r>
      <w:proofErr w:type="spellEnd"/>
      <w:r w:rsidRPr="00C1527E">
        <w:rPr>
          <w:sz w:val="24"/>
          <w:szCs w:val="24"/>
        </w:rPr>
        <w:t>. Oceniając sk</w:t>
      </w:r>
      <w:bookmarkStart w:id="1" w:name="_GoBack"/>
      <w:bookmarkEnd w:id="1"/>
      <w:r w:rsidRPr="00C1527E">
        <w:rPr>
          <w:sz w:val="24"/>
          <w:szCs w:val="24"/>
        </w:rPr>
        <w:t>alę i rodzaj możliwego oddziaływania stwierdzono, iż z uwagi na charakter przedsięwzięcia, zakres planowanych prac oraz lokalizację inwestycji w terenie przekształconym antropogenicznie, nie powinna ona oddziaływać na środowisko przyrodnicze w tym na ww. obszar Natura 2000.</w:t>
      </w:r>
    </w:p>
    <w:p w:rsidR="00B63597" w:rsidRPr="00695D41" w:rsidRDefault="00B63597" w:rsidP="00CC3378">
      <w:pPr>
        <w:pStyle w:val="Standard"/>
        <w:spacing w:line="276" w:lineRule="auto"/>
        <w:ind w:firstLine="708"/>
        <w:jc w:val="both"/>
      </w:pPr>
      <w:r>
        <w:t xml:space="preserve">Biorąc pod uwagę uwarunkowania wymienione w art.63 ust. 1 ustawy z dnia października 2008 roku  o udostępnianiu informacji o środowisku i jego ochronie, udziale społeczeństwa w ochronie środowiska oraz o ocenach oddziaływania na środowisko </w:t>
      </w:r>
      <w:r w:rsidR="00CC3378" w:rsidRPr="003209D6">
        <w:t>(Dz. U. z 2013r., poz. 1235).</w:t>
      </w:r>
      <w:r>
        <w:t xml:space="preserve">, </w:t>
      </w:r>
      <w:r w:rsidR="00CC3378">
        <w:t>opinię Regionalnego Dyrektora Ochrony Środowiska we Wrocławiu, Państ</w:t>
      </w:r>
      <w:r w:rsidR="006E2B4B">
        <w:t xml:space="preserve">wowego Powiatowego Inspektora </w:t>
      </w:r>
      <w:r w:rsidR="00CC3378">
        <w:t xml:space="preserve">Sanitarnego w Legnicy oraz </w:t>
      </w:r>
      <w:r>
        <w:t xml:space="preserve">zakres i charakter planowanej inwestycji tut. organ stwierdził  postanowieniem nr </w:t>
      </w:r>
      <w:r w:rsidR="00CC3378" w:rsidRPr="00695D41">
        <w:t xml:space="preserve">OŚR.6220.14.2014.VII </w:t>
      </w:r>
      <w:r w:rsidRPr="00695D41">
        <w:t xml:space="preserve">z dnia </w:t>
      </w:r>
      <w:r w:rsidR="00CC3378" w:rsidRPr="00695D41">
        <w:t xml:space="preserve">30. 06. 2014r. </w:t>
      </w:r>
      <w:r w:rsidRPr="00695D41">
        <w:t>brak potrzeby przeprowadzenia oceny oddziaływania przedsięwzięcia na środowisko.</w:t>
      </w:r>
    </w:p>
    <w:p w:rsidR="003209D6" w:rsidRDefault="00D05880" w:rsidP="00D05880">
      <w:pPr>
        <w:ind w:firstLine="708"/>
        <w:jc w:val="both"/>
        <w:rPr>
          <w:sz w:val="24"/>
          <w:szCs w:val="24"/>
        </w:rPr>
      </w:pPr>
      <w:r w:rsidRPr="00D05880">
        <w:rPr>
          <w:sz w:val="24"/>
          <w:szCs w:val="24"/>
        </w:rPr>
        <w:t xml:space="preserve">Ponieważ, w powyższej sprawie liczba stron przekracza 20, zgodnie z art. 74 ust. 3 ustawy o udostępnieniu informacji o środowisku i jego ochronie, udziale społeczeństwa w ochronie środowiska oraz o ocenach oddziaływania na środowisko (Dz. U. z 2013r., poz. 1235) oraz art. 49 K.p.a. – obwieszczenia o wszczęciu postępowania, o wydaniu postanowienia o braku potrzeby przeprowadzenia oceny oddziaływania przedsięwzięcia na środowisko oraz o zakończeniu postępowania w przedmiotowej sprawie podano do publicznej wiadomości poprzez zamieszczenie w publicznie dostępnym wykazie danych na stronie Biuletynu Informacji Publicznej Urzędu Miasta Legnicy </w:t>
      </w:r>
      <w:proofErr w:type="spellStart"/>
      <w:r w:rsidRPr="00D05880">
        <w:rPr>
          <w:sz w:val="24"/>
          <w:szCs w:val="24"/>
        </w:rPr>
        <w:t>www.um.bip.legnica.eu</w:t>
      </w:r>
      <w:proofErr w:type="spellEnd"/>
      <w:r w:rsidRPr="00D05880">
        <w:rPr>
          <w:sz w:val="24"/>
          <w:szCs w:val="24"/>
        </w:rPr>
        <w:t xml:space="preserve"> , na tablicy ogłoszeń w siedzibie Urzędu Miasta Legnicy Pl. Słowiański 8 oraz na terenie inwestycji</w:t>
      </w:r>
      <w:r>
        <w:rPr>
          <w:sz w:val="24"/>
          <w:szCs w:val="24"/>
        </w:rPr>
        <w:t>.</w:t>
      </w:r>
    </w:p>
    <w:p w:rsidR="00D05880" w:rsidRDefault="00D05880" w:rsidP="00D05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ukazaniu się ostatniego obwieszczenia tj. o zakończeniu postępowania znak: OŚR.6220.14.2014.VII z dnia 01.07.2014r. mieszkańcy z okolicy planowanego przedsięwzięcia zgłosili uwagi w formie protestu </w:t>
      </w:r>
      <w:r w:rsidR="00A741BA">
        <w:rPr>
          <w:sz w:val="24"/>
          <w:szCs w:val="24"/>
        </w:rPr>
        <w:t>przeciwko funkcjonowaniu skupu złomu.</w:t>
      </w:r>
    </w:p>
    <w:p w:rsidR="007F179D" w:rsidRDefault="007F179D" w:rsidP="00D05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M.in. zarzucono, że Karcie Informacyjnej Przedsięwzięcia nie uwzględniono samochodów przywożących złom. Samochody te stanowią znikoma ilość w porównaniu do ruchu pojazdów poruszających się po ul. Prusa.</w:t>
      </w:r>
    </w:p>
    <w:p w:rsidR="00303B0F" w:rsidRDefault="00303B0F" w:rsidP="00D058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Wizje w terenie</w:t>
      </w:r>
      <w:r w:rsidR="009976DB">
        <w:rPr>
          <w:sz w:val="24"/>
          <w:szCs w:val="24"/>
        </w:rPr>
        <w:t>,</w:t>
      </w:r>
      <w:r>
        <w:rPr>
          <w:sz w:val="24"/>
          <w:szCs w:val="24"/>
        </w:rPr>
        <w:t xml:space="preserve"> przeprowadzone przez pracownika urzędu (podczas umieszczania ww. obwieszczeń na płocie w tym miejscu )</w:t>
      </w:r>
      <w:r w:rsidR="00A74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potwierdziły, żeby obecnie przy ul. Prusa 13 funkcjonował punkt skupu </w:t>
      </w:r>
      <w:r w:rsidR="00A741BA">
        <w:rPr>
          <w:sz w:val="24"/>
          <w:szCs w:val="24"/>
        </w:rPr>
        <w:t>.</w:t>
      </w:r>
    </w:p>
    <w:p w:rsidR="007F179D" w:rsidRPr="007F179D" w:rsidRDefault="007F179D" w:rsidP="007F179D">
      <w:pPr>
        <w:ind w:firstLine="708"/>
        <w:jc w:val="both"/>
        <w:rPr>
          <w:sz w:val="24"/>
          <w:szCs w:val="24"/>
        </w:rPr>
      </w:pPr>
      <w:r w:rsidRPr="007F179D">
        <w:rPr>
          <w:sz w:val="24"/>
          <w:szCs w:val="24"/>
        </w:rPr>
        <w:t>Po analizie uwag i biorąc pod uwagę opinię Regionalnego Dyrektora Ochrony Środowiska we Wrocławiu oraz Państwowego Powiatowego Inspektora Sanitarnego w Legnicy stwierdzono, ze nie ma podstaw prawnych, żeby odmówić wydania decyzji.</w:t>
      </w:r>
    </w:p>
    <w:p w:rsidR="003209D6" w:rsidRDefault="00C1527E" w:rsidP="004B5EC0">
      <w:pPr>
        <w:pStyle w:val="Tekstpodstawowy"/>
        <w:tabs>
          <w:tab w:val="left" w:pos="360"/>
        </w:tabs>
        <w:suppressAutoHyphens/>
        <w:rPr>
          <w:szCs w:val="24"/>
        </w:rPr>
      </w:pPr>
      <w:r>
        <w:rPr>
          <w:szCs w:val="24"/>
        </w:rPr>
        <w:t>J</w:t>
      </w:r>
      <w:r w:rsidR="007F179D">
        <w:rPr>
          <w:szCs w:val="24"/>
        </w:rPr>
        <w:t xml:space="preserve">ednak, biorąc pod uwagę </w:t>
      </w:r>
      <w:r>
        <w:rPr>
          <w:szCs w:val="24"/>
        </w:rPr>
        <w:t xml:space="preserve">pismo mieszkańców, </w:t>
      </w:r>
      <w:r w:rsidRPr="00C1527E">
        <w:t>w celu zminimalizowania oddziaływania akustycznego</w:t>
      </w:r>
      <w:r>
        <w:t xml:space="preserve">, </w:t>
      </w:r>
      <w:r w:rsidR="007F179D">
        <w:rPr>
          <w:szCs w:val="24"/>
        </w:rPr>
        <w:t>w</w:t>
      </w:r>
      <w:r w:rsidR="00A741BA">
        <w:rPr>
          <w:szCs w:val="24"/>
        </w:rPr>
        <w:t xml:space="preserve"> sentencji decyzji nałożono dodatkowe warunki, aby zminimalizować ewentualne konflikty społeczne w przyszłości. </w:t>
      </w:r>
    </w:p>
    <w:p w:rsidR="004845BE" w:rsidRDefault="004845BE" w:rsidP="004845BE">
      <w:pPr>
        <w:pStyle w:val="NormalnyWeb"/>
        <w:spacing w:before="0" w:beforeAutospacing="0" w:after="0"/>
        <w:ind w:left="17" w:firstLine="550"/>
        <w:jc w:val="both"/>
      </w:pPr>
      <w:r w:rsidRPr="00117203">
        <w:t xml:space="preserve">Zgodnie z art. 84 ust. 2 ustawy z dnia 3 października 2008 r. o udostępnianiu informacji o środowisku i jego ochronie, udziale społeczeństwa w ochronie środowiska oraz o ocenach oddziaływania na środowisko </w:t>
      </w:r>
      <w:r w:rsidRPr="00807832">
        <w:t xml:space="preserve">(Dz. U. </w:t>
      </w:r>
      <w:r>
        <w:t>z 2013r., poz. 1235)</w:t>
      </w:r>
      <w:r w:rsidRPr="00117203">
        <w:t xml:space="preserve"> charakterystyka przedsięwzięcia </w:t>
      </w:r>
      <w:r>
        <w:t xml:space="preserve">stanowi załącznik do decyzji </w:t>
      </w:r>
      <w:r w:rsidRPr="00117203">
        <w:t>o środowiskowych uwarunkowaniach.</w:t>
      </w:r>
    </w:p>
    <w:p w:rsidR="004845BE" w:rsidRPr="004845BE" w:rsidRDefault="004845BE" w:rsidP="004845BE">
      <w:pPr>
        <w:ind w:firstLine="567"/>
        <w:jc w:val="both"/>
        <w:rPr>
          <w:sz w:val="24"/>
          <w:szCs w:val="24"/>
        </w:rPr>
      </w:pPr>
      <w:r w:rsidRPr="004845BE">
        <w:rPr>
          <w:sz w:val="24"/>
          <w:szCs w:val="24"/>
        </w:rPr>
        <w:t xml:space="preserve">Po przeanalizowaniu Karty Informacyjnej Planowanego Przedsięwzięcia, opinii Regionalnego Dyrektora Ochrony Środowiska we Wrocławiu, Państwowego Powiatowego Inspektora Sanitarnego w Legnicy oraz biorąc pod uwagę skalę przedsięwzięcia, jego lokalne i możliwe do przewidzenia oddziaływanie, postanowiono jak w sentencji decyzji. </w:t>
      </w:r>
    </w:p>
    <w:p w:rsidR="00B63597" w:rsidRDefault="00B63597" w:rsidP="00B63597">
      <w:pPr>
        <w:jc w:val="both"/>
        <w:rPr>
          <w:sz w:val="24"/>
          <w:szCs w:val="24"/>
        </w:rPr>
      </w:pPr>
    </w:p>
    <w:p w:rsidR="00B63597" w:rsidRDefault="00B63597" w:rsidP="00B63597">
      <w:pPr>
        <w:jc w:val="center"/>
        <w:rPr>
          <w:sz w:val="22"/>
          <w:szCs w:val="22"/>
        </w:rPr>
      </w:pPr>
      <w:r>
        <w:rPr>
          <w:sz w:val="22"/>
          <w:szCs w:val="22"/>
        </w:rPr>
        <w:t>Pouczenie</w:t>
      </w:r>
    </w:p>
    <w:p w:rsidR="00B63597" w:rsidRDefault="00B63597" w:rsidP="00B63597">
      <w:pPr>
        <w:jc w:val="center"/>
        <w:rPr>
          <w:b/>
          <w:sz w:val="22"/>
          <w:szCs w:val="22"/>
        </w:rPr>
      </w:pPr>
    </w:p>
    <w:p w:rsidR="00B63597" w:rsidRDefault="00B63597" w:rsidP="00CC0B38">
      <w:pPr>
        <w:ind w:firstLine="708"/>
        <w:jc w:val="both"/>
        <w:rPr>
          <w:rFonts w:eastAsia="Calibri"/>
          <w:sz w:val="22"/>
          <w:szCs w:val="22"/>
        </w:rPr>
      </w:pPr>
      <w:r w:rsidRPr="00010F83">
        <w:rPr>
          <w:sz w:val="22"/>
          <w:szCs w:val="22"/>
        </w:rPr>
        <w:t xml:space="preserve">Zgodnie z art.72 ust. 3 ustawy z dnia </w:t>
      </w:r>
      <w:r w:rsidRPr="00010F83">
        <w:rPr>
          <w:rFonts w:eastAsia="Calibri"/>
          <w:sz w:val="22"/>
          <w:szCs w:val="22"/>
        </w:rPr>
        <w:t xml:space="preserve">3 października 2008 r. </w:t>
      </w:r>
      <w:r w:rsidRPr="00010F83">
        <w:rPr>
          <w:rFonts w:eastAsia="Calibri"/>
          <w:i/>
          <w:sz w:val="22"/>
          <w:szCs w:val="22"/>
        </w:rPr>
        <w:t>o</w:t>
      </w:r>
      <w:r>
        <w:rPr>
          <w:rFonts w:eastAsia="Calibri"/>
          <w:i/>
          <w:sz w:val="22"/>
          <w:szCs w:val="22"/>
        </w:rPr>
        <w:t xml:space="preserve"> udostępnianiu informacji o środowisku   i jego ochronie, udziale społeczeństwa w ochronie środowiska oraz o ocenach oddziaływania na środowisko</w:t>
      </w:r>
      <w:r>
        <w:rPr>
          <w:rFonts w:eastAsia="Calibri"/>
          <w:sz w:val="22"/>
          <w:szCs w:val="22"/>
        </w:rPr>
        <w:t xml:space="preserve"> </w:t>
      </w:r>
      <w:r w:rsidR="009976DB" w:rsidRPr="00EB4C62">
        <w:rPr>
          <w:sz w:val="24"/>
          <w:szCs w:val="24"/>
        </w:rPr>
        <w:t>(Dz. U. z 2013r., poz. 1235)</w:t>
      </w:r>
      <w:r w:rsidR="009976DB">
        <w:rPr>
          <w:sz w:val="24"/>
          <w:szCs w:val="24"/>
        </w:rPr>
        <w:t xml:space="preserve"> </w:t>
      </w:r>
      <w:r>
        <w:rPr>
          <w:rFonts w:eastAsia="Calibri"/>
          <w:sz w:val="22"/>
          <w:szCs w:val="22"/>
        </w:rPr>
        <w:t xml:space="preserve">decyzje o środowiskowych uwarunkowaniach dołącza się do wniosku o wydanie decyzji wymienionej w art. 72 ust 1. Wniosek ten powinien być złożony nie później niż przed upływem czterech lat od dnia, w którym decyzja     środowiskowych uwarunkowaniach stała się ostateczna. </w:t>
      </w:r>
    </w:p>
    <w:p w:rsidR="00B63597" w:rsidRDefault="00B63597" w:rsidP="00B63597">
      <w:pPr>
        <w:jc w:val="both"/>
        <w:rPr>
          <w:sz w:val="24"/>
          <w:szCs w:val="24"/>
        </w:rPr>
      </w:pPr>
    </w:p>
    <w:p w:rsidR="00B63597" w:rsidRDefault="00B63597" w:rsidP="0023488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 niniejszej decyzji służy stron</w:t>
      </w:r>
      <w:r w:rsidR="00234885">
        <w:rPr>
          <w:b/>
          <w:sz w:val="24"/>
          <w:szCs w:val="24"/>
        </w:rPr>
        <w:t>om</w:t>
      </w:r>
      <w:r>
        <w:rPr>
          <w:b/>
          <w:sz w:val="24"/>
          <w:szCs w:val="24"/>
        </w:rPr>
        <w:t xml:space="preserve"> prawo wniesienia odwołania do Samorządowego Kolegium Odwoławczego w Legnicy za pośrednictwem tut. organu, w terminie czternastu dni od daty jej otrzymania.</w:t>
      </w:r>
    </w:p>
    <w:p w:rsidR="00B63597" w:rsidRDefault="00B63597" w:rsidP="00B63597">
      <w:pPr>
        <w:jc w:val="both"/>
        <w:rPr>
          <w:b/>
          <w:sz w:val="24"/>
          <w:szCs w:val="24"/>
        </w:rPr>
      </w:pPr>
    </w:p>
    <w:p w:rsidR="00CA063E" w:rsidRPr="007F179D" w:rsidRDefault="00CA063E" w:rsidP="00CA063E">
      <w:pPr>
        <w:ind w:firstLine="708"/>
        <w:rPr>
          <w:i/>
          <w:sz w:val="24"/>
          <w:szCs w:val="24"/>
        </w:rPr>
      </w:pPr>
      <w:r w:rsidRPr="007F179D">
        <w:rPr>
          <w:i/>
          <w:sz w:val="24"/>
          <w:szCs w:val="24"/>
        </w:rPr>
        <w:t>Za wydanie niniejszej decyzji- na podstawie ustawy z dnia 16 listopada 2006r. o opłacie skarbowej (t. j. Dz. U. 2012 poz. 1282), uiszczono opłatę skarbową w wysokości  205,00 zł ( dwieście pięć złotych) dnia 05.07.2014r. na  konto bankowe nr PEKAO I w Legnicy 32 1240 1473 1111 0010 4343 3697.</w:t>
      </w:r>
    </w:p>
    <w:p w:rsidR="00CA063E" w:rsidRPr="007F179D" w:rsidRDefault="00CA063E" w:rsidP="00CA063E">
      <w:pPr>
        <w:jc w:val="both"/>
        <w:rPr>
          <w:i/>
          <w:sz w:val="24"/>
          <w:szCs w:val="24"/>
        </w:rPr>
      </w:pPr>
    </w:p>
    <w:p w:rsidR="00B63597" w:rsidRPr="004845BE" w:rsidRDefault="00B63597" w:rsidP="00B63597">
      <w:pPr>
        <w:jc w:val="both"/>
        <w:rPr>
          <w:i/>
          <w:sz w:val="24"/>
          <w:szCs w:val="24"/>
        </w:rPr>
      </w:pPr>
      <w:r w:rsidRPr="004845BE">
        <w:rPr>
          <w:i/>
          <w:sz w:val="24"/>
          <w:szCs w:val="24"/>
        </w:rPr>
        <w:t>Załącznik :</w:t>
      </w:r>
    </w:p>
    <w:p w:rsidR="00B63597" w:rsidRDefault="00B63597" w:rsidP="00B6359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Charakterystyka planowanego przedsięwzięcia </w:t>
      </w:r>
    </w:p>
    <w:p w:rsidR="00B63597" w:rsidRDefault="00B63597" w:rsidP="00B63597">
      <w:pPr>
        <w:jc w:val="both"/>
        <w:rPr>
          <w:b/>
          <w:i/>
          <w:sz w:val="16"/>
          <w:szCs w:val="16"/>
        </w:rPr>
      </w:pPr>
    </w:p>
    <w:p w:rsidR="00B63597" w:rsidRDefault="00B63597" w:rsidP="00B63597">
      <w:pPr>
        <w:jc w:val="both"/>
        <w:rPr>
          <w:b/>
          <w:i/>
          <w:sz w:val="16"/>
          <w:szCs w:val="16"/>
        </w:rPr>
      </w:pPr>
    </w:p>
    <w:p w:rsidR="002C7565" w:rsidRPr="004B5EC0" w:rsidRDefault="004B5EC0" w:rsidP="002C7565">
      <w:pPr>
        <w:spacing w:line="360" w:lineRule="auto"/>
        <w:jc w:val="both"/>
        <w:rPr>
          <w:b/>
          <w:sz w:val="22"/>
          <w:szCs w:val="22"/>
        </w:rPr>
      </w:pPr>
      <w:r w:rsidRPr="004B5EC0">
        <w:rPr>
          <w:b/>
          <w:sz w:val="22"/>
          <w:szCs w:val="22"/>
        </w:rPr>
        <w:t>O</w:t>
      </w:r>
      <w:r w:rsidR="002C7565" w:rsidRPr="004B5EC0">
        <w:rPr>
          <w:b/>
          <w:sz w:val="22"/>
          <w:szCs w:val="22"/>
        </w:rPr>
        <w:t>trzymują:</w:t>
      </w:r>
    </w:p>
    <w:p w:rsidR="002C7565" w:rsidRPr="004B5EC0" w:rsidRDefault="002C7565" w:rsidP="00324339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 w:cs="Times New Roman"/>
        </w:rPr>
      </w:pPr>
      <w:r w:rsidRPr="004B5EC0">
        <w:rPr>
          <w:rFonts w:ascii="Times New Roman" w:hAnsi="Times New Roman" w:cs="Times New Roman"/>
        </w:rPr>
        <w:t>Pan Józef Śl</w:t>
      </w:r>
      <w:r w:rsidR="004065FC">
        <w:rPr>
          <w:rFonts w:ascii="Times New Roman" w:hAnsi="Times New Roman" w:cs="Times New Roman"/>
        </w:rPr>
        <w:t>ę</w:t>
      </w:r>
      <w:r w:rsidRPr="004B5EC0">
        <w:rPr>
          <w:rFonts w:ascii="Times New Roman" w:hAnsi="Times New Roman" w:cs="Times New Roman"/>
        </w:rPr>
        <w:t>zak Przedsiębiorstwo Handlowo – Usługowe , ul. Senatorska 37, 59 – 220 Legnica</w:t>
      </w:r>
    </w:p>
    <w:p w:rsidR="002C7565" w:rsidRPr="004B5EC0" w:rsidRDefault="002C7565" w:rsidP="002C7565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4B5EC0">
        <w:rPr>
          <w:rFonts w:ascii="Times New Roman" w:hAnsi="Times New Roman"/>
        </w:rPr>
        <w:t>Pozostałe strony przez obwieszczenie,</w:t>
      </w:r>
    </w:p>
    <w:p w:rsidR="002C7565" w:rsidRPr="004B5EC0" w:rsidRDefault="002C7565" w:rsidP="002C7565">
      <w:pPr>
        <w:pStyle w:val="Akapitzlist"/>
        <w:numPr>
          <w:ilvl w:val="0"/>
          <w:numId w:val="5"/>
        </w:numPr>
        <w:suppressAutoHyphens w:val="0"/>
        <w:spacing w:line="276" w:lineRule="auto"/>
        <w:contextualSpacing/>
        <w:rPr>
          <w:rFonts w:ascii="Times New Roman" w:hAnsi="Times New Roman"/>
        </w:rPr>
      </w:pPr>
      <w:r w:rsidRPr="004B5EC0">
        <w:rPr>
          <w:rFonts w:ascii="Times New Roman" w:hAnsi="Times New Roman"/>
        </w:rPr>
        <w:t>OŚR.UM a/a</w:t>
      </w:r>
    </w:p>
    <w:p w:rsidR="002C7565" w:rsidRPr="004B5EC0" w:rsidRDefault="002C7565" w:rsidP="002C7565">
      <w:pPr>
        <w:rPr>
          <w:sz w:val="22"/>
          <w:szCs w:val="22"/>
        </w:rPr>
      </w:pPr>
    </w:p>
    <w:p w:rsidR="002C7565" w:rsidRPr="004B5EC0" w:rsidRDefault="002C7565" w:rsidP="002C7565">
      <w:pPr>
        <w:jc w:val="both"/>
        <w:rPr>
          <w:b/>
          <w:sz w:val="22"/>
          <w:szCs w:val="22"/>
        </w:rPr>
      </w:pPr>
      <w:r w:rsidRPr="004B5EC0">
        <w:rPr>
          <w:b/>
          <w:sz w:val="22"/>
          <w:szCs w:val="22"/>
        </w:rPr>
        <w:t>Do wiadomości:</w:t>
      </w:r>
    </w:p>
    <w:p w:rsidR="002C7565" w:rsidRPr="004B5EC0" w:rsidRDefault="002C7565" w:rsidP="00324339">
      <w:pPr>
        <w:numPr>
          <w:ilvl w:val="0"/>
          <w:numId w:val="1"/>
        </w:numPr>
        <w:jc w:val="both"/>
        <w:rPr>
          <w:sz w:val="22"/>
          <w:szCs w:val="22"/>
        </w:rPr>
      </w:pPr>
      <w:r w:rsidRPr="004B5EC0">
        <w:rPr>
          <w:sz w:val="22"/>
          <w:szCs w:val="22"/>
        </w:rPr>
        <w:t xml:space="preserve">Państwowy Powiatowy Inspektor Sanitarny w </w:t>
      </w:r>
      <w:proofErr w:type="spellStart"/>
      <w:r w:rsidRPr="004B5EC0">
        <w:rPr>
          <w:sz w:val="22"/>
          <w:szCs w:val="22"/>
        </w:rPr>
        <w:t>Legnicyul</w:t>
      </w:r>
      <w:proofErr w:type="spellEnd"/>
      <w:r w:rsidRPr="004B5EC0">
        <w:rPr>
          <w:sz w:val="22"/>
          <w:szCs w:val="22"/>
        </w:rPr>
        <w:t>. Mickiewicza 24, 59-220 Legnica,</w:t>
      </w:r>
    </w:p>
    <w:p w:rsidR="004B5EC0" w:rsidRDefault="002C7565" w:rsidP="00324339">
      <w:pPr>
        <w:numPr>
          <w:ilvl w:val="0"/>
          <w:numId w:val="1"/>
        </w:numPr>
        <w:jc w:val="both"/>
        <w:rPr>
          <w:sz w:val="22"/>
          <w:szCs w:val="22"/>
        </w:rPr>
      </w:pPr>
      <w:r w:rsidRPr="004B5EC0">
        <w:rPr>
          <w:sz w:val="22"/>
          <w:szCs w:val="22"/>
        </w:rPr>
        <w:t>Regionalny Dyrektor Ochrony Środowiska we Wrocławiu</w:t>
      </w:r>
      <w:r w:rsidR="00324339" w:rsidRPr="004B5EC0">
        <w:rPr>
          <w:sz w:val="22"/>
          <w:szCs w:val="22"/>
        </w:rPr>
        <w:t xml:space="preserve"> </w:t>
      </w:r>
      <w:r w:rsidRPr="004B5EC0">
        <w:rPr>
          <w:sz w:val="22"/>
          <w:szCs w:val="22"/>
        </w:rPr>
        <w:t xml:space="preserve">Pl. Powstańców Warszawy 1, </w:t>
      </w:r>
    </w:p>
    <w:p w:rsidR="002C7565" w:rsidRPr="004B5EC0" w:rsidRDefault="002C7565" w:rsidP="004B5EC0">
      <w:pPr>
        <w:ind w:left="720"/>
        <w:jc w:val="both"/>
        <w:rPr>
          <w:sz w:val="22"/>
          <w:szCs w:val="22"/>
        </w:rPr>
      </w:pPr>
      <w:r w:rsidRPr="004B5EC0">
        <w:rPr>
          <w:sz w:val="22"/>
          <w:szCs w:val="22"/>
        </w:rPr>
        <w:t>50-951 Wrocław,</w:t>
      </w:r>
    </w:p>
    <w:sectPr w:rsidR="002C7565" w:rsidRPr="004B5EC0" w:rsidSect="00AD36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C6" w:rsidRDefault="00DB13C6" w:rsidP="00C1527E">
      <w:r>
        <w:separator/>
      </w:r>
    </w:p>
  </w:endnote>
  <w:endnote w:type="continuationSeparator" w:id="0">
    <w:p w:rsidR="00DB13C6" w:rsidRDefault="00DB13C6" w:rsidP="00C15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C3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8688"/>
      <w:docPartObj>
        <w:docPartGallery w:val="Page Numbers (Bottom of Page)"/>
        <w:docPartUnique/>
      </w:docPartObj>
    </w:sdtPr>
    <w:sdtContent>
      <w:p w:rsidR="00C1527E" w:rsidRDefault="00A63F8D">
        <w:pPr>
          <w:pStyle w:val="Stopka"/>
          <w:jc w:val="center"/>
        </w:pPr>
        <w:fldSimple w:instr=" PAGE   \* MERGEFORMAT ">
          <w:r w:rsidR="004065FC">
            <w:rPr>
              <w:noProof/>
            </w:rPr>
            <w:t>5</w:t>
          </w:r>
        </w:fldSimple>
      </w:p>
    </w:sdtContent>
  </w:sdt>
  <w:p w:rsidR="00C1527E" w:rsidRDefault="00C15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C6" w:rsidRDefault="00DB13C6" w:rsidP="00C1527E">
      <w:r>
        <w:separator/>
      </w:r>
    </w:p>
  </w:footnote>
  <w:footnote w:type="continuationSeparator" w:id="0">
    <w:p w:rsidR="00DB13C6" w:rsidRDefault="00DB13C6" w:rsidP="00C15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209"/>
    <w:multiLevelType w:val="hybridMultilevel"/>
    <w:tmpl w:val="A9B032DC"/>
    <w:lvl w:ilvl="0" w:tplc="7428B004">
      <w:start w:val="1"/>
      <w:numFmt w:val="upperRoman"/>
      <w:pStyle w:val="Akapitzlist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D7985"/>
    <w:multiLevelType w:val="hybridMultilevel"/>
    <w:tmpl w:val="7886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72D03"/>
    <w:multiLevelType w:val="hybridMultilevel"/>
    <w:tmpl w:val="F5F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175"/>
    <w:multiLevelType w:val="hybridMultilevel"/>
    <w:tmpl w:val="F9BE89CC"/>
    <w:name w:val="WW8Num62"/>
    <w:lvl w:ilvl="0" w:tplc="D714B7CE">
      <w:start w:val="1"/>
      <w:numFmt w:val="decimal"/>
      <w:lvlText w:val="%1."/>
      <w:lvlJc w:val="righ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DF737D"/>
    <w:multiLevelType w:val="hybridMultilevel"/>
    <w:tmpl w:val="82EE4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97"/>
    <w:rsid w:val="00010F83"/>
    <w:rsid w:val="000F0E4B"/>
    <w:rsid w:val="00234885"/>
    <w:rsid w:val="002823FE"/>
    <w:rsid w:val="002C7565"/>
    <w:rsid w:val="00303B0F"/>
    <w:rsid w:val="003209D6"/>
    <w:rsid w:val="00324339"/>
    <w:rsid w:val="003C1FA8"/>
    <w:rsid w:val="003F0EB7"/>
    <w:rsid w:val="004065FC"/>
    <w:rsid w:val="004845BE"/>
    <w:rsid w:val="004B5BEA"/>
    <w:rsid w:val="004B5DDA"/>
    <w:rsid w:val="004B5EC0"/>
    <w:rsid w:val="00550C52"/>
    <w:rsid w:val="005C26E8"/>
    <w:rsid w:val="0060538D"/>
    <w:rsid w:val="00624916"/>
    <w:rsid w:val="00695D41"/>
    <w:rsid w:val="006E2B4B"/>
    <w:rsid w:val="00762B22"/>
    <w:rsid w:val="007E5049"/>
    <w:rsid w:val="007F179D"/>
    <w:rsid w:val="00813198"/>
    <w:rsid w:val="0086293D"/>
    <w:rsid w:val="008B7C8A"/>
    <w:rsid w:val="009976DB"/>
    <w:rsid w:val="00A63F8D"/>
    <w:rsid w:val="00A741BA"/>
    <w:rsid w:val="00AD3644"/>
    <w:rsid w:val="00B43D5F"/>
    <w:rsid w:val="00B63597"/>
    <w:rsid w:val="00BC5C0F"/>
    <w:rsid w:val="00C1527E"/>
    <w:rsid w:val="00CA063E"/>
    <w:rsid w:val="00CC0B38"/>
    <w:rsid w:val="00CC3378"/>
    <w:rsid w:val="00D05880"/>
    <w:rsid w:val="00D44D6A"/>
    <w:rsid w:val="00DB13C6"/>
    <w:rsid w:val="00EB4C62"/>
    <w:rsid w:val="00F7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359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635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3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3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63597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arialblok">
    <w:name w:val="arial blok"/>
    <w:basedOn w:val="Normalny"/>
    <w:rsid w:val="00B63597"/>
    <w:pPr>
      <w:spacing w:line="300" w:lineRule="auto"/>
      <w:ind w:left="567"/>
      <w:jc w:val="both"/>
    </w:pPr>
    <w:rPr>
      <w:rFonts w:ascii="Arial" w:hAnsi="Arial" w:cs="Arial"/>
      <w:sz w:val="22"/>
    </w:rPr>
  </w:style>
  <w:style w:type="paragraph" w:customStyle="1" w:styleId="Standard">
    <w:name w:val="Standard"/>
    <w:link w:val="StandardZnak"/>
    <w:rsid w:val="00B6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B635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tegory">
    <w:name w:val="category"/>
    <w:basedOn w:val="Domylnaczcionkaakapitu"/>
    <w:rsid w:val="00CC0B38"/>
  </w:style>
  <w:style w:type="paragraph" w:styleId="Akapitzlist">
    <w:name w:val="List Paragraph"/>
    <w:basedOn w:val="Normalny"/>
    <w:uiPriority w:val="34"/>
    <w:qFormat/>
    <w:rsid w:val="00CC0B38"/>
    <w:pPr>
      <w:numPr>
        <w:numId w:val="3"/>
      </w:num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CC0B38"/>
    <w:pPr>
      <w:suppressAutoHyphens/>
      <w:ind w:left="72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845BE"/>
    <w:pPr>
      <w:spacing w:before="100" w:beforeAutospacing="1" w:after="119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5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2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27</cp:revision>
  <cp:lastPrinted>2014-07-22T09:30:00Z</cp:lastPrinted>
  <dcterms:created xsi:type="dcterms:W3CDTF">2014-07-07T08:48:00Z</dcterms:created>
  <dcterms:modified xsi:type="dcterms:W3CDTF">2014-07-22T10:44:00Z</dcterms:modified>
</cp:coreProperties>
</file>