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051" w:rsidRDefault="00D05051" w:rsidP="00FD7676">
      <w:pPr>
        <w:rPr>
          <w:rFonts w:asciiTheme="minorHAnsi" w:hAnsiTheme="minorHAnsi"/>
          <w:sz w:val="22"/>
        </w:rPr>
      </w:pPr>
      <w:bookmarkStart w:id="0" w:name="_GoBack"/>
      <w:bookmarkEnd w:id="0"/>
    </w:p>
    <w:p w:rsidR="00D05051" w:rsidRDefault="00D05051" w:rsidP="00FD7676">
      <w:pPr>
        <w:rPr>
          <w:rFonts w:asciiTheme="minorHAnsi" w:hAnsiTheme="minorHAnsi"/>
          <w:sz w:val="22"/>
        </w:rPr>
      </w:pPr>
    </w:p>
    <w:p w:rsidR="00D05051" w:rsidRDefault="00D05051" w:rsidP="00FD7676">
      <w:pPr>
        <w:rPr>
          <w:rFonts w:asciiTheme="minorHAnsi" w:hAnsiTheme="minorHAnsi"/>
          <w:sz w:val="22"/>
        </w:rPr>
      </w:pPr>
    </w:p>
    <w:p w:rsidR="00D05051" w:rsidRDefault="00D05051" w:rsidP="00FD7676">
      <w:pPr>
        <w:rPr>
          <w:rFonts w:asciiTheme="minorHAnsi" w:hAnsiTheme="minorHAnsi"/>
          <w:sz w:val="22"/>
        </w:rPr>
      </w:pPr>
    </w:p>
    <w:p w:rsidR="00D05051" w:rsidRDefault="00D05051" w:rsidP="00FD7676">
      <w:pPr>
        <w:rPr>
          <w:rFonts w:asciiTheme="minorHAnsi" w:hAnsiTheme="minorHAnsi"/>
          <w:sz w:val="22"/>
        </w:rPr>
      </w:pPr>
    </w:p>
    <w:sdt>
      <w:sdtPr>
        <w:rPr>
          <w:rFonts w:asciiTheme="minorHAnsi" w:hAnsiTheme="minorHAnsi"/>
          <w:sz w:val="22"/>
        </w:rPr>
        <w:id w:val="1488971520"/>
        <w:docPartObj>
          <w:docPartGallery w:val="Cover Pages"/>
          <w:docPartUnique/>
        </w:docPartObj>
      </w:sdtPr>
      <w:sdtEndPr/>
      <w:sdtContent>
        <w:p w:rsidR="00DA284E" w:rsidRPr="00563EF2" w:rsidRDefault="0086277E" w:rsidP="00FD7676">
          <w:pPr>
            <w:rPr>
              <w:rFonts w:asciiTheme="minorHAnsi" w:hAnsiTheme="minorHAnsi"/>
              <w:sz w:val="22"/>
            </w:rPr>
          </w:pPr>
          <w:r w:rsidRPr="00563EF2">
            <w:rPr>
              <w:rFonts w:asciiTheme="minorHAnsi" w:hAnsiTheme="minorHAnsi"/>
              <w:noProof/>
              <w:sz w:val="22"/>
              <w:lang w:eastAsia="pl-PL"/>
            </w:rPr>
            <w:drawing>
              <wp:anchor distT="0" distB="0" distL="114300" distR="114300" simplePos="0" relativeHeight="251664384" behindDoc="0" locked="0" layoutInCell="1" allowOverlap="1" wp14:anchorId="2D84D46C" wp14:editId="5BD60A86">
                <wp:simplePos x="0" y="0"/>
                <wp:positionH relativeFrom="column">
                  <wp:posOffset>3834998</wp:posOffset>
                </wp:positionH>
                <wp:positionV relativeFrom="paragraph">
                  <wp:posOffset>-407202</wp:posOffset>
                </wp:positionV>
                <wp:extent cx="2057400" cy="638175"/>
                <wp:effectExtent l="19050" t="0" r="0" b="0"/>
                <wp:wrapNone/>
                <wp:docPr id="9" name="Obraz 10" descr="logo_lider_pro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_lider_projekt.jpg"/>
                        <pic:cNvPicPr>
                          <a:picLocks noChangeAspect="1" noChangeArrowheads="1"/>
                        </pic:cNvPicPr>
                      </pic:nvPicPr>
                      <pic:blipFill>
                        <a:blip r:embed="rId10" cstate="print"/>
                        <a:srcRect/>
                        <a:stretch>
                          <a:fillRect/>
                        </a:stretch>
                      </pic:blipFill>
                      <pic:spPr bwMode="auto">
                        <a:xfrm>
                          <a:off x="0" y="0"/>
                          <a:ext cx="2057400" cy="638175"/>
                        </a:xfrm>
                        <a:prstGeom prst="rect">
                          <a:avLst/>
                        </a:prstGeom>
                        <a:noFill/>
                        <a:ln w="9525">
                          <a:noFill/>
                          <a:miter lim="800000"/>
                          <a:headEnd/>
                          <a:tailEnd/>
                        </a:ln>
                      </pic:spPr>
                    </pic:pic>
                  </a:graphicData>
                </a:graphic>
              </wp:anchor>
            </w:drawing>
          </w:r>
        </w:p>
        <w:p w:rsidR="00DA284E" w:rsidRPr="00563EF2" w:rsidRDefault="001860EB" w:rsidP="00FD7676">
          <w:pPr>
            <w:spacing w:after="160"/>
            <w:rPr>
              <w:rFonts w:asciiTheme="minorHAnsi" w:hAnsiTheme="minorHAnsi"/>
              <w:sz w:val="22"/>
            </w:rPr>
          </w:pPr>
          <w:r>
            <w:rPr>
              <w:rFonts w:asciiTheme="minorHAnsi" w:hAnsiTheme="minorHAnsi"/>
              <w:noProof/>
              <w:sz w:val="22"/>
              <w:lang w:eastAsia="pl-PL"/>
            </w:rPr>
            <mc:AlternateContent>
              <mc:Choice Requires="wps">
                <w:drawing>
                  <wp:anchor distT="0" distB="0" distL="114300" distR="114300" simplePos="0" relativeHeight="251661312" behindDoc="0" locked="0" layoutInCell="1" allowOverlap="1" wp14:anchorId="3D5EA7F9" wp14:editId="735EC782">
                    <wp:simplePos x="0" y="0"/>
                    <wp:positionH relativeFrom="page">
                      <wp:posOffset>1500973</wp:posOffset>
                    </wp:positionH>
                    <wp:positionV relativeFrom="page">
                      <wp:posOffset>8930038</wp:posOffset>
                    </wp:positionV>
                    <wp:extent cx="5972175" cy="1266825"/>
                    <wp:effectExtent l="0" t="0" r="9525" b="9525"/>
                    <wp:wrapSquare wrapText="bothSides"/>
                    <wp:docPr id="77" name="Pole tekstow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469F2" w:rsidRPr="0086277E" w:rsidRDefault="007B2916" w:rsidP="0086277E">
                                <w:pPr>
                                  <w:ind w:left="5103"/>
                                  <w:jc w:val="left"/>
                                  <w:rPr>
                                    <w:rFonts w:asciiTheme="majorHAnsi" w:hAnsiTheme="majorHAnsi"/>
                                    <w:color w:val="44546A" w:themeColor="text2"/>
                                    <w:szCs w:val="24"/>
                                  </w:rPr>
                                </w:pPr>
                                <w:sdt>
                                  <w:sdtPr>
                                    <w:rPr>
                                      <w:rFonts w:asciiTheme="majorHAnsi" w:hAnsiTheme="majorHAnsi"/>
                                      <w:b/>
                                      <w:caps/>
                                      <w:color w:val="44546A" w:themeColor="text2"/>
                                      <w:szCs w:val="24"/>
                                    </w:rPr>
                                    <w:alias w:val="Autor"/>
                                    <w:tag w:val=""/>
                                    <w:id w:val="70667825"/>
                                    <w:dataBinding w:prefixMappings="xmlns:ns0='http://purl.org/dc/elements/1.1/' xmlns:ns1='http://schemas.openxmlformats.org/package/2006/metadata/core-properties' " w:xpath="/ns1:coreProperties[1]/ns0:creator[1]" w:storeItemID="{6C3C8BC8-F283-45AE-878A-BAB7291924A1}"/>
                                    <w:text/>
                                  </w:sdtPr>
                                  <w:sdtEndPr/>
                                  <w:sdtContent>
                                    <w:r w:rsidR="00A469F2" w:rsidRPr="0086277E">
                                      <w:rPr>
                                        <w:rFonts w:asciiTheme="majorHAnsi" w:hAnsiTheme="majorHAnsi"/>
                                        <w:b/>
                                        <w:caps/>
                                        <w:color w:val="44546A" w:themeColor="text2"/>
                                        <w:szCs w:val="24"/>
                                      </w:rPr>
                                      <w:t>LideR Projekt Sp. z o.o.</w:t>
                                    </w:r>
                                  </w:sdtContent>
                                </w:sdt>
                                <w:r w:rsidR="00A469F2" w:rsidRPr="0086277E">
                                  <w:rPr>
                                    <w:rFonts w:asciiTheme="majorHAnsi" w:hAnsiTheme="majorHAnsi"/>
                                    <w:caps/>
                                    <w:color w:val="44546A" w:themeColor="text2"/>
                                    <w:szCs w:val="24"/>
                                  </w:rPr>
                                  <w:br/>
                                </w:r>
                                <w:r w:rsidR="00A469F2">
                                  <w:rPr>
                                    <w:rFonts w:asciiTheme="majorHAnsi" w:hAnsiTheme="majorHAnsi"/>
                                    <w:color w:val="44546A" w:themeColor="text2"/>
                                    <w:szCs w:val="24"/>
                                  </w:rPr>
                                  <w:t>ul. Marcinkowskiego 1/3</w:t>
                                </w:r>
                                <w:r w:rsidR="00A469F2" w:rsidRPr="0086277E">
                                  <w:rPr>
                                    <w:rFonts w:asciiTheme="majorHAnsi" w:hAnsiTheme="majorHAnsi"/>
                                    <w:color w:val="44546A" w:themeColor="text2"/>
                                    <w:szCs w:val="24"/>
                                  </w:rPr>
                                  <w:t>, 61-</w:t>
                                </w:r>
                                <w:r w:rsidR="00A469F2">
                                  <w:rPr>
                                    <w:rFonts w:asciiTheme="majorHAnsi" w:hAnsiTheme="majorHAnsi"/>
                                    <w:color w:val="44546A" w:themeColor="text2"/>
                                    <w:szCs w:val="24"/>
                                  </w:rPr>
                                  <w:t xml:space="preserve">745 </w:t>
                                </w:r>
                                <w:r w:rsidR="00A469F2" w:rsidRPr="0086277E">
                                  <w:rPr>
                                    <w:rFonts w:asciiTheme="majorHAnsi" w:hAnsiTheme="majorHAnsi"/>
                                    <w:color w:val="44546A" w:themeColor="text2"/>
                                    <w:szCs w:val="24"/>
                                  </w:rPr>
                                  <w:t>Poznań</w:t>
                                </w:r>
                              </w:p>
                              <w:p w:rsidR="00A469F2" w:rsidRPr="0086277E" w:rsidRDefault="00A469F2" w:rsidP="0086277E">
                                <w:pPr>
                                  <w:ind w:left="5103"/>
                                  <w:jc w:val="left"/>
                                  <w:rPr>
                                    <w:rFonts w:asciiTheme="majorHAnsi" w:hAnsiTheme="majorHAnsi"/>
                                    <w:color w:val="44546A" w:themeColor="text2"/>
                                    <w:szCs w:val="24"/>
                                  </w:rPr>
                                </w:pPr>
                                <w:r w:rsidRPr="0086277E">
                                  <w:rPr>
                                    <w:rFonts w:asciiTheme="majorHAnsi" w:hAnsiTheme="majorHAnsi"/>
                                    <w:color w:val="44546A" w:themeColor="text2"/>
                                    <w:szCs w:val="24"/>
                                  </w:rPr>
                                  <w:t>tel.: 61 828 08 11</w:t>
                                </w:r>
                              </w:p>
                              <w:p w:rsidR="00A469F2" w:rsidRPr="0086277E" w:rsidRDefault="00A469F2" w:rsidP="0086277E">
                                <w:pPr>
                                  <w:ind w:left="5103"/>
                                  <w:jc w:val="left"/>
                                  <w:rPr>
                                    <w:rFonts w:asciiTheme="majorHAnsi" w:hAnsiTheme="majorHAnsi"/>
                                    <w:color w:val="44546A" w:themeColor="text2"/>
                                    <w:szCs w:val="24"/>
                                  </w:rPr>
                                </w:pPr>
                                <w:r w:rsidRPr="0086277E">
                                  <w:rPr>
                                    <w:rFonts w:asciiTheme="majorHAnsi" w:hAnsiTheme="majorHAnsi"/>
                                    <w:color w:val="44546A" w:themeColor="text2"/>
                                    <w:szCs w:val="24"/>
                                  </w:rPr>
                                  <w:t>fax: 61 62 32 257</w:t>
                                </w:r>
                              </w:p>
                              <w:p w:rsidR="00A469F2" w:rsidRPr="0086277E" w:rsidRDefault="00A469F2" w:rsidP="0086277E">
                                <w:pPr>
                                  <w:ind w:left="5103"/>
                                  <w:jc w:val="left"/>
                                  <w:rPr>
                                    <w:rFonts w:asciiTheme="majorHAnsi" w:hAnsiTheme="majorHAnsi"/>
                                    <w:color w:val="44546A" w:themeColor="text2"/>
                                    <w:szCs w:val="24"/>
                                    <w:lang w:val="en-US"/>
                                  </w:rPr>
                                </w:pPr>
                                <w:r w:rsidRPr="0086277E">
                                  <w:rPr>
                                    <w:rFonts w:asciiTheme="majorHAnsi" w:hAnsiTheme="majorHAnsi"/>
                                    <w:color w:val="44546A" w:themeColor="text2"/>
                                    <w:szCs w:val="24"/>
                                    <w:lang w:val="en-US"/>
                                  </w:rPr>
                                  <w:t>e-mail: liderprojekt@liderprojekt.pl</w:t>
                                </w:r>
                              </w:p>
                              <w:p w:rsidR="00A469F2" w:rsidRPr="0086277E" w:rsidRDefault="00A469F2" w:rsidP="0086277E">
                                <w:pPr>
                                  <w:pStyle w:val="Stopka"/>
                                  <w:ind w:left="5103"/>
                                  <w:jc w:val="left"/>
                                  <w:rPr>
                                    <w:rFonts w:asciiTheme="majorHAnsi" w:hAnsiTheme="majorHAnsi" w:cs="Arial"/>
                                    <w:color w:val="44546A" w:themeColor="text2"/>
                                    <w:szCs w:val="24"/>
                                    <w:lang w:val="en-US"/>
                                  </w:rPr>
                                </w:pPr>
                                <w:r w:rsidRPr="0086277E">
                                  <w:rPr>
                                    <w:rFonts w:asciiTheme="majorHAnsi" w:hAnsiTheme="majorHAnsi" w:cs="Arial"/>
                                    <w:color w:val="44546A" w:themeColor="text2"/>
                                    <w:szCs w:val="24"/>
                                    <w:lang w:val="en-US"/>
                                  </w:rPr>
                                  <w:t>www.liderprojekt.pl</w:t>
                                </w:r>
                              </w:p>
                              <w:p w:rsidR="00A469F2" w:rsidRPr="0086277E" w:rsidRDefault="00A469F2">
                                <w:pPr>
                                  <w:pStyle w:val="Bezodstpw"/>
                                  <w:jc w:val="right"/>
                                  <w:rPr>
                                    <w:caps/>
                                    <w:color w:val="262626" w:themeColor="text1" w:themeTint="D9"/>
                                    <w:sz w:val="28"/>
                                    <w:szCs w:val="28"/>
                                    <w:lang w:val="en-US"/>
                                  </w:rPr>
                                </w:pPr>
                              </w:p>
                              <w:p w:rsidR="00A469F2" w:rsidRPr="0086277E" w:rsidRDefault="00A469F2">
                                <w:pPr>
                                  <w:pStyle w:val="Bezodstpw"/>
                                  <w:jc w:val="right"/>
                                  <w:rPr>
                                    <w:caps/>
                                    <w:color w:val="262626" w:themeColor="text1" w:themeTint="D9"/>
                                    <w:sz w:val="20"/>
                                    <w:szCs w:val="20"/>
                                    <w:lang w:val="en-US"/>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12" o:spid="_x0000_s1026" type="#_x0000_t202" style="position:absolute;left:0;text-align:left;margin-left:118.2pt;margin-top:703.15pt;width:470.25pt;height:9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MPtAIAALIFAAAOAAAAZHJzL2Uyb0RvYy54bWysVG1vmzAQ/j5p/8Hyd8pLCQFUUrUhTJO6&#10;rVK3H2DABGtgM9sJ6ab9951NSNNWk6ZtfLAO+/zcPXeP7+r60HdoT6VigmfYv/AworwSNePbDH/5&#10;XDgxRkoTXpNOcJrhR6rw9ertm6txSGkgWtHVVCIA4Sodhwy3Wg+p66qqpT1RF2KgHA4bIXui4Vdu&#10;3VqSEdD7zg08L3JHIetBiooqBbv5dIhXFr9paKU/NY2iGnUZhty0XaVdS7O6qyuSbiUZWlYd0yB/&#10;kUVPGIegJ6icaIJ2kr2C6lklhRKNvqhE74qmYRW1HICN771g89CSgVouUBw1nMqk/h9s9XF/LxGr&#10;M7xcYsRJDz26Fx1Fmn5VWowU+X5gqjQOKgXnhwHc9eFWHKDblrEa7kT1VSEu1i3hW3ojpRhbSmrI&#10;0jc33bOrE44yIOX4QdQQjey0sECHRvamhFAUBOjQrcdTh+hBowo2F8ky8JcLjCo484MoioOFjUHS&#10;+foglX5HRY+MkWEJErDwZH+ntEmHpLOLicZFwbrOyqDjzzbAcdqB4HDVnJk0bFd/JF6yiTdx6IRB&#10;tHFCL8+dm2IdOlEB6eWX+Xqd+z9NXD9MW1bXlJsws8L88M86eNT6pI2TxpToWG3gTEpKbst1J9Ge&#10;gMIL+x0LcubmPk/DFgG4vKDkB6F3GyROEcVLJyzChZMsvdjx/OQ2ibwwCfPiOaU7xum/U0JjhqPL&#10;hTep6bfcPPu95kbSnmmYIR3rMxyfnEhqNLjhtW2tJqyb7LNSmPSfSgHtnhttFWtEOslVH8oDoBgZ&#10;l6J+BO1KAcoCgcLgA6MV8jtGIwyRDKtvOyIpRt17Dvo3E2c25GyUs0F4BVczXGI0mWs9TabdINm2&#10;BeTphXFxA2+kYVa9T1kcXxYMBkviOMTM5Dn/t15Po3b1CwAA//8DAFBLAwQUAAYACAAAACEAdaWD&#10;IOQAAAAOAQAADwAAAGRycy9kb3ducmV2LnhtbEyPy07DMBBF90j8gzVI7KidpjUlxKkQFUJILGh5&#10;rJ1kSKLGdhQ7j/L1TFewm9E9unMm3c6mZSP2vnFWQbQQwNAWrmxspeDj/elmA8wHbUvdOosKTuhh&#10;m11epDop3WT3OB5CxajE+kQrqEPoEs59UaPRfuE6tJR9u97oQGtf8bLXE5Wbli+FkNzoxtKFWnf4&#10;WGNxPAxGwdtP/ilfv4bTtHvZjXs8Pg/rKFbq+mp+uAcWcA5/MJz1SR0ycsrdYEvPWgXLWK4IpWAl&#10;ZAzsjES38g5YTpMU6w3wLOX/38h+AQAA//8DAFBLAQItABQABgAIAAAAIQC2gziS/gAAAOEBAAAT&#10;AAAAAAAAAAAAAAAAAAAAAABbQ29udGVudF9UeXBlc10ueG1sUEsBAi0AFAAGAAgAAAAhADj9If/W&#10;AAAAlAEAAAsAAAAAAAAAAAAAAAAALwEAAF9yZWxzLy5yZWxzUEsBAi0AFAAGAAgAAAAhAIZQIw+0&#10;AgAAsgUAAA4AAAAAAAAAAAAAAAAALgIAAGRycy9lMm9Eb2MueG1sUEsBAi0AFAAGAAgAAAAhAHWl&#10;gyDkAAAADgEAAA8AAAAAAAAAAAAAAAAADgUAAGRycy9kb3ducmV2LnhtbFBLBQYAAAAABAAEAPMA&#10;AAAfBgAAAAA=&#10;" filled="f" stroked="f" strokeweight=".5pt">
                    <v:textbox inset="0,0,0,0">
                      <w:txbxContent>
                        <w:p w:rsidR="00960314" w:rsidRPr="0086277E" w:rsidRDefault="00960314" w:rsidP="0086277E">
                          <w:pPr>
                            <w:ind w:left="5103"/>
                            <w:jc w:val="left"/>
                            <w:rPr>
                              <w:rFonts w:asciiTheme="majorHAnsi" w:hAnsiTheme="majorHAnsi"/>
                              <w:color w:val="44546A" w:themeColor="text2"/>
                              <w:szCs w:val="24"/>
                            </w:rPr>
                          </w:pPr>
                          <w:sdt>
                            <w:sdtPr>
                              <w:rPr>
                                <w:rFonts w:asciiTheme="majorHAnsi" w:hAnsiTheme="majorHAnsi"/>
                                <w:b/>
                                <w:caps/>
                                <w:color w:val="44546A" w:themeColor="text2"/>
                                <w:szCs w:val="24"/>
                              </w:rPr>
                              <w:alias w:val="Autor"/>
                              <w:tag w:val=""/>
                              <w:id w:val="70667825"/>
                              <w:dataBinding w:prefixMappings="xmlns:ns0='http://purl.org/dc/elements/1.1/' xmlns:ns1='http://schemas.openxmlformats.org/package/2006/metadata/core-properties' " w:xpath="/ns1:coreProperties[1]/ns0:creator[1]" w:storeItemID="{6C3C8BC8-F283-45AE-878A-BAB7291924A1}"/>
                              <w:text/>
                            </w:sdtPr>
                            <w:sdtContent>
                              <w:r w:rsidRPr="0086277E">
                                <w:rPr>
                                  <w:rFonts w:asciiTheme="majorHAnsi" w:hAnsiTheme="majorHAnsi"/>
                                  <w:b/>
                                  <w:caps/>
                                  <w:color w:val="44546A" w:themeColor="text2"/>
                                  <w:szCs w:val="24"/>
                                </w:rPr>
                                <w:t>LideR Projekt Sp. z o.o.</w:t>
                              </w:r>
                            </w:sdtContent>
                          </w:sdt>
                          <w:r w:rsidRPr="0086277E">
                            <w:rPr>
                              <w:rFonts w:asciiTheme="majorHAnsi" w:hAnsiTheme="majorHAnsi"/>
                              <w:caps/>
                              <w:color w:val="44546A" w:themeColor="text2"/>
                              <w:szCs w:val="24"/>
                            </w:rPr>
                            <w:br/>
                          </w:r>
                          <w:r>
                            <w:rPr>
                              <w:rFonts w:asciiTheme="majorHAnsi" w:hAnsiTheme="majorHAnsi"/>
                              <w:color w:val="44546A" w:themeColor="text2"/>
                              <w:szCs w:val="24"/>
                            </w:rPr>
                            <w:t>ul. Marcinkowskiego 1/3</w:t>
                          </w:r>
                          <w:r w:rsidRPr="0086277E">
                            <w:rPr>
                              <w:rFonts w:asciiTheme="majorHAnsi" w:hAnsiTheme="majorHAnsi"/>
                              <w:color w:val="44546A" w:themeColor="text2"/>
                              <w:szCs w:val="24"/>
                            </w:rPr>
                            <w:t>, 61-</w:t>
                          </w:r>
                          <w:r>
                            <w:rPr>
                              <w:rFonts w:asciiTheme="majorHAnsi" w:hAnsiTheme="majorHAnsi"/>
                              <w:color w:val="44546A" w:themeColor="text2"/>
                              <w:szCs w:val="24"/>
                            </w:rPr>
                            <w:t xml:space="preserve">745 </w:t>
                          </w:r>
                          <w:r w:rsidRPr="0086277E">
                            <w:rPr>
                              <w:rFonts w:asciiTheme="majorHAnsi" w:hAnsiTheme="majorHAnsi"/>
                              <w:color w:val="44546A" w:themeColor="text2"/>
                              <w:szCs w:val="24"/>
                            </w:rPr>
                            <w:t>Poznań</w:t>
                          </w:r>
                        </w:p>
                        <w:p w:rsidR="00960314" w:rsidRPr="0086277E" w:rsidRDefault="00960314" w:rsidP="0086277E">
                          <w:pPr>
                            <w:ind w:left="5103"/>
                            <w:jc w:val="left"/>
                            <w:rPr>
                              <w:rFonts w:asciiTheme="majorHAnsi" w:hAnsiTheme="majorHAnsi"/>
                              <w:color w:val="44546A" w:themeColor="text2"/>
                              <w:szCs w:val="24"/>
                            </w:rPr>
                          </w:pPr>
                          <w:r w:rsidRPr="0086277E">
                            <w:rPr>
                              <w:rFonts w:asciiTheme="majorHAnsi" w:hAnsiTheme="majorHAnsi"/>
                              <w:color w:val="44546A" w:themeColor="text2"/>
                              <w:szCs w:val="24"/>
                            </w:rPr>
                            <w:t>tel.: 61 828 08 11</w:t>
                          </w:r>
                        </w:p>
                        <w:p w:rsidR="00960314" w:rsidRPr="0086277E" w:rsidRDefault="00960314" w:rsidP="0086277E">
                          <w:pPr>
                            <w:ind w:left="5103"/>
                            <w:jc w:val="left"/>
                            <w:rPr>
                              <w:rFonts w:asciiTheme="majorHAnsi" w:hAnsiTheme="majorHAnsi"/>
                              <w:color w:val="44546A" w:themeColor="text2"/>
                              <w:szCs w:val="24"/>
                            </w:rPr>
                          </w:pPr>
                          <w:r w:rsidRPr="0086277E">
                            <w:rPr>
                              <w:rFonts w:asciiTheme="majorHAnsi" w:hAnsiTheme="majorHAnsi"/>
                              <w:color w:val="44546A" w:themeColor="text2"/>
                              <w:szCs w:val="24"/>
                            </w:rPr>
                            <w:t>fax: 61 62 32 257</w:t>
                          </w:r>
                        </w:p>
                        <w:p w:rsidR="00960314" w:rsidRPr="0086277E" w:rsidRDefault="00960314" w:rsidP="0086277E">
                          <w:pPr>
                            <w:ind w:left="5103"/>
                            <w:jc w:val="left"/>
                            <w:rPr>
                              <w:rFonts w:asciiTheme="majorHAnsi" w:hAnsiTheme="majorHAnsi"/>
                              <w:color w:val="44546A" w:themeColor="text2"/>
                              <w:szCs w:val="24"/>
                              <w:lang w:val="en-US"/>
                            </w:rPr>
                          </w:pPr>
                          <w:r w:rsidRPr="0086277E">
                            <w:rPr>
                              <w:rFonts w:asciiTheme="majorHAnsi" w:hAnsiTheme="majorHAnsi"/>
                              <w:color w:val="44546A" w:themeColor="text2"/>
                              <w:szCs w:val="24"/>
                              <w:lang w:val="en-US"/>
                            </w:rPr>
                            <w:t>e-mail: liderprojekt@liderprojekt.pl</w:t>
                          </w:r>
                        </w:p>
                        <w:p w:rsidR="00960314" w:rsidRPr="0086277E" w:rsidRDefault="00960314" w:rsidP="0086277E">
                          <w:pPr>
                            <w:pStyle w:val="Stopka"/>
                            <w:ind w:left="5103"/>
                            <w:jc w:val="left"/>
                            <w:rPr>
                              <w:rFonts w:asciiTheme="majorHAnsi" w:hAnsiTheme="majorHAnsi" w:cs="Arial"/>
                              <w:color w:val="44546A" w:themeColor="text2"/>
                              <w:szCs w:val="24"/>
                              <w:lang w:val="en-US"/>
                            </w:rPr>
                          </w:pPr>
                          <w:r w:rsidRPr="0086277E">
                            <w:rPr>
                              <w:rFonts w:asciiTheme="majorHAnsi" w:hAnsiTheme="majorHAnsi" w:cs="Arial"/>
                              <w:color w:val="44546A" w:themeColor="text2"/>
                              <w:szCs w:val="24"/>
                              <w:lang w:val="en-US"/>
                            </w:rPr>
                            <w:t>www.liderprojekt.pl</w:t>
                          </w:r>
                        </w:p>
                        <w:p w:rsidR="00960314" w:rsidRPr="0086277E" w:rsidRDefault="00960314">
                          <w:pPr>
                            <w:pStyle w:val="Bezodstpw"/>
                            <w:jc w:val="right"/>
                            <w:rPr>
                              <w:caps/>
                              <w:color w:val="262626" w:themeColor="text1" w:themeTint="D9"/>
                              <w:sz w:val="28"/>
                              <w:szCs w:val="28"/>
                              <w:lang w:val="en-US"/>
                            </w:rPr>
                          </w:pPr>
                        </w:p>
                        <w:p w:rsidR="00960314" w:rsidRPr="0086277E" w:rsidRDefault="00960314">
                          <w:pPr>
                            <w:pStyle w:val="Bezodstpw"/>
                            <w:jc w:val="right"/>
                            <w:rPr>
                              <w:caps/>
                              <w:color w:val="262626" w:themeColor="text1" w:themeTint="D9"/>
                              <w:sz w:val="20"/>
                              <w:szCs w:val="20"/>
                              <w:lang w:val="en-US"/>
                            </w:rPr>
                          </w:pPr>
                        </w:p>
                      </w:txbxContent>
                    </v:textbox>
                    <w10:wrap type="square" anchorx="page" anchory="page"/>
                  </v:shape>
                </w:pict>
              </mc:Fallback>
            </mc:AlternateContent>
          </w:r>
          <w:r w:rsidR="00E1625A">
            <w:rPr>
              <w:noProof/>
              <w:lang w:eastAsia="pl-PL"/>
            </w:rPr>
            <w:drawing>
              <wp:anchor distT="0" distB="0" distL="114300" distR="114300" simplePos="0" relativeHeight="251680768" behindDoc="0" locked="0" layoutInCell="1" allowOverlap="1" wp14:anchorId="1618AE14" wp14:editId="4BDB05AA">
                <wp:simplePos x="0" y="0"/>
                <wp:positionH relativeFrom="margin">
                  <wp:align>center</wp:align>
                </wp:positionH>
                <wp:positionV relativeFrom="margin">
                  <wp:posOffset>3669063</wp:posOffset>
                </wp:positionV>
                <wp:extent cx="6296660" cy="2466975"/>
                <wp:effectExtent l="0" t="0" r="8890" b="9525"/>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rotWithShape="1">
                        <a:blip r:embed="rId11" cstate="print">
                          <a:extLst>
                            <a:ext uri="{28A0092B-C50C-407E-A947-70E740481C1C}">
                              <a14:useLocalDpi xmlns:a14="http://schemas.microsoft.com/office/drawing/2010/main" val="0"/>
                            </a:ext>
                          </a:extLst>
                        </a:blip>
                        <a:srcRect l="5058" t="15363" r="4421" b="11560"/>
                        <a:stretch/>
                      </pic:blipFill>
                      <pic:spPr>
                        <a:xfrm>
                          <a:off x="0" y="0"/>
                          <a:ext cx="6296660" cy="2466975"/>
                        </a:xfrm>
                        <a:prstGeom prst="rect">
                          <a:avLst/>
                        </a:prstGeom>
                      </pic:spPr>
                    </pic:pic>
                  </a:graphicData>
                </a:graphic>
                <wp14:sizeRelH relativeFrom="margin">
                  <wp14:pctWidth>0</wp14:pctWidth>
                </wp14:sizeRelH>
                <wp14:sizeRelV relativeFrom="margin">
                  <wp14:pctHeight>0</wp14:pctHeight>
                </wp14:sizeRelV>
              </wp:anchor>
            </w:drawing>
          </w:r>
          <w:r w:rsidR="00EE0EA2">
            <w:rPr>
              <w:noProof/>
              <w:lang w:eastAsia="pl-PL"/>
            </w:rPr>
            <mc:AlternateContent>
              <mc:Choice Requires="wps">
                <w:drawing>
                  <wp:anchor distT="0" distB="0" distL="114300" distR="114300" simplePos="0" relativeHeight="251681792" behindDoc="0" locked="0" layoutInCell="1" allowOverlap="1" wp14:anchorId="2C7520C7" wp14:editId="247739DA">
                    <wp:simplePos x="0" y="0"/>
                    <wp:positionH relativeFrom="margin">
                      <wp:align>center</wp:align>
                    </wp:positionH>
                    <wp:positionV relativeFrom="paragraph">
                      <wp:posOffset>6152515</wp:posOffset>
                    </wp:positionV>
                    <wp:extent cx="2952750" cy="438150"/>
                    <wp:effectExtent l="0" t="0" r="0" b="0"/>
                    <wp:wrapNone/>
                    <wp:docPr id="46" name="Pole tekstowe 46"/>
                    <wp:cNvGraphicFramePr/>
                    <a:graphic xmlns:a="http://schemas.openxmlformats.org/drawingml/2006/main">
                      <a:graphicData uri="http://schemas.microsoft.com/office/word/2010/wordprocessingShape">
                        <wps:wsp>
                          <wps:cNvSpPr txBox="1"/>
                          <wps:spPr>
                            <a:xfrm>
                              <a:off x="0" y="0"/>
                              <a:ext cx="29527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9F2" w:rsidRPr="00EE0EA2" w:rsidRDefault="00A469F2" w:rsidP="00EE0EA2">
                                <w:pPr>
                                  <w:jc w:val="center"/>
                                  <w:rPr>
                                    <w:rFonts w:asciiTheme="minorHAnsi" w:hAnsiTheme="minorHAnsi"/>
                                    <w:color w:val="1F4E79" w:themeColor="accent1"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46" o:spid="_x0000_s1027" type="#_x0000_t202" style="position:absolute;left:0;text-align:left;margin-left:0;margin-top:484.45pt;width:232.5pt;height:34.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C7kQIAAJgFAAAOAAAAZHJzL2Uyb0RvYy54bWysVEtv2zAMvg/YfxB0X52k6SuoU2QtOgwo&#10;2mLt0LMiS41QWdQkJnb260vJzmNdLx12sSnyIyl+Inl+0daWrVSIBlzJhwcDzpSTUBn3XPKfj9df&#10;TjmLKFwlLDhV8rWK/GL6+dN54ydqBAuwlQqMgrg4aXzJF4h+UhRRLlQt4gF45cioIdQC6RieiyqI&#10;hqLXthgNBsdFA6HyAaSKkbRXnZFPc3ytlcQ7raNCZktOd8P8Dfk7T99iei4mz0H4hZH9NcQ/3KIW&#10;xlHSbagrgYItg/krVG1kgAgaDyTUBWhtpMo1UDXDwZtqHhbCq1wLkRP9lqb4/8LK29V9YKYq+fiY&#10;MydqeqN7sIqheokIjWKkJ5IaHyeEffCExvYrtPTYG30kZaq91aFOf6qKkZ3oXm8pVi0yScrR2dHo&#10;5IhMkmzjw9MhyRS+2Hn7EPGbgpoloeSBnjAzK1Y3ETvoBpKSRbCmujbW5kNqG3VpA1sJenCL+Y4U&#10;/A+Udawp+fEhpU5ODpJ7F9m6pFG5cfp0qfKuwizh2qqEse6H0kRcLvSd3EJK5bb5MzqhNKX6iGOP&#10;393qI85dHeSRM4PDrXNtHIRcfZ60HWXVy4Yy3eHpbfbqTiK28zZ3zLYB5lCtqS8CdOMVvbw29Hg3&#10;IuK9CDRP9N60I/COPtoCkQ+9xNkCwu/39AlPbU5Wzhqaz5LHX0sRFGf2u6MBOBuOx2mg82F8dDKi&#10;Q9i3zPctbllfAnXEkLaRl1lMeLQbUQeon2iVzFJWMgknKXfJcSNeYrc1aBVJNZtlEI2wF3jjHrxM&#10;oRPLqTUf2ycRfN+/SJ1/C5tJFpM3bdxhk6eD2RJBm9zjieeO1Z5/Gv88Jf2qSvtl/5xRu4U6fQUA&#10;AP//AwBQSwMEFAAGAAgAAAAhAN4B+7PhAAAACQEAAA8AAABkcnMvZG93bnJldi54bWxMj81OwzAQ&#10;hO9IvIO1SFwQdSA0bUKcCiF+JG40LYibGy9JRLyOYjcJb89yguPOjGa/yTez7cSIg28dKbhaRCCQ&#10;KmdaqhXsysfLNQgfNBndOUIF3+hhU5ye5DozbqJXHLehFlxCPtMKmhD6TEpfNWi1X7geib1PN1gd&#10;+BxqaQY9cbnt5HUUJdLqlvhDo3u8b7D62h6tgo+L+v3Fz0/7KV7G/cPzWK7eTKnU+dl8dwsi4Bz+&#10;wvCLz+hQMNPBHcl40SngIUFBmqxTEGzfJEtWDpyL4lUKssjl/wXFDwAAAP//AwBQSwECLQAUAAYA&#10;CAAAACEAtoM4kv4AAADhAQAAEwAAAAAAAAAAAAAAAAAAAAAAW0NvbnRlbnRfVHlwZXNdLnhtbFBL&#10;AQItABQABgAIAAAAIQA4/SH/1gAAAJQBAAALAAAAAAAAAAAAAAAAAC8BAABfcmVscy8ucmVsc1BL&#10;AQItABQABgAIAAAAIQD0vGC7kQIAAJgFAAAOAAAAAAAAAAAAAAAAAC4CAABkcnMvZTJvRG9jLnht&#10;bFBLAQItABQABgAIAAAAIQDeAfuz4QAAAAkBAAAPAAAAAAAAAAAAAAAAAOsEAABkcnMvZG93bnJl&#10;di54bWxQSwUGAAAAAAQABADzAAAA+QUAAAAA&#10;" fillcolor="white [3201]" stroked="f" strokeweight=".5pt">
                    <v:textbox>
                      <w:txbxContent>
                        <w:p w:rsidR="00960314" w:rsidRPr="00EE0EA2" w:rsidRDefault="00960314" w:rsidP="00EE0EA2">
                          <w:pPr>
                            <w:jc w:val="center"/>
                            <w:rPr>
                              <w:rFonts w:asciiTheme="minorHAnsi" w:hAnsiTheme="minorHAnsi"/>
                              <w:color w:val="1F4E79" w:themeColor="accent1" w:themeShade="80"/>
                              <w:sz w:val="40"/>
                            </w:rPr>
                          </w:pPr>
                        </w:p>
                      </w:txbxContent>
                    </v:textbox>
                    <w10:wrap anchorx="margin"/>
                  </v:shape>
                </w:pict>
              </mc:Fallback>
            </mc:AlternateContent>
          </w:r>
          <w:r w:rsidR="001A123D">
            <w:rPr>
              <w:rFonts w:asciiTheme="minorHAnsi" w:hAnsiTheme="minorHAnsi"/>
              <w:noProof/>
              <w:sz w:val="22"/>
              <w:lang w:eastAsia="pl-PL"/>
            </w:rPr>
            <mc:AlternateContent>
              <mc:Choice Requires="wpg">
                <w:drawing>
                  <wp:anchor distT="0" distB="0" distL="114300" distR="114300" simplePos="0" relativeHeight="251659264" behindDoc="0" locked="0" layoutInCell="1" allowOverlap="1" wp14:anchorId="0CF32595" wp14:editId="66F5803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6535" cy="9714865"/>
                    <wp:effectExtent l="0" t="0" r="9525" b="0"/>
                    <wp:wrapNone/>
                    <wp:docPr id="114" name="Grupa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9714865"/>
                              <a:chOff x="0" y="0"/>
                              <a:chExt cx="228600" cy="9144000"/>
                            </a:xfrm>
                          </wpg:grpSpPr>
                          <wps:wsp>
                            <wps:cNvPr id="115" name="Prostokąt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id="Grupa 114" o:spid="_x0000_s1026" style="position:absolute;margin-left:0;margin-top:0;width:17.05pt;height:764.9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8QVQMAAAwLAAAOAAAAZHJzL2Uyb0RvYy54bWzsVl9P2zAQf5+072D5fbTp2lIiUlTBQJMq&#10;qAYTz8ZxmojE9my3afe+b7YPtjs7CVAqNLFp0iReItv3x3e/u/vFxyebqiRrYWyhZEKjgz4lQnKV&#10;FnKZ0K835x8mlFjHZMpKJUVCt8LSk+n7d8e1jsVA5apMhSHgRNq41gnNndNxr2d5LipmD5QWEoSZ&#10;MhVzsDXLXmpYDd6rsjfo98e9WplUG8WFtXB6FoR06v1nmeDuKsuscKRMKMTm/Nf47x1+e9NjFi8N&#10;03nBmzDYK6KoWCHh0s7VGXOMrEzxzFVVcKOsytwBV1VPZVnBhc8Bson6O9lcGLXSPpdlXC91BxNA&#10;u4PTq93yy/XCkCKF2kVDSiSroEgXZqUZwQOAp9bLGLQujL7WCxNyhOVc8XsL4t6uHPfLB+VNZio0&#10;glTJxuO+7XAXG0c4HA6i8ejjiBIOoqPDaDgZj0JheA7Ve2bG80+t4WAy7kNZvWE0HPZhgzGxOFzr&#10;g+uCqTX0mH2A0f4ZjNc508JXxyJAHYyQSIBxAZV26v7nDwdY+owwAlBFID2yNrYNpr8F06NsJ4eT&#10;QX/0NFsWa2PdhVAVwUVCDbS/70q2nlsXgGlVsCZWlUV6XpSl3+DIidPSkDWDYWGcC+kGDZxPNEuJ&#10;+lKhZXCKJ4B1m45fuW0pUK+UX0QGHYZ19sH42d69KAqinKUi3D+CWrbpdRa+tN4hes7g/s5342Bf&#10;ElGTRKOPpsJTQ2fcfymwkGJn4W9W0nXGVSGV2eegdN3NQb8FKUCDKN2pdAuNY1QgJqv5eQGlmzPr&#10;FswAE0FzA7u6K/hkpaoTqpoVJbky3/edoz50NkgpqYHZEmq/rZgRlJSfJfT8EQ4KUKHfDEeHA9iY&#10;x5K7xxK5qk4V9EMEPK65X6K+K9tlZlR1CyQ8w1tBxCSHuxPKnWk3py4wLtA4F7OZVwP608zN5bXm&#10;6BxRxda82dwyo5v+dUAQl6qdMxbvtHHQRUupZiunssL3+AOuDd4w80hj/2T4x3uHf4wdiBE0w48x&#10;20ChRKrTnMmlmFkN44pYYMM9UcbNi0QxOYpGQH5oCb29hxwHgTpCK7dc01LBX2OLtt3f2OKNLf5v&#10;tvAPB3hy+R9O8zzEN93jvZ/Sh0fs9BcAAAD//wMAUEsDBBQABgAIAAAAIQCm31sf2wAAAAUBAAAP&#10;AAAAZHJzL2Rvd25yZXYueG1sTI/BTsMwEETvSPyDtUjcqNMUEEnjVFUlekNAyoHenHhJIux1FLtt&#10;+vdduMBlpNWMZt4Wq8lZccQx9J4UzGcJCKTGm55aBR+757snECFqMtp6QgVnDLAqr68KnRt/onc8&#10;VrEVXEIh1wq6GIdcytB06HSY+QGJvS8/Oh35HFtpRn3icmdlmiSP0umeeKHTA246bL6rg1NAcme2&#10;rnp1n4uYVen+rbYv21qp25tpvQQRcYp/YfjBZ3Qoman2BzJBWAX8SPxV9hb3cxA1Zx7SLANZFvI/&#10;fXkBAAD//wMAUEsBAi0AFAAGAAgAAAAhALaDOJL+AAAA4QEAABMAAAAAAAAAAAAAAAAAAAAAAFtD&#10;b250ZW50X1R5cGVzXS54bWxQSwECLQAUAAYACAAAACEAOP0h/9YAAACUAQAACwAAAAAAAAAAAAAA&#10;AAAvAQAAX3JlbHMvLnJlbHNQSwECLQAUAAYACAAAACEASXdfEFUDAAAMCwAADgAAAAAAAAAAAAAA&#10;AAAuAgAAZHJzL2Uyb0RvYy54bWxQSwECLQAUAAYACAAAACEApt9bH9sAAAAFAQAADwAAAAAAAAAA&#10;AAAAAACvBQAAZHJzL2Rvd25yZXYueG1sUEsFBgAAAAAEAAQA8wAAALcGAAAAAA==&#10;">
                    <v:rect id="Prostokąt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Prostokąt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sidR="00DA284E" w:rsidRPr="00563EF2">
            <w:rPr>
              <w:rFonts w:asciiTheme="minorHAnsi" w:hAnsiTheme="minorHAnsi"/>
              <w:sz w:val="22"/>
            </w:rPr>
            <w:br w:type="page"/>
          </w:r>
        </w:p>
      </w:sdtContent>
    </w:sdt>
    <w:sdt>
      <w:sdtPr>
        <w:rPr>
          <w:rFonts w:asciiTheme="minorHAnsi" w:eastAsiaTheme="minorHAnsi" w:hAnsiTheme="minorHAnsi" w:cstheme="minorBidi"/>
          <w:b w:val="0"/>
          <w:bCs w:val="0"/>
          <w:color w:val="auto"/>
          <w:sz w:val="24"/>
          <w:szCs w:val="22"/>
        </w:rPr>
        <w:id w:val="351618549"/>
        <w:docPartObj>
          <w:docPartGallery w:val="Table of Contents"/>
          <w:docPartUnique/>
        </w:docPartObj>
      </w:sdtPr>
      <w:sdtEndPr/>
      <w:sdtContent>
        <w:p w:rsidR="007E17F4" w:rsidRDefault="007E17F4">
          <w:pPr>
            <w:pStyle w:val="Nagwekspisutreci"/>
            <w:rPr>
              <w:rFonts w:asciiTheme="minorHAnsi" w:eastAsiaTheme="minorHAnsi" w:hAnsiTheme="minorHAnsi" w:cstheme="minorBidi"/>
              <w:b w:val="0"/>
              <w:bCs w:val="0"/>
              <w:color w:val="auto"/>
              <w:sz w:val="24"/>
              <w:szCs w:val="22"/>
            </w:rPr>
          </w:pPr>
        </w:p>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Pr="007E17F4" w:rsidRDefault="007E17F4" w:rsidP="007E17F4"/>
        <w:p w:rsidR="007E17F4" w:rsidRDefault="007E17F4" w:rsidP="007E17F4"/>
        <w:p w:rsidR="007E17F4" w:rsidRDefault="007E17F4" w:rsidP="007E17F4">
          <w:pPr>
            <w:tabs>
              <w:tab w:val="center" w:pos="4536"/>
            </w:tabs>
          </w:pPr>
          <w:r>
            <w:tab/>
          </w:r>
        </w:p>
        <w:p w:rsidR="007E17F4" w:rsidRDefault="007E17F4" w:rsidP="007E17F4"/>
        <w:p w:rsidR="007E17F4" w:rsidRDefault="007E17F4" w:rsidP="007E17F4"/>
        <w:p w:rsidR="007E17F4" w:rsidRDefault="007E17F4" w:rsidP="007E17F4">
          <w:pPr>
            <w:tabs>
              <w:tab w:val="center" w:pos="4536"/>
            </w:tabs>
          </w:pPr>
          <w:r>
            <w:tab/>
          </w:r>
        </w:p>
        <w:p w:rsidR="007E17F4" w:rsidRDefault="007E17F4" w:rsidP="007E17F4"/>
        <w:p w:rsidR="007E17F4" w:rsidRDefault="007E17F4" w:rsidP="007E17F4"/>
        <w:p w:rsidR="00226FDC" w:rsidRDefault="007E17F4" w:rsidP="007E17F4">
          <w:pPr>
            <w:tabs>
              <w:tab w:val="center" w:pos="4536"/>
            </w:tabs>
          </w:pPr>
          <w:r>
            <w:tab/>
          </w:r>
        </w:p>
        <w:p w:rsidR="00697C2B" w:rsidRDefault="00697C2B" w:rsidP="007E17F4">
          <w:pPr>
            <w:tabs>
              <w:tab w:val="center" w:pos="4536"/>
            </w:tabs>
          </w:pPr>
        </w:p>
        <w:p w:rsidR="00697C2B" w:rsidRPr="007E17F4" w:rsidRDefault="00697C2B" w:rsidP="007E17F4">
          <w:pPr>
            <w:tabs>
              <w:tab w:val="center" w:pos="4536"/>
            </w:tabs>
            <w:sectPr w:rsidR="00697C2B" w:rsidRPr="007E17F4" w:rsidSect="00226FDC">
              <w:footerReference w:type="default" r:id="rId12"/>
              <w:footerReference w:type="first" r:id="rId13"/>
              <w:pgSz w:w="11906" w:h="16838"/>
              <w:pgMar w:top="1417" w:right="1417" w:bottom="1417" w:left="1417" w:header="708" w:footer="708" w:gutter="0"/>
              <w:pgNumType w:start="1"/>
              <w:cols w:space="708"/>
              <w:titlePg/>
              <w:docGrid w:linePitch="360"/>
            </w:sectPr>
          </w:pPr>
        </w:p>
        <w:p w:rsidR="00D14FAC" w:rsidRDefault="00D14FAC">
          <w:pPr>
            <w:pStyle w:val="Nagwekspisutreci"/>
            <w:rPr>
              <w:rFonts w:asciiTheme="minorHAnsi" w:hAnsiTheme="minorHAnsi"/>
            </w:rPr>
          </w:pPr>
          <w:r w:rsidRPr="00104C40">
            <w:rPr>
              <w:rFonts w:asciiTheme="minorHAnsi" w:hAnsiTheme="minorHAnsi"/>
            </w:rPr>
            <w:t>Spis treści</w:t>
          </w:r>
        </w:p>
        <w:p w:rsidR="00697C2B" w:rsidRPr="00697C2B" w:rsidRDefault="00697C2B" w:rsidP="00697C2B"/>
        <w:p w:rsidR="00697C2B" w:rsidRPr="00697C2B" w:rsidRDefault="00697C2B" w:rsidP="00697C2B"/>
        <w:p w:rsidR="009B1741" w:rsidRPr="009B1741" w:rsidRDefault="00017794">
          <w:pPr>
            <w:pStyle w:val="Spistreci1"/>
            <w:tabs>
              <w:tab w:val="right" w:leader="dot" w:pos="9062"/>
            </w:tabs>
            <w:rPr>
              <w:rFonts w:asciiTheme="minorHAnsi" w:eastAsiaTheme="minorEastAsia" w:hAnsiTheme="minorHAnsi"/>
              <w:noProof/>
              <w:sz w:val="22"/>
              <w:lang w:eastAsia="pl-PL"/>
            </w:rPr>
          </w:pPr>
          <w:r w:rsidRPr="009B1741">
            <w:rPr>
              <w:rFonts w:asciiTheme="minorHAnsi" w:hAnsiTheme="minorHAnsi"/>
            </w:rPr>
            <w:fldChar w:fldCharType="begin"/>
          </w:r>
          <w:r w:rsidR="00D14FAC" w:rsidRPr="009B1741">
            <w:rPr>
              <w:rFonts w:asciiTheme="minorHAnsi" w:hAnsiTheme="minorHAnsi"/>
            </w:rPr>
            <w:instrText xml:space="preserve"> TOC \o "1-3" \h \z \u </w:instrText>
          </w:r>
          <w:r w:rsidRPr="009B1741">
            <w:rPr>
              <w:rFonts w:asciiTheme="minorHAnsi" w:hAnsiTheme="minorHAnsi"/>
            </w:rPr>
            <w:fldChar w:fldCharType="separate"/>
          </w:r>
          <w:hyperlink w:anchor="_Toc399756290" w:history="1">
            <w:r w:rsidR="009B1741" w:rsidRPr="009B1741">
              <w:rPr>
                <w:rStyle w:val="Hipercze"/>
                <w:rFonts w:asciiTheme="minorHAnsi" w:hAnsiTheme="minorHAnsi"/>
                <w:noProof/>
              </w:rPr>
              <w:t>Uwarunkowania zewnętrzne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sidR="007B2916">
              <w:rPr>
                <w:rFonts w:asciiTheme="minorHAnsi" w:hAnsiTheme="minorHAnsi"/>
                <w:noProof/>
                <w:webHidden/>
              </w:rPr>
              <w:t>6</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291" w:history="1">
            <w:r w:rsidR="009B1741" w:rsidRPr="009B1741">
              <w:rPr>
                <w:rStyle w:val="Hipercze"/>
                <w:rFonts w:asciiTheme="minorHAnsi" w:hAnsiTheme="minorHAnsi"/>
                <w:noProof/>
              </w:rPr>
              <w:t>Analiza ustaleń podstawowych dokumentów o charakterze strategicznym i kierunkowym</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2" w:history="1">
            <w:r w:rsidR="009B1741" w:rsidRPr="009B1741">
              <w:rPr>
                <w:rStyle w:val="Hipercze"/>
                <w:rFonts w:asciiTheme="minorHAnsi" w:hAnsiTheme="minorHAnsi"/>
                <w:noProof/>
              </w:rPr>
              <w:t>Uwarunkowania ustawowe opracowywania Strategii Rozwoju Miasta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3" w:history="1">
            <w:r w:rsidR="009B1741" w:rsidRPr="009B1741">
              <w:rPr>
                <w:rStyle w:val="Hipercze"/>
                <w:rFonts w:asciiTheme="minorHAnsi" w:hAnsiTheme="minorHAnsi"/>
                <w:noProof/>
              </w:rPr>
              <w:t>Strategia Unii Europejskiej - Europa 2020</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4" w:history="1">
            <w:r w:rsidR="009B1741" w:rsidRPr="009B1741">
              <w:rPr>
                <w:rStyle w:val="Hipercze"/>
                <w:rFonts w:asciiTheme="minorHAnsi" w:hAnsiTheme="minorHAnsi"/>
                <w:noProof/>
              </w:rPr>
              <w:t>Długookresowa Strategia Rozwoju Kraju Polska 2030 – Trzecia fala nowoczesności</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5" w:history="1">
            <w:r w:rsidR="009B1741" w:rsidRPr="009B1741">
              <w:rPr>
                <w:rStyle w:val="Hipercze"/>
                <w:rFonts w:asciiTheme="minorHAnsi" w:hAnsiTheme="minorHAnsi"/>
                <w:noProof/>
              </w:rPr>
              <w:t>Średniookresowa Strategia Rozwoju Kraju 2020: Aktywne społeczeństwo, Konkurencyjna gospodarka, Sprawne państwo</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12</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6" w:history="1">
            <w:r w:rsidR="009B1741" w:rsidRPr="009B1741">
              <w:rPr>
                <w:rStyle w:val="Hipercze"/>
                <w:rFonts w:asciiTheme="minorHAnsi" w:hAnsiTheme="minorHAnsi"/>
                <w:noProof/>
              </w:rPr>
              <w:t>Krajowa Polityka Miejska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7" w:history="1">
            <w:r w:rsidR="009B1741" w:rsidRPr="009B1741">
              <w:rPr>
                <w:rStyle w:val="Hipercze"/>
                <w:rFonts w:asciiTheme="minorHAnsi" w:hAnsiTheme="minorHAnsi"/>
                <w:noProof/>
              </w:rPr>
              <w:t>Strategia Rozwoju Polski Zachodniej 2020</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8" w:history="1">
            <w:r w:rsidR="009B1741" w:rsidRPr="009B1741">
              <w:rPr>
                <w:rStyle w:val="Hipercze"/>
                <w:rFonts w:asciiTheme="minorHAnsi" w:hAnsiTheme="minorHAnsi"/>
                <w:noProof/>
              </w:rPr>
              <w:t>Koncepcja Przestrzennego Zagospodarowania Kraju 2030</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299" w:history="1">
            <w:r w:rsidR="009B1741" w:rsidRPr="009B1741">
              <w:rPr>
                <w:rStyle w:val="Hipercze"/>
                <w:rFonts w:asciiTheme="minorHAnsi" w:hAnsiTheme="minorHAnsi"/>
                <w:noProof/>
              </w:rPr>
              <w:t>Strategia Województwa Dolnośląskiego 2020</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_Toc399756299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20</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00" w:history="1">
            <w:r w:rsidR="009B1741" w:rsidRPr="009B1741">
              <w:rPr>
                <w:rStyle w:val="Hipercze"/>
                <w:rFonts w:asciiTheme="minorHAnsi" w:hAnsiTheme="minorHAnsi"/>
                <w:noProof/>
              </w:rPr>
              <w:t>Plan Zagospodarowania Przestrzennego Województwa Dolnośląskiego – Perspektywa 2020</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23</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01" w:history="1">
            <w:r w:rsidR="009B1741" w:rsidRPr="009B1741">
              <w:rPr>
                <w:rStyle w:val="Hipercze"/>
                <w:rFonts w:asciiTheme="minorHAnsi" w:hAnsiTheme="minorHAnsi"/>
                <w:noProof/>
              </w:rPr>
              <w:t>Analiza ustaleń Studium uwarunkowań i kierunków zagospodarowania przestrzennego Miasta Legnicy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25</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02" w:history="1">
            <w:r w:rsidR="009B1741" w:rsidRPr="009B1741">
              <w:rPr>
                <w:rStyle w:val="Hipercze"/>
                <w:rFonts w:asciiTheme="minorHAnsi" w:hAnsiTheme="minorHAnsi"/>
                <w:noProof/>
              </w:rPr>
              <w:t>Analiza porównawcza - Legnica na tle innych miast</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28</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03" w:history="1">
            <w:r w:rsidR="009B1741" w:rsidRPr="009B1741">
              <w:rPr>
                <w:rStyle w:val="Hipercze"/>
                <w:rFonts w:asciiTheme="minorHAnsi" w:hAnsiTheme="minorHAnsi"/>
                <w:noProof/>
              </w:rPr>
              <w:t>Uwarunkowania wewnętrzne – Diagnoza strategiczna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42</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04" w:history="1">
            <w:r w:rsidR="009B1741" w:rsidRPr="009B1741">
              <w:rPr>
                <w:rStyle w:val="Hipercze"/>
                <w:rFonts w:asciiTheme="minorHAnsi" w:hAnsiTheme="minorHAnsi"/>
                <w:noProof/>
              </w:rPr>
              <w:t>Podstawowe informacje o Legnicy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42</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05" w:history="1">
            <w:r w:rsidR="009B1741" w:rsidRPr="009B1741">
              <w:rPr>
                <w:rStyle w:val="Hipercze"/>
                <w:rFonts w:asciiTheme="minorHAnsi" w:hAnsiTheme="minorHAnsi"/>
                <w:noProof/>
              </w:rPr>
              <w:t>Zarys historii Miasta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42</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06" w:history="1">
            <w:r w:rsidR="009B1741" w:rsidRPr="009B1741">
              <w:rPr>
                <w:rStyle w:val="Hipercze"/>
                <w:rFonts w:asciiTheme="minorHAnsi" w:hAnsiTheme="minorHAnsi"/>
                <w:noProof/>
              </w:rPr>
              <w:t>Sfera społeczna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45</w:t>
            </w:r>
            <w:r w:rsidR="009B1741" w:rsidRPr="009B1741">
              <w:rPr>
                <w:rFonts w:asciiTheme="minorHAnsi" w:hAnsiTheme="minorHAnsi"/>
                <w:noProof/>
                <w:webHidden/>
              </w:rPr>
              <w:fldChar w:fldCharType="end"/>
            </w:r>
          </w:hyperlink>
        </w:p>
        <w:p w:rsidR="009B1741" w:rsidRPr="009B1741" w:rsidRDefault="007B2916" w:rsidP="009B1741">
          <w:pPr>
            <w:pStyle w:val="Spistreci3"/>
            <w:tabs>
              <w:tab w:val="right" w:leader="dot" w:pos="9062"/>
            </w:tabs>
            <w:rPr>
              <w:rFonts w:asciiTheme="minorHAnsi" w:eastAsiaTheme="minorEastAsia" w:hAnsiTheme="minorHAnsi"/>
              <w:noProof/>
              <w:sz w:val="22"/>
              <w:lang w:eastAsia="pl-PL"/>
            </w:rPr>
          </w:pPr>
          <w:hyperlink w:anchor="_Toc399756307" w:history="1">
            <w:r w:rsidR="009B1741" w:rsidRPr="009B1741">
              <w:rPr>
                <w:rStyle w:val="Hipercze"/>
                <w:rFonts w:asciiTheme="minorHAnsi" w:hAnsiTheme="minorHAnsi"/>
                <w:noProof/>
              </w:rPr>
              <w:t>Demografia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45</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09" w:history="1">
            <w:r w:rsidR="009B1741" w:rsidRPr="009B1741">
              <w:rPr>
                <w:rStyle w:val="Hipercze"/>
                <w:rFonts w:asciiTheme="minorHAnsi" w:hAnsiTheme="minorHAnsi"/>
                <w:noProof/>
              </w:rPr>
              <w:t>Infrastruktura społeczna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_Toc399756309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51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0" w:history="1">
            <w:r w:rsidR="009B1741" w:rsidRPr="009B1741">
              <w:rPr>
                <w:rStyle w:val="Hipercze"/>
                <w:rFonts w:asciiTheme="minorHAnsi" w:hAnsiTheme="minorHAnsi"/>
                <w:noProof/>
              </w:rPr>
              <w:t>Szkolnictwo</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51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1" w:history="1">
            <w:r w:rsidR="009B1741" w:rsidRPr="009B1741">
              <w:rPr>
                <w:rStyle w:val="Hipercze"/>
                <w:rFonts w:asciiTheme="minorHAnsi" w:hAnsiTheme="minorHAnsi"/>
                <w:noProof/>
              </w:rPr>
              <w:t>Szkolnictwo wyższe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56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2" w:history="1">
            <w:r w:rsidR="009B1741" w:rsidRPr="009B1741">
              <w:rPr>
                <w:rStyle w:val="Hipercze"/>
                <w:rFonts w:asciiTheme="minorHAnsi" w:hAnsiTheme="minorHAnsi"/>
                <w:noProof/>
              </w:rPr>
              <w:t>Opieka zdrowotna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57</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3" w:history="1">
            <w:r w:rsidR="009B1741" w:rsidRPr="009B1741">
              <w:rPr>
                <w:rStyle w:val="Hipercze"/>
                <w:rFonts w:asciiTheme="minorHAnsi" w:hAnsiTheme="minorHAnsi"/>
                <w:noProof/>
              </w:rPr>
              <w:t>Opieka społeczna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58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4" w:history="1">
            <w:r w:rsidR="009B1741" w:rsidRPr="009B1741">
              <w:rPr>
                <w:rStyle w:val="Hipercze"/>
                <w:rFonts w:asciiTheme="minorHAnsi" w:hAnsiTheme="minorHAnsi"/>
                <w:noProof/>
              </w:rPr>
              <w:t>Organizacje pozarządowe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61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5" w:history="1">
            <w:r w:rsidR="009B1741" w:rsidRPr="009B1741">
              <w:rPr>
                <w:rStyle w:val="Hipercze"/>
                <w:rFonts w:asciiTheme="minorHAnsi" w:hAnsiTheme="minorHAnsi"/>
                <w:noProof/>
              </w:rPr>
              <w:t>Sport i rekreacja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63</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6" w:history="1">
            <w:r w:rsidR="009B1741" w:rsidRPr="009B1741">
              <w:rPr>
                <w:rStyle w:val="Hipercze"/>
                <w:rFonts w:asciiTheme="minorHAnsi" w:hAnsiTheme="minorHAnsi"/>
                <w:noProof/>
              </w:rPr>
              <w:t>Turystyka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66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7" w:history="1">
            <w:r w:rsidR="009B1741" w:rsidRPr="009B1741">
              <w:rPr>
                <w:rStyle w:val="Hipercze"/>
                <w:rFonts w:asciiTheme="minorHAnsi" w:hAnsiTheme="minorHAnsi"/>
                <w:noProof/>
              </w:rPr>
              <w:t>Bezpieczeństwo</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18" w:history="1">
            <w:r w:rsidR="009B1741" w:rsidRPr="009B1741">
              <w:rPr>
                <w:rStyle w:val="Hipercze"/>
                <w:rFonts w:asciiTheme="minorHAnsi" w:hAnsiTheme="minorHAnsi"/>
                <w:noProof/>
              </w:rPr>
              <w:t>Mieszkalnictwo</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74</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19" w:history="1">
            <w:r w:rsidR="009B1741" w:rsidRPr="009B1741">
              <w:rPr>
                <w:rStyle w:val="Hipercze"/>
                <w:rFonts w:asciiTheme="minorHAnsi" w:hAnsiTheme="minorHAnsi"/>
                <w:noProof/>
              </w:rPr>
              <w:t>Sfera kulturowa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_Toc399756319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0" w:history="1">
            <w:r w:rsidR="009B1741" w:rsidRPr="009B1741">
              <w:rPr>
                <w:rStyle w:val="Hipercze"/>
                <w:rFonts w:asciiTheme="minorHAnsi" w:hAnsiTheme="minorHAnsi"/>
                <w:noProof/>
              </w:rPr>
              <w:t>Dziedzictwo kulturowe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1" w:history="1">
            <w:r w:rsidR="009B1741" w:rsidRPr="009B1741">
              <w:rPr>
                <w:rStyle w:val="Hipercze"/>
                <w:rFonts w:asciiTheme="minorHAnsi" w:hAnsiTheme="minorHAnsi"/>
                <w:noProof/>
              </w:rPr>
              <w:t>Infrastruktura kulturalna i życie kulturalne Legnicy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79</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22" w:history="1">
            <w:r w:rsidR="009B1741" w:rsidRPr="009B1741">
              <w:rPr>
                <w:rStyle w:val="Hipercze"/>
                <w:rFonts w:asciiTheme="minorHAnsi" w:hAnsiTheme="minorHAnsi"/>
                <w:noProof/>
              </w:rPr>
              <w:t>Sfera gospodarczo-ekonomiczna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83</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3" w:history="1">
            <w:r w:rsidR="009B1741" w:rsidRPr="009B1741">
              <w:rPr>
                <w:rStyle w:val="Hipercze"/>
                <w:rFonts w:asciiTheme="minorHAnsi" w:hAnsiTheme="minorHAnsi"/>
                <w:noProof/>
              </w:rPr>
              <w:t>Instytucje otoczenia biznesu</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85</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4" w:history="1">
            <w:r w:rsidR="009B1741" w:rsidRPr="009B1741">
              <w:rPr>
                <w:rStyle w:val="Hipercze"/>
                <w:rFonts w:asciiTheme="minorHAnsi" w:hAnsiTheme="minorHAnsi"/>
                <w:noProof/>
              </w:rPr>
              <w:t>Tereny inwestycyjne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88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5" w:history="1">
            <w:r w:rsidR="009B1741" w:rsidRPr="009B1741">
              <w:rPr>
                <w:rStyle w:val="Hipercze"/>
                <w:rFonts w:asciiTheme="minorHAnsi" w:hAnsiTheme="minorHAnsi"/>
                <w:noProof/>
              </w:rPr>
              <w:t>Finanse Miasta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89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6" w:history="1">
            <w:r w:rsidR="009B1741" w:rsidRPr="009B1741">
              <w:rPr>
                <w:rStyle w:val="Hipercze"/>
                <w:rFonts w:asciiTheme="minorHAnsi" w:hAnsiTheme="minorHAnsi"/>
                <w:noProof/>
              </w:rPr>
              <w:t>Rynek pracy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92</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7" w:history="1">
            <w:r w:rsidR="009B1741" w:rsidRPr="009B1741">
              <w:rPr>
                <w:rStyle w:val="Hipercze"/>
                <w:rFonts w:asciiTheme="minorHAnsi" w:hAnsiTheme="minorHAnsi"/>
                <w:noProof/>
              </w:rPr>
              <w:t>Komunikacja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96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8" w:history="1">
            <w:r w:rsidR="009B1741" w:rsidRPr="009B1741">
              <w:rPr>
                <w:rStyle w:val="Hipercze"/>
                <w:rFonts w:asciiTheme="minorHAnsi" w:hAnsiTheme="minorHAnsi"/>
                <w:noProof/>
              </w:rPr>
              <w:t>Transport drogowy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97</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29" w:history="1">
            <w:r w:rsidR="009B1741" w:rsidRPr="009B1741">
              <w:rPr>
                <w:rStyle w:val="Hipercze"/>
                <w:rFonts w:asciiTheme="minorHAnsi" w:hAnsiTheme="minorHAnsi"/>
                <w:noProof/>
              </w:rPr>
              <w:t>Transport kolejowy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_Toc399756329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99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0" w:history="1">
            <w:r w:rsidR="009B1741" w:rsidRPr="009B1741">
              <w:rPr>
                <w:rStyle w:val="Hipercze"/>
                <w:rFonts w:asciiTheme="minorHAnsi" w:hAnsiTheme="minorHAnsi"/>
                <w:noProof/>
              </w:rPr>
              <w:t>Wyzwania komunikacyjne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1" w:history="1">
            <w:r w:rsidR="009B1741" w:rsidRPr="009B1741">
              <w:rPr>
                <w:rStyle w:val="Hipercze"/>
                <w:rFonts w:asciiTheme="minorHAnsi" w:hAnsiTheme="minorHAnsi"/>
                <w:noProof/>
              </w:rPr>
              <w:t>Infrastruktura techniczna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104</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2" w:history="1">
            <w:r w:rsidR="009B1741" w:rsidRPr="009B1741">
              <w:rPr>
                <w:rStyle w:val="Hipercze"/>
                <w:rFonts w:asciiTheme="minorHAnsi" w:hAnsiTheme="minorHAnsi"/>
                <w:noProof/>
              </w:rPr>
              <w:t>Sieć wodociągowa i kanalizacyjna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104</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3" w:history="1">
            <w:r w:rsidR="009B1741" w:rsidRPr="009B1741">
              <w:rPr>
                <w:rStyle w:val="Hipercze"/>
                <w:rFonts w:asciiTheme="minorHAnsi" w:hAnsiTheme="minorHAnsi"/>
                <w:noProof/>
              </w:rPr>
              <w:t>Gazownictwo</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105</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4" w:history="1">
            <w:r w:rsidR="009B1741" w:rsidRPr="009B1741">
              <w:rPr>
                <w:rStyle w:val="Hipercze"/>
                <w:rFonts w:asciiTheme="minorHAnsi" w:hAnsiTheme="minorHAnsi"/>
                <w:noProof/>
              </w:rPr>
              <w:t>Energetyka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105</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5" w:history="1">
            <w:r w:rsidR="009B1741" w:rsidRPr="009B1741">
              <w:rPr>
                <w:rStyle w:val="Hipercze"/>
                <w:rFonts w:asciiTheme="minorHAnsi" w:hAnsiTheme="minorHAnsi"/>
                <w:noProof/>
              </w:rPr>
              <w:t>Gospodarka odpadami</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6" w:history="1">
            <w:r w:rsidR="009B1741" w:rsidRPr="009B1741">
              <w:rPr>
                <w:rStyle w:val="Hipercze"/>
                <w:rFonts w:asciiTheme="minorHAnsi" w:hAnsiTheme="minorHAnsi"/>
                <w:noProof/>
              </w:rPr>
              <w:t>Cmentarze komunalne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107</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37" w:history="1">
            <w:r w:rsidR="009B1741" w:rsidRPr="009B1741">
              <w:rPr>
                <w:rStyle w:val="Hipercze"/>
                <w:rFonts w:asciiTheme="minorHAnsi" w:hAnsiTheme="minorHAnsi"/>
                <w:noProof/>
              </w:rPr>
              <w:t>Sfera ochrony środowiska i przyrody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8" w:history="1">
            <w:r w:rsidR="009B1741" w:rsidRPr="009B1741">
              <w:rPr>
                <w:rStyle w:val="Hipercze"/>
                <w:rFonts w:asciiTheme="minorHAnsi" w:hAnsiTheme="minorHAnsi"/>
                <w:noProof/>
              </w:rPr>
              <w:t>Tereny zieleni i lasy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39" w:history="1">
            <w:r w:rsidR="009B1741" w:rsidRPr="009B1741">
              <w:rPr>
                <w:rStyle w:val="Hipercze"/>
                <w:rFonts w:asciiTheme="minorHAnsi" w:hAnsiTheme="minorHAnsi"/>
                <w:noProof/>
              </w:rPr>
              <w:t>Ochrona przyrody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_Toc399756339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0" w:history="1">
            <w:r w:rsidR="009B1741" w:rsidRPr="009B1741">
              <w:rPr>
                <w:rStyle w:val="Hipercze"/>
                <w:rFonts w:asciiTheme="minorHAnsi" w:hAnsiTheme="minorHAnsi"/>
                <w:noProof/>
              </w:rPr>
              <w:t>Złoża kopalin</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_Toc399756340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109</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1" w:history="1">
            <w:r w:rsidR="009B1741" w:rsidRPr="009B1741">
              <w:rPr>
                <w:rStyle w:val="Hipercze"/>
                <w:rFonts w:asciiTheme="minorHAnsi" w:hAnsiTheme="minorHAnsi"/>
                <w:noProof/>
              </w:rPr>
              <w:t xml:space="preserve"> System wód powierzchniowych</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_Toc399756341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111</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2" w:history="1">
            <w:r w:rsidR="009B1741" w:rsidRPr="009B1741">
              <w:rPr>
                <w:rStyle w:val="Hipercze"/>
                <w:rFonts w:asciiTheme="minorHAnsi" w:hAnsiTheme="minorHAnsi"/>
                <w:noProof/>
              </w:rPr>
              <w:t>Zagrożenie powodziowe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112</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3" w:history="1">
            <w:r w:rsidR="009B1741" w:rsidRPr="009B1741">
              <w:rPr>
                <w:rStyle w:val="Hipercze"/>
                <w:rFonts w:asciiTheme="minorHAnsi" w:hAnsiTheme="minorHAnsi"/>
                <w:noProof/>
              </w:rPr>
              <w:t>Struktura zagospodarowania gruntów i jakość gleb</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114</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4" w:history="1">
            <w:r w:rsidR="009B1741" w:rsidRPr="009B1741">
              <w:rPr>
                <w:rStyle w:val="Hipercze"/>
                <w:rFonts w:asciiTheme="minorHAnsi" w:hAnsiTheme="minorHAnsi"/>
                <w:noProof/>
              </w:rPr>
              <w:t>Warunki agroklimatyczne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116</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5" w:history="1">
            <w:r w:rsidR="009B1741" w:rsidRPr="009B1741">
              <w:rPr>
                <w:rStyle w:val="Hipercze"/>
                <w:rFonts w:asciiTheme="minorHAnsi" w:hAnsiTheme="minorHAnsi"/>
                <w:noProof/>
              </w:rPr>
              <w:t>Zanieczyszczenie powietrza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118</w:t>
            </w:r>
            <w:r w:rsidR="009B1741" w:rsidRPr="009B1741">
              <w:rPr>
                <w:rFonts w:asciiTheme="minorHAnsi" w:hAnsiTheme="minorHAnsi"/>
                <w:noProof/>
                <w:webHidden/>
              </w:rPr>
              <w:fldChar w:fldCharType="end"/>
            </w:r>
          </w:hyperlink>
        </w:p>
        <w:p w:rsidR="009B1741" w:rsidRPr="009B1741" w:rsidRDefault="007B2916">
          <w:pPr>
            <w:pStyle w:val="Spistreci3"/>
            <w:tabs>
              <w:tab w:val="right" w:leader="dot" w:pos="9062"/>
            </w:tabs>
            <w:rPr>
              <w:rFonts w:asciiTheme="minorHAnsi" w:eastAsiaTheme="minorEastAsia" w:hAnsiTheme="minorHAnsi"/>
              <w:noProof/>
              <w:sz w:val="22"/>
              <w:lang w:eastAsia="pl-PL"/>
            </w:rPr>
          </w:pPr>
          <w:hyperlink w:anchor="_Toc399756346" w:history="1">
            <w:r w:rsidR="009B1741" w:rsidRPr="009B1741">
              <w:rPr>
                <w:rStyle w:val="Hipercze"/>
                <w:rFonts w:asciiTheme="minorHAnsi" w:hAnsiTheme="minorHAnsi"/>
                <w:noProof/>
              </w:rPr>
              <w:t>Klimat akustyczny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119</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47" w:history="1">
            <w:r w:rsidR="009B1741" w:rsidRPr="009B1741">
              <w:rPr>
                <w:rStyle w:val="Hipercze"/>
                <w:rFonts w:asciiTheme="minorHAnsi" w:hAnsiTheme="minorHAnsi"/>
                <w:noProof/>
              </w:rPr>
              <w:t>Analiza SWOT</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121</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48" w:history="1">
            <w:r w:rsidR="009B1741" w:rsidRPr="009B1741">
              <w:rPr>
                <w:rStyle w:val="Hipercze"/>
                <w:rFonts w:asciiTheme="minorHAnsi" w:hAnsiTheme="minorHAnsi"/>
                <w:noProof/>
              </w:rPr>
              <w:t>Korelacje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_Toc399756348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128</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53" w:history="1">
            <w:r w:rsidR="009B1741" w:rsidRPr="009B1741">
              <w:rPr>
                <w:rStyle w:val="Hipercze"/>
                <w:rFonts w:asciiTheme="minorHAnsi" w:hAnsiTheme="minorHAnsi"/>
                <w:noProof/>
              </w:rPr>
              <w:t>Wizja rozwoju Miasta Legnicy</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138</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54" w:history="1">
            <w:r w:rsidR="009B1741" w:rsidRPr="009B1741">
              <w:rPr>
                <w:rStyle w:val="Hipercze"/>
                <w:rFonts w:asciiTheme="minorHAnsi" w:hAnsiTheme="minorHAnsi"/>
                <w:noProof/>
              </w:rPr>
              <w:t>Cele strategiczne i główne wyzwania.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145</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55" w:history="1">
            <w:r w:rsidR="009B1741" w:rsidRPr="009B1741">
              <w:rPr>
                <w:rStyle w:val="Hipercze"/>
                <w:rFonts w:asciiTheme="minorHAnsi" w:hAnsiTheme="minorHAnsi"/>
                <w:noProof/>
              </w:rPr>
              <w:t>Cele operacyjne. Zadania realizujące cele operacyjne.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147</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56" w:history="1">
            <w:r w:rsidR="009B1741" w:rsidRPr="009B1741">
              <w:rPr>
                <w:rStyle w:val="Hipercze"/>
                <w:rFonts w:asciiTheme="minorHAnsi" w:eastAsiaTheme="majorEastAsia" w:hAnsiTheme="minorHAnsi" w:cstheme="majorBidi"/>
                <w:noProof/>
              </w:rPr>
              <w:t xml:space="preserve">Zasady wdrażania postanowień </w:t>
            </w:r>
            <w:r w:rsidR="009B1741" w:rsidRPr="009B1741">
              <w:rPr>
                <w:rStyle w:val="Hipercze"/>
                <w:rFonts w:asciiTheme="minorHAnsi" w:eastAsiaTheme="majorEastAsia" w:hAnsiTheme="minorHAnsi" w:cstheme="majorBidi"/>
                <w:i/>
                <w:noProof/>
              </w:rPr>
              <w:t>Strategii rozwoju Miasta Legnicy na lata 2015-2020 PLUS</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_Toc399756356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170</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57" w:history="1">
            <w:r w:rsidR="009B1741" w:rsidRPr="009B1741">
              <w:rPr>
                <w:rStyle w:val="Hipercze"/>
                <w:rFonts w:asciiTheme="minorHAnsi" w:eastAsiaTheme="majorEastAsia" w:hAnsiTheme="minorHAnsi" w:cstheme="majorBidi"/>
                <w:noProof/>
              </w:rPr>
              <w:t>Wdrażanie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_Toc399756357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170</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58" w:history="1">
            <w:r w:rsidR="009B1741" w:rsidRPr="009B1741">
              <w:rPr>
                <w:rStyle w:val="Hipercze"/>
                <w:rFonts w:asciiTheme="minorHAnsi" w:hAnsiTheme="minorHAnsi"/>
                <w:noProof/>
              </w:rPr>
              <w:t>Strategia, a  programy operacyjne i sektorowe</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_Toc399756358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171</w:t>
            </w:r>
            <w:r w:rsidR="009B1741" w:rsidRPr="009B1741">
              <w:rPr>
                <w:rFonts w:asciiTheme="minorHAnsi" w:hAnsiTheme="minorHAnsi"/>
                <w:noProof/>
                <w:webHidden/>
              </w:rPr>
              <w:fldChar w:fldCharType="end"/>
            </w:r>
          </w:hyperlink>
        </w:p>
        <w:p w:rsidR="009B1741" w:rsidRPr="009B1741" w:rsidRDefault="007B2916" w:rsidP="009B1741">
          <w:pPr>
            <w:pStyle w:val="Spistreci2"/>
            <w:tabs>
              <w:tab w:val="right" w:leader="dot" w:pos="9062"/>
            </w:tabs>
            <w:rPr>
              <w:rFonts w:asciiTheme="minorHAnsi" w:eastAsiaTheme="minorEastAsia" w:hAnsiTheme="minorHAnsi"/>
              <w:noProof/>
              <w:sz w:val="22"/>
              <w:lang w:eastAsia="pl-PL"/>
            </w:rPr>
          </w:pPr>
          <w:hyperlink w:anchor="_Toc399756359" w:history="1">
            <w:r w:rsidR="009B1741" w:rsidRPr="009B1741">
              <w:rPr>
                <w:rStyle w:val="Hipercze"/>
                <w:rFonts w:asciiTheme="minorHAnsi" w:eastAsiaTheme="majorEastAsia" w:hAnsiTheme="minorHAnsi" w:cstheme="majorBidi"/>
                <w:noProof/>
              </w:rPr>
              <w:t>Udział społeczeństwa w procesie strategicznym</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_Toc399756359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171</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62" w:history="1">
            <w:r w:rsidR="009B1741" w:rsidRPr="009B1741">
              <w:rPr>
                <w:rStyle w:val="Hipercze"/>
                <w:rFonts w:asciiTheme="minorHAnsi" w:eastAsiaTheme="majorEastAsia" w:hAnsiTheme="minorHAnsi" w:cstheme="majorBidi"/>
                <w:noProof/>
              </w:rPr>
              <w:t>Źródła finansowania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_Toc399756362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174</w:t>
            </w:r>
            <w:r w:rsidR="009B1741" w:rsidRPr="009B1741">
              <w:rPr>
                <w:rFonts w:asciiTheme="minorHAnsi" w:hAnsiTheme="minorHAnsi"/>
                <w:noProof/>
                <w:webHidden/>
              </w:rPr>
              <w:fldChar w:fldCharType="end"/>
            </w:r>
          </w:hyperlink>
        </w:p>
        <w:p w:rsidR="009B1741" w:rsidRPr="009B1741" w:rsidRDefault="007B2916">
          <w:pPr>
            <w:pStyle w:val="Spistreci1"/>
            <w:tabs>
              <w:tab w:val="right" w:leader="dot" w:pos="9062"/>
            </w:tabs>
            <w:rPr>
              <w:rFonts w:asciiTheme="minorHAnsi" w:eastAsiaTheme="minorEastAsia" w:hAnsiTheme="minorHAnsi"/>
              <w:noProof/>
              <w:sz w:val="22"/>
              <w:lang w:eastAsia="pl-PL"/>
            </w:rPr>
          </w:pPr>
          <w:hyperlink w:anchor="_Toc399756363" w:history="1">
            <w:r w:rsidR="009B1741" w:rsidRPr="009B1741">
              <w:rPr>
                <w:rStyle w:val="Hipercze"/>
                <w:rFonts w:asciiTheme="minorHAnsi" w:eastAsiaTheme="majorEastAsia" w:hAnsiTheme="minorHAnsi" w:cstheme="majorBidi"/>
                <w:noProof/>
              </w:rPr>
              <w:t xml:space="preserve">Monitoring i ewaluacja </w:t>
            </w:r>
            <w:r w:rsidR="009B1741" w:rsidRPr="009B1741">
              <w:rPr>
                <w:rStyle w:val="Hipercze"/>
                <w:rFonts w:asciiTheme="minorHAnsi" w:eastAsiaTheme="majorEastAsia" w:hAnsiTheme="minorHAnsi" w:cstheme="majorBidi"/>
                <w:i/>
                <w:noProof/>
              </w:rPr>
              <w:t>Strategii</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_Toc399756363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176</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64" w:history="1">
            <w:r w:rsidR="009B1741" w:rsidRPr="009B1741">
              <w:rPr>
                <w:rStyle w:val="Hipercze"/>
                <w:rFonts w:asciiTheme="minorHAnsi" w:hAnsiTheme="minorHAnsi"/>
                <w:noProof/>
              </w:rPr>
              <w:t>Monitoring</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_Toc399756364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176</w:t>
            </w:r>
            <w:r w:rsidR="009B1741" w:rsidRPr="009B1741">
              <w:rPr>
                <w:rFonts w:asciiTheme="minorHAnsi" w:hAnsiTheme="minorHAnsi"/>
                <w:noProof/>
                <w:webHidden/>
              </w:rPr>
              <w:fldChar w:fldCharType="end"/>
            </w:r>
          </w:hyperlink>
        </w:p>
        <w:p w:rsidR="009B1741" w:rsidRPr="009B1741" w:rsidRDefault="007B2916">
          <w:pPr>
            <w:pStyle w:val="Spistreci2"/>
            <w:tabs>
              <w:tab w:val="right" w:leader="dot" w:pos="9062"/>
            </w:tabs>
            <w:rPr>
              <w:rFonts w:asciiTheme="minorHAnsi" w:eastAsiaTheme="minorEastAsia" w:hAnsiTheme="minorHAnsi"/>
              <w:noProof/>
              <w:sz w:val="22"/>
              <w:lang w:eastAsia="pl-PL"/>
            </w:rPr>
          </w:pPr>
          <w:hyperlink w:anchor="_Toc399756365" w:history="1">
            <w:r w:rsidR="009B1741" w:rsidRPr="009B1741">
              <w:rPr>
                <w:rStyle w:val="Hipercze"/>
                <w:rFonts w:asciiTheme="minorHAnsi" w:eastAsiaTheme="majorEastAsia" w:hAnsiTheme="minorHAnsi" w:cstheme="majorBidi"/>
                <w:noProof/>
              </w:rPr>
              <w:t>Ewaluacja</w:t>
            </w:r>
            <w:r w:rsidR="009B1741" w:rsidRPr="009B1741">
              <w:rPr>
                <w:rFonts w:asciiTheme="minorHAnsi" w:hAnsiTheme="minorHAnsi"/>
                <w:noProof/>
                <w:webHidden/>
              </w:rPr>
              <w:tab/>
            </w:r>
            <w:r w:rsidR="009B1741" w:rsidRPr="009B1741">
              <w:rPr>
                <w:rFonts w:asciiTheme="minorHAnsi" w:hAnsiTheme="minorHAnsi"/>
                <w:noProof/>
                <w:webHidden/>
              </w:rPr>
              <w:fldChar w:fldCharType="begin"/>
            </w:r>
            <w:r w:rsidR="009B1741" w:rsidRPr="009B1741">
              <w:rPr>
                <w:rFonts w:asciiTheme="minorHAnsi" w:hAnsiTheme="minorHAnsi"/>
                <w:noProof/>
                <w:webHidden/>
              </w:rPr>
              <w:instrText xml:space="preserve"> PAGEREF _Toc399756365 \h </w:instrText>
            </w:r>
            <w:r w:rsidR="009B1741" w:rsidRPr="009B1741">
              <w:rPr>
                <w:rFonts w:asciiTheme="minorHAnsi" w:hAnsiTheme="minorHAnsi"/>
                <w:noProof/>
                <w:webHidden/>
              </w:rPr>
            </w:r>
            <w:r w:rsidR="009B1741" w:rsidRPr="009B1741">
              <w:rPr>
                <w:rFonts w:asciiTheme="minorHAnsi" w:hAnsiTheme="minorHAnsi"/>
                <w:noProof/>
                <w:webHidden/>
              </w:rPr>
              <w:fldChar w:fldCharType="separate"/>
            </w:r>
            <w:r>
              <w:rPr>
                <w:rFonts w:asciiTheme="minorHAnsi" w:hAnsiTheme="minorHAnsi"/>
                <w:noProof/>
                <w:webHidden/>
              </w:rPr>
              <w:t>177</w:t>
            </w:r>
            <w:r w:rsidR="009B1741" w:rsidRPr="009B1741">
              <w:rPr>
                <w:rFonts w:asciiTheme="minorHAnsi" w:hAnsiTheme="minorHAnsi"/>
                <w:noProof/>
                <w:webHidden/>
              </w:rPr>
              <w:fldChar w:fldCharType="end"/>
            </w:r>
          </w:hyperlink>
        </w:p>
        <w:p w:rsidR="00D14FAC" w:rsidRPr="007F6382" w:rsidRDefault="00017794">
          <w:pPr>
            <w:rPr>
              <w:rFonts w:asciiTheme="minorHAnsi" w:hAnsiTheme="minorHAnsi"/>
            </w:rPr>
          </w:pPr>
          <w:r w:rsidRPr="009B1741">
            <w:rPr>
              <w:rFonts w:asciiTheme="minorHAnsi" w:hAnsiTheme="minorHAnsi"/>
            </w:rPr>
            <w:fldChar w:fldCharType="end"/>
          </w:r>
        </w:p>
      </w:sdtContent>
    </w:sdt>
    <w:p w:rsidR="00D14FAC" w:rsidRPr="007F6382" w:rsidRDefault="00D14FAC" w:rsidP="00CD51E9">
      <w:pPr>
        <w:pStyle w:val="Nagwek1"/>
        <w:rPr>
          <w:rFonts w:asciiTheme="minorHAnsi" w:hAnsiTheme="minorHAnsi"/>
          <w:szCs w:val="22"/>
        </w:rPr>
        <w:sectPr w:rsidR="00D14FAC" w:rsidRPr="007F6382" w:rsidSect="00226FDC">
          <w:footerReference w:type="default" r:id="rId14"/>
          <w:footerReference w:type="first" r:id="rId15"/>
          <w:pgSz w:w="11906" w:h="16838"/>
          <w:pgMar w:top="1417" w:right="1417" w:bottom="1417" w:left="1417" w:header="708" w:footer="708" w:gutter="0"/>
          <w:pgNumType w:start="3"/>
          <w:cols w:space="708"/>
          <w:titlePg/>
          <w:docGrid w:linePitch="360"/>
        </w:sectPr>
      </w:pPr>
    </w:p>
    <w:p w:rsidR="00A370FF" w:rsidRPr="00CD51E9" w:rsidRDefault="00A370FF" w:rsidP="00CD51E9">
      <w:pPr>
        <w:pStyle w:val="Nagwek1"/>
        <w:rPr>
          <w:szCs w:val="22"/>
        </w:rPr>
      </w:pPr>
      <w:bookmarkStart w:id="1" w:name="_Toc399756290"/>
      <w:r w:rsidRPr="00CD51E9">
        <w:rPr>
          <w:szCs w:val="22"/>
        </w:rPr>
        <w:t>Uwarunkowania zewnętrzne</w:t>
      </w:r>
      <w:bookmarkEnd w:id="1"/>
    </w:p>
    <w:p w:rsidR="00CD51E9" w:rsidRPr="00CD51E9" w:rsidRDefault="00CD51E9" w:rsidP="00CD51E9"/>
    <w:p w:rsidR="00A370FF" w:rsidRPr="00CD51E9" w:rsidRDefault="00A370FF" w:rsidP="00CD51E9">
      <w:pPr>
        <w:pStyle w:val="Nagwek2"/>
      </w:pPr>
      <w:bookmarkStart w:id="2" w:name="_Toc399756291"/>
      <w:r w:rsidRPr="00CD51E9">
        <w:rPr>
          <w:szCs w:val="22"/>
        </w:rPr>
        <w:t>Analiza ustaleń podstawowych dokumentó</w:t>
      </w:r>
      <w:r w:rsidR="00E2179F">
        <w:rPr>
          <w:szCs w:val="22"/>
        </w:rPr>
        <w:t>w o charakterze strategicznym i </w:t>
      </w:r>
      <w:r w:rsidRPr="00CD51E9">
        <w:rPr>
          <w:szCs w:val="22"/>
        </w:rPr>
        <w:t>kierunkowym</w:t>
      </w:r>
      <w:bookmarkEnd w:id="2"/>
    </w:p>
    <w:p w:rsidR="00A370FF" w:rsidRPr="00563EF2" w:rsidRDefault="00A370FF" w:rsidP="00FD7676">
      <w:pPr>
        <w:rPr>
          <w:rFonts w:asciiTheme="minorHAnsi" w:hAnsiTheme="minorHAnsi"/>
          <w:sz w:val="22"/>
        </w:rPr>
      </w:pPr>
      <w:r w:rsidRPr="00563EF2">
        <w:rPr>
          <w:rFonts w:asciiTheme="minorHAnsi" w:hAnsiTheme="minorHAnsi"/>
          <w:sz w:val="22"/>
        </w:rPr>
        <w:t>Rozpoczynając rozważania dotyczące kształtowan</w:t>
      </w:r>
      <w:r w:rsidR="00B6583F">
        <w:rPr>
          <w:rFonts w:asciiTheme="minorHAnsi" w:hAnsiTheme="minorHAnsi"/>
          <w:sz w:val="22"/>
        </w:rPr>
        <w:t>ia polityki strategicznej</w:t>
      </w:r>
      <w:r w:rsidRPr="00563EF2">
        <w:rPr>
          <w:rFonts w:asciiTheme="minorHAnsi" w:hAnsiTheme="minorHAnsi"/>
          <w:sz w:val="22"/>
        </w:rPr>
        <w:t xml:space="preserve"> warto odnieść się do postanowień i uwarunkowań określonych w ramach ustaw i dokumentów strategiczn</w:t>
      </w:r>
      <w:r w:rsidR="00A8787F">
        <w:rPr>
          <w:rFonts w:asciiTheme="minorHAnsi" w:hAnsiTheme="minorHAnsi"/>
          <w:sz w:val="22"/>
        </w:rPr>
        <w:t>o-planistycznych nadrzędnych do strategii</w:t>
      </w:r>
      <w:r w:rsidRPr="00563EF2">
        <w:rPr>
          <w:rFonts w:asciiTheme="minorHAnsi" w:hAnsiTheme="minorHAnsi"/>
          <w:sz w:val="22"/>
        </w:rPr>
        <w:t xml:space="preserve"> rozwoju miasta, opracowanych na szc</w:t>
      </w:r>
      <w:r w:rsidR="00E2179F">
        <w:rPr>
          <w:rFonts w:asciiTheme="minorHAnsi" w:hAnsiTheme="minorHAnsi"/>
          <w:sz w:val="22"/>
        </w:rPr>
        <w:t>zeblu europejskim, centralnym i </w:t>
      </w:r>
      <w:r w:rsidR="00B6583F">
        <w:rPr>
          <w:rFonts w:asciiTheme="minorHAnsi" w:hAnsiTheme="minorHAnsi"/>
          <w:sz w:val="22"/>
        </w:rPr>
        <w:t xml:space="preserve">regionalnym. </w:t>
      </w:r>
      <w:r w:rsidRPr="00563EF2">
        <w:rPr>
          <w:rFonts w:asciiTheme="minorHAnsi" w:hAnsiTheme="minorHAnsi"/>
          <w:sz w:val="22"/>
        </w:rPr>
        <w:t xml:space="preserve">Wiedza ta </w:t>
      </w:r>
      <w:r w:rsidR="00B6583F">
        <w:rPr>
          <w:rFonts w:asciiTheme="minorHAnsi" w:hAnsiTheme="minorHAnsi"/>
          <w:sz w:val="22"/>
        </w:rPr>
        <w:t>stanowi bowiem</w:t>
      </w:r>
      <w:r w:rsidRPr="00563EF2">
        <w:rPr>
          <w:rFonts w:asciiTheme="minorHAnsi" w:hAnsiTheme="minorHAnsi"/>
          <w:sz w:val="22"/>
        </w:rPr>
        <w:t xml:space="preserve"> podstawę do właściwego określenia wizji o</w:t>
      </w:r>
      <w:r w:rsidR="00B6583F">
        <w:rPr>
          <w:rFonts w:asciiTheme="minorHAnsi" w:hAnsiTheme="minorHAnsi"/>
          <w:sz w:val="22"/>
        </w:rPr>
        <w:t>raz celów strategicznych Miasta, tak aby były one zgodne i komplementarne</w:t>
      </w:r>
      <w:r w:rsidRPr="00563EF2">
        <w:rPr>
          <w:rFonts w:asciiTheme="minorHAnsi" w:hAnsiTheme="minorHAnsi"/>
          <w:sz w:val="22"/>
        </w:rPr>
        <w:t xml:space="preserve"> z za</w:t>
      </w:r>
      <w:r w:rsidR="00B6583F">
        <w:rPr>
          <w:rFonts w:asciiTheme="minorHAnsi" w:hAnsiTheme="minorHAnsi"/>
          <w:sz w:val="22"/>
        </w:rPr>
        <w:t>łożeniami polityki centralnej i </w:t>
      </w:r>
      <w:r w:rsidRPr="00563EF2">
        <w:rPr>
          <w:rFonts w:asciiTheme="minorHAnsi" w:hAnsiTheme="minorHAnsi"/>
          <w:sz w:val="22"/>
        </w:rPr>
        <w:t>regionalnej, co warunkuje prawidło</w:t>
      </w:r>
      <w:r w:rsidR="00B6583F">
        <w:rPr>
          <w:rFonts w:asciiTheme="minorHAnsi" w:hAnsiTheme="minorHAnsi"/>
          <w:sz w:val="22"/>
        </w:rPr>
        <w:t>wy i zrównoważony rozwój miasta, jego otoczenia, województwa oraz</w:t>
      </w:r>
      <w:r w:rsidRPr="00563EF2">
        <w:rPr>
          <w:rFonts w:asciiTheme="minorHAnsi" w:hAnsiTheme="minorHAnsi"/>
          <w:sz w:val="22"/>
        </w:rPr>
        <w:t xml:space="preserve"> kraju. </w:t>
      </w:r>
    </w:p>
    <w:p w:rsidR="00A370FF" w:rsidRPr="00CD51E9" w:rsidRDefault="00A370FF" w:rsidP="00EC5484">
      <w:pPr>
        <w:pStyle w:val="Nagwek3"/>
      </w:pPr>
      <w:bookmarkStart w:id="3" w:name="_Toc399756292"/>
      <w:r w:rsidRPr="00CD51E9">
        <w:t>Uwarunkowania ustawowe opracowywania Strategii Rozwoju Miasta</w:t>
      </w:r>
      <w:bookmarkEnd w:id="3"/>
    </w:p>
    <w:p w:rsidR="00A370FF" w:rsidRPr="00563EF2" w:rsidRDefault="00A370FF" w:rsidP="00FD7676">
      <w:pPr>
        <w:rPr>
          <w:rFonts w:asciiTheme="minorHAnsi" w:hAnsiTheme="minorHAnsi"/>
          <w:sz w:val="22"/>
        </w:rPr>
      </w:pPr>
    </w:p>
    <w:p w:rsidR="00A370FF" w:rsidRPr="00563EF2" w:rsidRDefault="00A370FF" w:rsidP="00FD7676">
      <w:pPr>
        <w:autoSpaceDE w:val="0"/>
        <w:autoSpaceDN w:val="0"/>
        <w:adjustRightInd w:val="0"/>
        <w:rPr>
          <w:rFonts w:asciiTheme="minorHAnsi" w:hAnsiTheme="minorHAnsi" w:cs="TimesNewRomanPS-BoldMT"/>
          <w:bCs/>
          <w:sz w:val="22"/>
        </w:rPr>
      </w:pPr>
      <w:r w:rsidRPr="00563EF2">
        <w:rPr>
          <w:rFonts w:asciiTheme="minorHAnsi" w:hAnsiTheme="minorHAnsi"/>
          <w:sz w:val="22"/>
        </w:rPr>
        <w:t>Ustawodawstwo polskie nie określa wprost konieczności sporządzania strategii rozwoju przez jednostki samorządu terytorialnego na szczeblu lokalnym. Mimo braku obligatoryjności samorządy lokalne</w:t>
      </w:r>
      <w:r w:rsidR="00B6583F">
        <w:rPr>
          <w:rFonts w:asciiTheme="minorHAnsi" w:hAnsiTheme="minorHAnsi"/>
          <w:sz w:val="22"/>
        </w:rPr>
        <w:t>,</w:t>
      </w:r>
      <w:r w:rsidRPr="00563EF2">
        <w:rPr>
          <w:rFonts w:asciiTheme="minorHAnsi" w:hAnsiTheme="minorHAnsi"/>
          <w:sz w:val="22"/>
        </w:rPr>
        <w:t xml:space="preserve"> znając wagę i użyteczność dokumentu Strategii w kreowaniu i sterowaniu procesem strategicznym oraz przy późniejszej realizacji działań o charakterze operacyjnym</w:t>
      </w:r>
      <w:r w:rsidR="00B6583F">
        <w:rPr>
          <w:rFonts w:asciiTheme="minorHAnsi" w:hAnsiTheme="minorHAnsi"/>
          <w:sz w:val="22"/>
        </w:rPr>
        <w:t>,</w:t>
      </w:r>
      <w:r w:rsidRPr="00563EF2">
        <w:rPr>
          <w:rFonts w:asciiTheme="minorHAnsi" w:hAnsiTheme="minorHAnsi"/>
          <w:sz w:val="22"/>
        </w:rPr>
        <w:t xml:space="preserve"> decydują się na opracowanie tego dokumentu. Podstawę prawną dla opracowania strategii rozwoju miasta wyznaczają zapisy Ustawy </w:t>
      </w:r>
      <w:r w:rsidRPr="00563EF2">
        <w:rPr>
          <w:rFonts w:asciiTheme="minorHAnsi" w:hAnsiTheme="minorHAnsi"/>
          <w:i/>
          <w:sz w:val="22"/>
        </w:rPr>
        <w:t xml:space="preserve">o samorządzie lokalnym z dn. 8 marca 1990 </w:t>
      </w:r>
      <w:r w:rsidR="004641BB" w:rsidRPr="00563EF2">
        <w:rPr>
          <w:rFonts w:asciiTheme="minorHAnsi" w:hAnsiTheme="minorHAnsi"/>
          <w:i/>
          <w:sz w:val="22"/>
        </w:rPr>
        <w:t>r., (</w:t>
      </w:r>
      <w:r w:rsidR="004641BB" w:rsidRPr="00563EF2">
        <w:rPr>
          <w:rFonts w:asciiTheme="minorHAnsi" w:hAnsiTheme="minorHAnsi"/>
          <w:bCs/>
          <w:sz w:val="22"/>
        </w:rPr>
        <w:t>Dz. U</w:t>
      </w:r>
      <w:r w:rsidRPr="00563EF2">
        <w:rPr>
          <w:rFonts w:asciiTheme="minorHAnsi" w:hAnsiTheme="minorHAnsi"/>
          <w:bCs/>
          <w:sz w:val="22"/>
        </w:rPr>
        <w:t>. 1990 Nr 16 poz. 95)</w:t>
      </w:r>
      <w:r w:rsidRPr="00563EF2">
        <w:rPr>
          <w:rFonts w:asciiTheme="minorHAnsi" w:hAnsiTheme="minorHAnsi"/>
          <w:sz w:val="22"/>
        </w:rPr>
        <w:t xml:space="preserve"> oraz </w:t>
      </w:r>
      <w:r w:rsidRPr="00563EF2">
        <w:rPr>
          <w:rFonts w:asciiTheme="minorHAnsi" w:hAnsiTheme="minorHAnsi"/>
          <w:i/>
          <w:sz w:val="22"/>
        </w:rPr>
        <w:t xml:space="preserve">Ustawy o zasadach prowadzenia polityki rozwoju z dnia 6 grudnia 2006 </w:t>
      </w:r>
      <w:r w:rsidR="004641BB" w:rsidRPr="00563EF2">
        <w:rPr>
          <w:rFonts w:asciiTheme="minorHAnsi" w:hAnsiTheme="minorHAnsi"/>
          <w:i/>
          <w:sz w:val="22"/>
        </w:rPr>
        <w:t xml:space="preserve">r. </w:t>
      </w:r>
      <w:r w:rsidR="004641BB" w:rsidRPr="00563EF2">
        <w:rPr>
          <w:rFonts w:asciiTheme="minorHAnsi" w:hAnsiTheme="minorHAnsi"/>
          <w:sz w:val="22"/>
        </w:rPr>
        <w:t>(Dz</w:t>
      </w:r>
      <w:r w:rsidR="004641BB" w:rsidRPr="00563EF2">
        <w:rPr>
          <w:rFonts w:asciiTheme="minorHAnsi" w:hAnsiTheme="minorHAnsi" w:cs="TimesNewRomanPS-BoldMT"/>
          <w:bCs/>
          <w:sz w:val="22"/>
        </w:rPr>
        <w:t>. U</w:t>
      </w:r>
      <w:r w:rsidRPr="00563EF2">
        <w:rPr>
          <w:rFonts w:asciiTheme="minorHAnsi" w:hAnsiTheme="minorHAnsi" w:cs="TimesNewRomanPS-BoldMT"/>
          <w:bCs/>
          <w:sz w:val="22"/>
        </w:rPr>
        <w:t>. z 2006 r. Nr 227, poz. 1658).</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i/>
          <w:sz w:val="22"/>
        </w:rPr>
        <w:t xml:space="preserve">Ustawa o samorządzie gminnym </w:t>
      </w:r>
      <w:r w:rsidRPr="00563EF2">
        <w:rPr>
          <w:rFonts w:asciiTheme="minorHAnsi" w:hAnsiTheme="minorHAnsi"/>
          <w:sz w:val="22"/>
        </w:rPr>
        <w:t xml:space="preserve">mimo, iż w żadnym zapisie nie odnosi się wprost do opracowywania strategii rozwoju, </w:t>
      </w:r>
      <w:r w:rsidR="004641BB" w:rsidRPr="00563EF2">
        <w:rPr>
          <w:rFonts w:asciiTheme="minorHAnsi" w:hAnsiTheme="minorHAnsi"/>
          <w:sz w:val="22"/>
        </w:rPr>
        <w:t>to w</w:t>
      </w:r>
      <w:r w:rsidRPr="00563EF2">
        <w:rPr>
          <w:rFonts w:asciiTheme="minorHAnsi" w:hAnsiTheme="minorHAnsi"/>
          <w:sz w:val="22"/>
        </w:rPr>
        <w:t xml:space="preserve"> art. 18 ust. 6 mówi, iż w gestii rady gminy pozostaje uchwalanie wszelkich programów o charakterze gospodarczym, a za takowy należy uznać strategię rozwoju miasta. Art. 30 niniejszej ustawy wskazuje z kolei na rolę prezydenta miasta jako organu wykonawczego, którego rolą jest przygotowanie projektów uchwał rady gminy (a więc i dokumentu strategii) oraz sposobu ich wykonywania.</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O ile </w:t>
      </w:r>
      <w:r w:rsidRPr="00563EF2">
        <w:rPr>
          <w:rFonts w:asciiTheme="minorHAnsi" w:hAnsiTheme="minorHAnsi"/>
          <w:i/>
          <w:sz w:val="22"/>
        </w:rPr>
        <w:t>Ustawa o samorządzie gminnym</w:t>
      </w:r>
      <w:r w:rsidRPr="00563EF2">
        <w:rPr>
          <w:rFonts w:asciiTheme="minorHAnsi" w:hAnsiTheme="minorHAnsi"/>
          <w:sz w:val="22"/>
        </w:rPr>
        <w:t xml:space="preserve"> ukazuje proces uchwałodawczy i kompetencje poszczególnych organów gminy w opracowywaniu i wdrażaniu uchwalonych dokumentów strategiczno-planistycznych to </w:t>
      </w:r>
      <w:r w:rsidRPr="00563EF2">
        <w:rPr>
          <w:rFonts w:asciiTheme="minorHAnsi" w:hAnsiTheme="minorHAnsi"/>
          <w:i/>
          <w:sz w:val="22"/>
        </w:rPr>
        <w:t>Ustawa o zasadach prowadzenia polityki rozwoju</w:t>
      </w:r>
      <w:r w:rsidRPr="00563EF2">
        <w:rPr>
          <w:rFonts w:asciiTheme="minorHAnsi" w:hAnsiTheme="minorHAnsi"/>
          <w:sz w:val="22"/>
        </w:rPr>
        <w:t xml:space="preserve"> określa rolę w procesie prowadzenia krajowej polityki rozwoju poszczególnych szczebli władzy administracyjnej.</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i/>
          <w:sz w:val="22"/>
        </w:rPr>
        <w:t>Ustawa o zasadach prowadzenia polityki rozwoju</w:t>
      </w:r>
      <w:r w:rsidRPr="00563EF2">
        <w:rPr>
          <w:rFonts w:asciiTheme="minorHAnsi" w:hAnsiTheme="minorHAnsi"/>
          <w:sz w:val="22"/>
        </w:rPr>
        <w:t xml:space="preserve"> w art. 3 ust. 3 mówi, iż politykę rozwoju na szczeblu lokalnym prowadzi samorząd powiatowy i gminny.  Art. 4 ust. 1 stwier</w:t>
      </w:r>
      <w:r w:rsidR="00B6583F">
        <w:rPr>
          <w:rFonts w:asciiTheme="minorHAnsi" w:hAnsiTheme="minorHAnsi"/>
          <w:sz w:val="22"/>
        </w:rPr>
        <w:t>dza natomiast jednoznacznie, że </w:t>
      </w:r>
      <w:r w:rsidRPr="00563EF2">
        <w:rPr>
          <w:rFonts w:asciiTheme="minorHAnsi" w:hAnsiTheme="minorHAnsi"/>
          <w:sz w:val="22"/>
        </w:rPr>
        <w:t>podstawę dla prowadzenia polityki rozwoju stanowi strategia rozwoju.</w:t>
      </w:r>
    </w:p>
    <w:p w:rsidR="00A370FF" w:rsidRPr="00563EF2" w:rsidRDefault="00A370FF" w:rsidP="00FD7676">
      <w:pPr>
        <w:rPr>
          <w:rFonts w:asciiTheme="minorHAnsi" w:hAnsiTheme="minorHAnsi"/>
          <w:sz w:val="22"/>
        </w:rPr>
      </w:pPr>
    </w:p>
    <w:p w:rsidR="00A370FF" w:rsidRPr="00563EF2" w:rsidRDefault="00A370FF" w:rsidP="00FD7676">
      <w:pPr>
        <w:autoSpaceDE w:val="0"/>
        <w:autoSpaceDN w:val="0"/>
        <w:adjustRightInd w:val="0"/>
        <w:rPr>
          <w:rFonts w:asciiTheme="minorHAnsi" w:hAnsiTheme="minorHAnsi" w:cs="TimesNewRomanPSMT"/>
          <w:b/>
          <w:sz w:val="22"/>
        </w:rPr>
      </w:pPr>
      <w:r w:rsidRPr="00563EF2">
        <w:rPr>
          <w:rFonts w:asciiTheme="minorHAnsi" w:hAnsiTheme="minorHAnsi"/>
          <w:sz w:val="22"/>
        </w:rPr>
        <w:t xml:space="preserve">Art. 2 niniejszej </w:t>
      </w:r>
      <w:r w:rsidR="004641BB" w:rsidRPr="00563EF2">
        <w:rPr>
          <w:rFonts w:asciiTheme="minorHAnsi" w:hAnsiTheme="minorHAnsi"/>
          <w:sz w:val="22"/>
        </w:rPr>
        <w:t>ustawy stwierdza</w:t>
      </w:r>
      <w:r w:rsidRPr="00563EF2">
        <w:rPr>
          <w:rFonts w:asciiTheme="minorHAnsi" w:hAnsiTheme="minorHAnsi"/>
          <w:sz w:val="22"/>
        </w:rPr>
        <w:t xml:space="preserve">, iż </w:t>
      </w:r>
      <w:r w:rsidRPr="00563EF2">
        <w:rPr>
          <w:rFonts w:asciiTheme="minorHAnsi" w:hAnsiTheme="minorHAnsi" w:cs="TimesNewRomanPSMT"/>
          <w:sz w:val="22"/>
        </w:rPr>
        <w:t xml:space="preserve">przez </w:t>
      </w:r>
      <w:r w:rsidRPr="00563EF2">
        <w:rPr>
          <w:rFonts w:asciiTheme="minorHAnsi" w:hAnsiTheme="minorHAnsi" w:cs="TimesNewRomanPSMT"/>
          <w:b/>
          <w:sz w:val="22"/>
        </w:rPr>
        <w:t>politykę rozwoju należy rozumieć „zespół wzajemnie powiązanych działań podejmowanych i realizowanyc</w:t>
      </w:r>
      <w:r w:rsidR="00E2179F">
        <w:rPr>
          <w:rFonts w:asciiTheme="minorHAnsi" w:hAnsiTheme="minorHAnsi" w:cs="TimesNewRomanPSMT"/>
          <w:b/>
          <w:sz w:val="22"/>
        </w:rPr>
        <w:t>h w celu zapewnienia trwałego i </w:t>
      </w:r>
      <w:r w:rsidRPr="00563EF2">
        <w:rPr>
          <w:rFonts w:asciiTheme="minorHAnsi" w:hAnsiTheme="minorHAnsi" w:cs="TimesNewRomanPSMT"/>
          <w:b/>
          <w:sz w:val="22"/>
        </w:rPr>
        <w:t>zrównoważonego rozwoju kraju, spójności społeczno-gospodarczej, regionalnej i przestrzennej, podnoszenia konkurencyjności gospodarki oraz tworzenia nowych miejsc pracy w skali krajowej, regionalnej lub lokalnej”.</w:t>
      </w:r>
    </w:p>
    <w:p w:rsidR="00A370FF" w:rsidRPr="00563EF2" w:rsidRDefault="00A370FF" w:rsidP="00FD7676">
      <w:pPr>
        <w:autoSpaceDE w:val="0"/>
        <w:autoSpaceDN w:val="0"/>
        <w:adjustRightInd w:val="0"/>
        <w:ind w:left="567" w:hanging="283"/>
        <w:rPr>
          <w:rFonts w:asciiTheme="minorHAnsi" w:hAnsiTheme="minorHAnsi" w:cs="TimesNewRomanPSMT"/>
          <w:sz w:val="22"/>
        </w:rPr>
      </w:pPr>
    </w:p>
    <w:p w:rsidR="00A370FF" w:rsidRPr="00563EF2" w:rsidRDefault="00A370FF" w:rsidP="00FD7676">
      <w:pPr>
        <w:autoSpaceDE w:val="0"/>
        <w:autoSpaceDN w:val="0"/>
        <w:adjustRightInd w:val="0"/>
        <w:rPr>
          <w:rFonts w:asciiTheme="minorHAnsi" w:hAnsiTheme="minorHAnsi" w:cs="TimesNewRomanPSMT"/>
          <w:sz w:val="22"/>
        </w:rPr>
      </w:pPr>
      <w:r w:rsidRPr="00563EF2">
        <w:rPr>
          <w:rFonts w:asciiTheme="minorHAnsi" w:hAnsiTheme="minorHAnsi" w:cs="TimesNewRomanPSMT"/>
          <w:sz w:val="22"/>
        </w:rPr>
        <w:t xml:space="preserve">Konieczność sporządzenia strategii rozwoju miasta uwarunkowana jest również przez dokumenty nadrzędne o charakterze strategiczno-planistycznym utworzone na szczeblu europejskim, krajowym oraz regionalnym. </w:t>
      </w:r>
    </w:p>
    <w:p w:rsidR="00A370FF" w:rsidRPr="00563EF2" w:rsidRDefault="00A370FF" w:rsidP="00FD7676">
      <w:pPr>
        <w:autoSpaceDE w:val="0"/>
        <w:autoSpaceDN w:val="0"/>
        <w:adjustRightInd w:val="0"/>
        <w:rPr>
          <w:rFonts w:asciiTheme="minorHAnsi" w:hAnsiTheme="minorHAnsi" w:cs="TimesNewRomanPSMT"/>
          <w:sz w:val="22"/>
        </w:rPr>
      </w:pPr>
    </w:p>
    <w:p w:rsidR="00A370FF" w:rsidRPr="007F6382" w:rsidRDefault="00A370FF"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Rysunek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Rysunek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w:t>
      </w:r>
      <w:r w:rsidR="00017794" w:rsidRPr="007F6382">
        <w:rPr>
          <w:rFonts w:asciiTheme="minorHAnsi" w:hAnsiTheme="minorHAnsi"/>
          <w:sz w:val="20"/>
          <w:szCs w:val="22"/>
        </w:rPr>
        <w:fldChar w:fldCharType="end"/>
      </w:r>
      <w:r w:rsidRPr="007F6382">
        <w:rPr>
          <w:rFonts w:asciiTheme="minorHAnsi" w:hAnsiTheme="minorHAnsi"/>
          <w:sz w:val="20"/>
          <w:szCs w:val="22"/>
        </w:rPr>
        <w:t>. Dokumenty strategiczno-planistyczne warunkujące opracowywanie Strategii Rozwoju Miasta Legnicy na lata 2015-2020</w:t>
      </w:r>
      <w:r w:rsidR="001035F0">
        <w:rPr>
          <w:rFonts w:asciiTheme="minorHAnsi" w:hAnsiTheme="minorHAnsi"/>
          <w:sz w:val="20"/>
          <w:szCs w:val="22"/>
        </w:rPr>
        <w:t xml:space="preserve"> PLUS</w:t>
      </w:r>
      <w:r w:rsidRPr="007F6382">
        <w:rPr>
          <w:rFonts w:asciiTheme="minorHAnsi" w:hAnsiTheme="minorHAnsi"/>
          <w:sz w:val="20"/>
          <w:szCs w:val="22"/>
        </w:rPr>
        <w:t>.</w:t>
      </w:r>
    </w:p>
    <w:p w:rsidR="00A370FF" w:rsidRPr="00563EF2" w:rsidRDefault="00A370FF" w:rsidP="00FD7676">
      <w:pPr>
        <w:autoSpaceDE w:val="0"/>
        <w:autoSpaceDN w:val="0"/>
        <w:adjustRightInd w:val="0"/>
        <w:rPr>
          <w:rFonts w:asciiTheme="minorHAnsi" w:hAnsiTheme="minorHAnsi" w:cs="TimesNewRomanPSMT"/>
          <w:sz w:val="22"/>
        </w:rPr>
      </w:pPr>
      <w:r w:rsidRPr="00563EF2">
        <w:rPr>
          <w:rFonts w:asciiTheme="minorHAnsi" w:hAnsiTheme="minorHAnsi" w:cs="TimesNewRomanPSMT"/>
          <w:noProof/>
          <w:sz w:val="22"/>
          <w:lang w:eastAsia="pl-PL"/>
        </w:rPr>
        <mc:AlternateContent>
          <mc:Choice Requires="wpg">
            <w:drawing>
              <wp:inline distT="0" distB="0" distL="0" distR="0" wp14:anchorId="6268C318" wp14:editId="68116907">
                <wp:extent cx="6172200" cy="4457700"/>
                <wp:effectExtent l="0" t="0" r="19050" b="19050"/>
                <wp:docPr id="78" name="Grupa 33"/>
                <wp:cNvGraphicFramePr/>
                <a:graphic xmlns:a="http://schemas.openxmlformats.org/drawingml/2006/main">
                  <a:graphicData uri="http://schemas.microsoft.com/office/word/2010/wordprocessingGroup">
                    <wpg:wgp>
                      <wpg:cNvGrpSpPr/>
                      <wpg:grpSpPr>
                        <a:xfrm>
                          <a:off x="0" y="0"/>
                          <a:ext cx="6172200" cy="4457700"/>
                          <a:chOff x="214282" y="214290"/>
                          <a:chExt cx="9655843" cy="6926141"/>
                        </a:xfrm>
                      </wpg:grpSpPr>
                      <wps:wsp>
                        <wps:cNvPr id="83" name="Prostokąt 83"/>
                        <wps:cNvSpPr/>
                        <wps:spPr>
                          <a:xfrm>
                            <a:off x="1571603" y="214290"/>
                            <a:ext cx="6640289" cy="428628"/>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84" name="pole tekstowe 7"/>
                        <wps:cNvSpPr txBox="1"/>
                        <wps:spPr>
                          <a:xfrm>
                            <a:off x="1143718" y="226690"/>
                            <a:ext cx="7600827" cy="796915"/>
                          </a:xfrm>
                          <a:prstGeom prst="rect">
                            <a:avLst/>
                          </a:prstGeom>
                          <a:noFill/>
                        </wps:spPr>
                        <wps:txbx>
                          <w:txbxContent>
                            <w:p w:rsidR="00A469F2" w:rsidRDefault="00A469F2" w:rsidP="001A123D">
                              <w:pPr>
                                <w:pStyle w:val="NormalnyWeb"/>
                                <w:spacing w:before="0" w:beforeAutospacing="0" w:after="0"/>
                                <w:jc w:val="center"/>
                              </w:pPr>
                              <w:r>
                                <w:rPr>
                                  <w:rFonts w:asciiTheme="minorHAnsi" w:hAnsi="Calibri" w:cstheme="minorBidi"/>
                                  <w:b/>
                                  <w:bCs/>
                                  <w:color w:val="F2F2F2" w:themeColor="background1" w:themeShade="F2"/>
                                  <w:kern w:val="24"/>
                                  <w:sz w:val="28"/>
                                  <w:szCs w:val="28"/>
                                </w:rPr>
                                <w:t>Koncepcja Przestrzennego Zagospodarowania Kraju 2030</w:t>
                              </w:r>
                            </w:p>
                          </w:txbxContent>
                        </wps:txbx>
                        <wps:bodyPr wrap="square" rtlCol="0">
                          <a:noAutofit/>
                        </wps:bodyPr>
                      </wps:wsp>
                      <wps:wsp>
                        <wps:cNvPr id="85" name="Prostokąt 85"/>
                        <wps:cNvSpPr/>
                        <wps:spPr>
                          <a:xfrm>
                            <a:off x="214282" y="857232"/>
                            <a:ext cx="714380" cy="485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pole tekstowe 9"/>
                        <wps:cNvSpPr txBox="1"/>
                        <wps:spPr>
                          <a:xfrm>
                            <a:off x="285720" y="857151"/>
                            <a:ext cx="699671" cy="4857524"/>
                          </a:xfrm>
                          <a:prstGeom prst="rect">
                            <a:avLst/>
                          </a:prstGeom>
                          <a:noFill/>
                        </wps:spPr>
                        <wps:txbx>
                          <w:txbxContent>
                            <w:p w:rsidR="00A469F2" w:rsidRDefault="00A469F2" w:rsidP="001A123D">
                              <w:pPr>
                                <w:pStyle w:val="NormalnyWeb"/>
                                <w:spacing w:before="0" w:beforeAutospacing="0" w:after="0"/>
                                <w:jc w:val="center"/>
                              </w:pPr>
                              <w:r>
                                <w:rPr>
                                  <w:rFonts w:asciiTheme="minorHAnsi" w:hAnsi="Calibri" w:cstheme="minorBidi"/>
                                  <w:color w:val="F2F2F2" w:themeColor="background1" w:themeShade="F2"/>
                                  <w:kern w:val="24"/>
                                  <w:sz w:val="36"/>
                                  <w:szCs w:val="36"/>
                                </w:rPr>
                                <w:t>Strategia UE - EUROPA 2020</w:t>
                              </w:r>
                            </w:p>
                          </w:txbxContent>
                        </wps:txbx>
                        <wps:bodyPr vert="vert270" wrap="square" rtlCol="0">
                          <a:noAutofit/>
                        </wps:bodyPr>
                      </wps:wsp>
                      <wps:wsp>
                        <wps:cNvPr id="87" name="Strzałka w prawo 87"/>
                        <wps:cNvSpPr/>
                        <wps:spPr>
                          <a:xfrm>
                            <a:off x="1071538" y="1428736"/>
                            <a:ext cx="285752" cy="714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Strzałka w prawo 88"/>
                        <wps:cNvSpPr/>
                        <wps:spPr>
                          <a:xfrm>
                            <a:off x="1071538" y="2928934"/>
                            <a:ext cx="285752" cy="714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Strzałka w prawo 89"/>
                        <wps:cNvSpPr/>
                        <wps:spPr>
                          <a:xfrm>
                            <a:off x="1071538" y="4572008"/>
                            <a:ext cx="285752" cy="714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pole tekstowe 13"/>
                        <wps:cNvSpPr txBox="1"/>
                        <wps:spPr>
                          <a:xfrm>
                            <a:off x="1643041" y="3642886"/>
                            <a:ext cx="2928607" cy="118883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A469F2" w:rsidRPr="00CD167A" w:rsidRDefault="00A469F2" w:rsidP="001A123D">
                              <w:pPr>
                                <w:pStyle w:val="NormalnyWeb"/>
                                <w:spacing w:before="0" w:beforeAutospacing="0" w:after="0"/>
                                <w:rPr>
                                  <w:sz w:val="18"/>
                                </w:rPr>
                              </w:pPr>
                              <w:r w:rsidRPr="00CD167A">
                                <w:rPr>
                                  <w:rFonts w:asciiTheme="minorHAnsi" w:hAnsi="Calibri" w:cstheme="minorBidi"/>
                                  <w:b/>
                                  <w:bCs/>
                                  <w:color w:val="FFFFFF" w:themeColor="light1"/>
                                  <w:kern w:val="24"/>
                                  <w:sz w:val="22"/>
                                  <w:szCs w:val="32"/>
                                </w:rPr>
                                <w:t>Strategia Rozwoju Województwa Dolnośląskiego 2020</w:t>
                              </w:r>
                            </w:p>
                          </w:txbxContent>
                        </wps:txbx>
                        <wps:bodyPr wrap="square" rtlCol="0">
                          <a:noAutofit/>
                        </wps:bodyPr>
                      </wps:wsp>
                      <wps:wsp>
                        <wps:cNvPr id="91" name="pole tekstowe 14"/>
                        <wps:cNvSpPr txBox="1"/>
                        <wps:spPr>
                          <a:xfrm>
                            <a:off x="4714876" y="3642888"/>
                            <a:ext cx="2616414" cy="118883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469F2" w:rsidRPr="00CD167A" w:rsidRDefault="00A469F2" w:rsidP="001A123D">
                              <w:pPr>
                                <w:pStyle w:val="NormalnyWeb"/>
                                <w:spacing w:before="0" w:beforeAutospacing="0" w:after="0"/>
                                <w:rPr>
                                  <w:sz w:val="22"/>
                                </w:rPr>
                              </w:pPr>
                              <w:r w:rsidRPr="00CD167A">
                                <w:rPr>
                                  <w:rFonts w:asciiTheme="minorHAnsi" w:hAnsi="Calibri" w:cstheme="minorBidi"/>
                                  <w:b/>
                                  <w:bCs/>
                                  <w:color w:val="FFFFFF" w:themeColor="light1"/>
                                  <w:kern w:val="24"/>
                                  <w:sz w:val="22"/>
                                  <w:szCs w:val="20"/>
                                </w:rPr>
                                <w:t>Plan Zagospodarowania Przestrzennego Województwa</w:t>
                              </w:r>
                              <w:r w:rsidRPr="00CD167A">
                                <w:rPr>
                                  <w:rFonts w:asciiTheme="minorHAnsi" w:hAnsi="Calibri" w:cstheme="minorBidi"/>
                                  <w:b/>
                                  <w:bCs/>
                                  <w:color w:val="FFFFFF" w:themeColor="light1"/>
                                  <w:kern w:val="24"/>
                                  <w:szCs w:val="28"/>
                                </w:rPr>
                                <w:t xml:space="preserve"> </w:t>
                              </w:r>
                              <w:r w:rsidRPr="00CD167A">
                                <w:rPr>
                                  <w:rFonts w:asciiTheme="minorHAnsi" w:hAnsi="Calibri" w:cstheme="minorBidi"/>
                                  <w:b/>
                                  <w:bCs/>
                                  <w:color w:val="FFFFFF" w:themeColor="light1"/>
                                  <w:kern w:val="24"/>
                                  <w:sz w:val="22"/>
                                  <w:szCs w:val="28"/>
                                </w:rPr>
                                <w:t xml:space="preserve">Dolnośląskiego </w:t>
                              </w:r>
                            </w:p>
                          </w:txbxContent>
                        </wps:txbx>
                        <wps:bodyPr wrap="square" rtlCol="0">
                          <a:noAutofit/>
                        </wps:bodyPr>
                      </wps:wsp>
                      <wps:wsp>
                        <wps:cNvPr id="92" name="Prostokąt 92"/>
                        <wps:cNvSpPr/>
                        <wps:spPr>
                          <a:xfrm>
                            <a:off x="1571603" y="1142984"/>
                            <a:ext cx="6568109" cy="428628"/>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469F2" w:rsidRDefault="00A469F2" w:rsidP="001A123D">
                              <w:pPr>
                                <w:pStyle w:val="NormalnyWeb"/>
                                <w:spacing w:before="0" w:beforeAutospacing="0" w:after="0"/>
                                <w:jc w:val="center"/>
                              </w:pPr>
                              <w:r>
                                <w:rPr>
                                  <w:rFonts w:asciiTheme="minorHAnsi" w:hAnsi="Calibri" w:cstheme="minorBidi"/>
                                  <w:b/>
                                  <w:bCs/>
                                  <w:color w:val="FFFFFF" w:themeColor="light1"/>
                                  <w:kern w:val="24"/>
                                  <w:sz w:val="28"/>
                                  <w:szCs w:val="28"/>
                                </w:rPr>
                                <w:t xml:space="preserve">Długookresowa Strategia Rozwoju Kraju – Polska 2030 </w:t>
                              </w:r>
                            </w:p>
                          </w:txbxContent>
                        </wps:txbx>
                        <wps:bodyPr rtlCol="0" anchor="ctr"/>
                      </wps:wsp>
                      <wps:wsp>
                        <wps:cNvPr id="93" name="Prostokąt 93"/>
                        <wps:cNvSpPr/>
                        <wps:spPr>
                          <a:xfrm>
                            <a:off x="1588411" y="2071678"/>
                            <a:ext cx="6551302" cy="428628"/>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469F2" w:rsidRDefault="00A469F2" w:rsidP="001A123D">
                              <w:pPr>
                                <w:pStyle w:val="NormalnyWeb"/>
                                <w:spacing w:before="0" w:beforeAutospacing="0" w:after="0"/>
                                <w:jc w:val="center"/>
                              </w:pPr>
                              <w:r w:rsidRPr="00CD167A">
                                <w:rPr>
                                  <w:rFonts w:asciiTheme="minorHAnsi" w:hAnsi="Calibri" w:cstheme="minorBidi"/>
                                  <w:b/>
                                  <w:bCs/>
                                  <w:color w:val="FFFFFF" w:themeColor="light1"/>
                                  <w:kern w:val="24"/>
                                  <w:szCs w:val="28"/>
                                </w:rPr>
                                <w:t xml:space="preserve">Średniookresowa Strategia Rozwoju Kraju do roku </w:t>
                              </w:r>
                              <w:r>
                                <w:rPr>
                                  <w:rFonts w:asciiTheme="minorHAnsi" w:hAnsi="Calibri" w:cstheme="minorBidi"/>
                                  <w:b/>
                                  <w:bCs/>
                                  <w:color w:val="FFFFFF" w:themeColor="light1"/>
                                  <w:kern w:val="24"/>
                                  <w:sz w:val="28"/>
                                  <w:szCs w:val="28"/>
                                </w:rPr>
                                <w:t xml:space="preserve">2020 </w:t>
                              </w:r>
                            </w:p>
                          </w:txbxContent>
                        </wps:txbx>
                        <wps:bodyPr rtlCol="0" anchor="ctr"/>
                      </wps:wsp>
                      <wps:wsp>
                        <wps:cNvPr id="94" name="Prostokąt 94"/>
                        <wps:cNvSpPr/>
                        <wps:spPr>
                          <a:xfrm>
                            <a:off x="1643040" y="2928554"/>
                            <a:ext cx="6357984" cy="428563"/>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A469F2" w:rsidRPr="00CD167A" w:rsidRDefault="00A469F2" w:rsidP="001A123D">
                              <w:pPr>
                                <w:pStyle w:val="NormalnyWeb"/>
                                <w:spacing w:before="0" w:beforeAutospacing="0" w:after="0"/>
                                <w:jc w:val="center"/>
                                <w:rPr>
                                  <w:sz w:val="22"/>
                                </w:rPr>
                              </w:pPr>
                              <w:r w:rsidRPr="00CD167A">
                                <w:rPr>
                                  <w:rFonts w:asciiTheme="minorHAnsi" w:hAnsi="Calibri" w:cstheme="minorBidi"/>
                                  <w:b/>
                                  <w:bCs/>
                                  <w:color w:val="000000" w:themeColor="dark1"/>
                                  <w:kern w:val="24"/>
                                  <w:szCs w:val="28"/>
                                </w:rPr>
                                <w:t xml:space="preserve">Krajowa Strategia Rozwoju Regionalnego 2010 - 2020 </w:t>
                              </w:r>
                            </w:p>
                          </w:txbxContent>
                        </wps:txbx>
                        <wps:bodyPr wrap="square">
                          <a:noAutofit/>
                        </wps:bodyPr>
                      </wps:wsp>
                      <wps:wsp>
                        <wps:cNvPr id="95" name="pole tekstowe 18"/>
                        <wps:cNvSpPr txBox="1"/>
                        <wps:spPr>
                          <a:xfrm>
                            <a:off x="1714298" y="5185759"/>
                            <a:ext cx="5616903" cy="650196"/>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469F2" w:rsidRPr="00CD167A" w:rsidRDefault="00A469F2" w:rsidP="001A123D">
                              <w:pPr>
                                <w:pStyle w:val="NormalnyWeb"/>
                                <w:spacing w:before="0" w:beforeAutospacing="0" w:after="0"/>
                                <w:rPr>
                                  <w:sz w:val="20"/>
                                </w:rPr>
                              </w:pPr>
                              <w:r w:rsidRPr="00CD167A">
                                <w:rPr>
                                  <w:rFonts w:asciiTheme="minorHAnsi" w:hAnsi="Calibri" w:cstheme="minorBidi"/>
                                  <w:b/>
                                  <w:bCs/>
                                  <w:color w:val="000000" w:themeColor="text1"/>
                                  <w:kern w:val="24"/>
                                  <w:sz w:val="22"/>
                                  <w:szCs w:val="28"/>
                                </w:rPr>
                                <w:t>Studium Uwarunkowań i Kierunków Zagospodarowania Przestrzennego Miasta Legnicy</w:t>
                              </w:r>
                            </w:p>
                          </w:txbxContent>
                        </wps:txbx>
                        <wps:bodyPr wrap="square" rtlCol="0">
                          <a:noAutofit/>
                        </wps:bodyPr>
                      </wps:wsp>
                      <wps:wsp>
                        <wps:cNvPr id="96" name="pole tekstowe 19"/>
                        <wps:cNvSpPr txBox="1"/>
                        <wps:spPr>
                          <a:xfrm>
                            <a:off x="1714298" y="6187003"/>
                            <a:ext cx="5616992" cy="953428"/>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A469F2" w:rsidRPr="00CD167A" w:rsidRDefault="00A469F2" w:rsidP="00136A51">
                              <w:pPr>
                                <w:pStyle w:val="NormalnyWeb"/>
                                <w:spacing w:before="0" w:beforeAutospacing="0" w:after="0"/>
                                <w:jc w:val="center"/>
                                <w:rPr>
                                  <w:sz w:val="18"/>
                                </w:rPr>
                              </w:pPr>
                              <w:r w:rsidRPr="00CD167A">
                                <w:rPr>
                                  <w:rFonts w:asciiTheme="minorHAnsi" w:hAnsi="Calibri" w:cstheme="minorBidi"/>
                                  <w:b/>
                                  <w:bCs/>
                                  <w:color w:val="F2F2F2" w:themeColor="background1" w:themeShade="F2"/>
                                  <w:kern w:val="24"/>
                                  <w:sz w:val="36"/>
                                  <w:szCs w:val="48"/>
                                </w:rPr>
                                <w:t>Strategia Rozwoju Mi</w:t>
                              </w:r>
                              <w:r>
                                <w:rPr>
                                  <w:rFonts w:asciiTheme="minorHAnsi" w:hAnsi="Calibri" w:cstheme="minorBidi"/>
                                  <w:b/>
                                  <w:bCs/>
                                  <w:color w:val="F2F2F2" w:themeColor="background1" w:themeShade="F2"/>
                                  <w:kern w:val="24"/>
                                  <w:sz w:val="36"/>
                                  <w:szCs w:val="48"/>
                                </w:rPr>
                                <w:t>asta Legnicy na lata 2015-2020 PLUS</w:t>
                              </w:r>
                            </w:p>
                          </w:txbxContent>
                        </wps:txbx>
                        <wps:bodyPr wrap="square" rtlCol="0">
                          <a:noAutofit/>
                        </wps:bodyPr>
                      </wps:wsp>
                      <wps:wsp>
                        <wps:cNvPr id="97" name="Strzałka w dół 97"/>
                        <wps:cNvSpPr/>
                        <wps:spPr>
                          <a:xfrm>
                            <a:off x="4000496" y="714356"/>
                            <a:ext cx="1571636" cy="2143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Strzałka w dół 98"/>
                        <wps:cNvSpPr/>
                        <wps:spPr>
                          <a:xfrm>
                            <a:off x="3428992" y="1714488"/>
                            <a:ext cx="1643074" cy="2143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Strzałka w dół 99"/>
                        <wps:cNvSpPr/>
                        <wps:spPr>
                          <a:xfrm>
                            <a:off x="3428992" y="2643182"/>
                            <a:ext cx="1643074" cy="2143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Strzałka w dół 100"/>
                        <wps:cNvSpPr/>
                        <wps:spPr>
                          <a:xfrm>
                            <a:off x="2214546" y="3429000"/>
                            <a:ext cx="928694" cy="1428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Strzałka w dół 101"/>
                        <wps:cNvSpPr/>
                        <wps:spPr>
                          <a:xfrm>
                            <a:off x="5357818" y="3429000"/>
                            <a:ext cx="928694" cy="1428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Strzałka w dół 102"/>
                        <wps:cNvSpPr/>
                        <wps:spPr>
                          <a:xfrm>
                            <a:off x="5429256" y="4919108"/>
                            <a:ext cx="928694" cy="1428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Strzałka w dół 103"/>
                        <wps:cNvSpPr/>
                        <wps:spPr>
                          <a:xfrm>
                            <a:off x="2214545" y="4919108"/>
                            <a:ext cx="928694" cy="1428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Strzałka w dół 104"/>
                        <wps:cNvSpPr/>
                        <wps:spPr>
                          <a:xfrm>
                            <a:off x="3428992" y="5859337"/>
                            <a:ext cx="1571635" cy="2143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pole tekstowe 29"/>
                        <wps:cNvSpPr txBox="1"/>
                        <wps:spPr>
                          <a:xfrm>
                            <a:off x="8370693" y="3357117"/>
                            <a:ext cx="1499432" cy="3499496"/>
                          </a:xfrm>
                          <a:prstGeom prst="rect">
                            <a:avLst/>
                          </a:prstGeom>
                        </wps:spPr>
                        <wps:style>
                          <a:lnRef idx="3">
                            <a:schemeClr val="lt1"/>
                          </a:lnRef>
                          <a:fillRef idx="1">
                            <a:schemeClr val="accent1"/>
                          </a:fillRef>
                          <a:effectRef idx="1">
                            <a:schemeClr val="accent1"/>
                          </a:effectRef>
                          <a:fontRef idx="minor">
                            <a:schemeClr val="lt1"/>
                          </a:fontRef>
                        </wps:style>
                        <wps:txbx>
                          <w:txbxContent>
                            <w:p w:rsidR="00A469F2" w:rsidRDefault="00A469F2" w:rsidP="001A123D">
                              <w:pPr>
                                <w:pStyle w:val="NormalnyWeb"/>
                                <w:spacing w:before="0" w:beforeAutospacing="0" w:after="0"/>
                                <w:jc w:val="center"/>
                              </w:pPr>
                              <w:r>
                                <w:rPr>
                                  <w:rFonts w:asciiTheme="minorHAnsi" w:hAnsi="Calibri" w:cstheme="minorBidi"/>
                                  <w:color w:val="FFFFFF" w:themeColor="light1"/>
                                  <w:kern w:val="24"/>
                                  <w:sz w:val="32"/>
                                  <w:szCs w:val="32"/>
                                </w:rPr>
                                <w:t>Regionalny Program Operacyjny Województwa Dolnośląskiego na lata 2014-2020</w:t>
                              </w:r>
                            </w:p>
                          </w:txbxContent>
                        </wps:txbx>
                        <wps:bodyPr vert="vert" wrap="square" rtlCol="0">
                          <a:noAutofit/>
                        </wps:bodyPr>
                      </wps:wsp>
                      <wps:wsp>
                        <wps:cNvPr id="106" name="Strzałka w lewo 106"/>
                        <wps:cNvSpPr/>
                        <wps:spPr>
                          <a:xfrm>
                            <a:off x="7500958" y="3714752"/>
                            <a:ext cx="285752" cy="6429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Strzałka w lewo 107"/>
                        <wps:cNvSpPr/>
                        <wps:spPr>
                          <a:xfrm>
                            <a:off x="7500958" y="5715016"/>
                            <a:ext cx="285752" cy="6429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Strzałka w lewo 108"/>
                        <wps:cNvSpPr/>
                        <wps:spPr>
                          <a:xfrm>
                            <a:off x="7500958" y="4714884"/>
                            <a:ext cx="285752" cy="6429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upa 33" o:spid="_x0000_s1028" style="width:486pt;height:351pt;mso-position-horizontal-relative:char;mso-position-vertical-relative:line" coordorigin="2142,2142" coordsize="96558,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gvQcAAGZCAAAOAAAAZHJzL2Uyb0RvYy54bWzsXN1ym0YUvu9M34HhvhHLP5rImTRpfNNp&#10;M037AASBpDECCtiSe9mZPlEfoc179TvL7opgkCW5SuyEXCgIOOvdsx/f+UXPX2zXqXYTl9Uqz2Y6&#10;e2boWpxF+XyVLWb6b7+++c7XtaoOs3mY5lk802/jSn9x8e03zzfFNDbzZZ7O41LDIFk13RQzfVnX&#10;xXQyqaJlvA6rZ3kRZ7iY5OU6rPG1XEzmZbjB6Ot0YhqGO9nk5bwo8yiuKpx93VzUL/j4SRJH9c9J&#10;UsW1ls50zK3mnyX/fE+fk4vn4XRRhsVyFYlphCfMYh2uMvxRNdTrsA6163J1Z6j1KirzKk/qZ1G+&#10;nuRJsopivgashhmd1VyW+XXB17KYbhaFUhNU29HTycNGP928LbXVfKZ72KksXGOPLsvrItQsi5Sz&#10;KRZT3HNZFu+Kt6U4sWi+0Xq3Sbmm/7ESbcvVeqvUGm9rLcJJl3km9krXIlyzbcfz8IUrPlpid0jO&#10;ZLbpm7qGG+gwUNd/EGMEruP4ttWM4Qamy2xGY0zkFCY0UzWxTQE4VTuNVQ/T2LtlWMR8IyrShtCY&#10;j+k0GnuLPa3zq3//qjWc5FriNyqdVdMK6utRGHM85hoYqLNypTvXNkw/ELozfdf0P1p2OC3Kqr6M&#10;87VGBzO9BOQ5EsObH6u60ZC8BeoixTRT4Uf1bRrTrNLslzgBDGgruDR/AONXaandhHh0wiiKs9pu&#10;Li3Dedycdgz8E/NREnxT+IA0crJKUzU22zd2M1dxP4nG/PlVwsb9wkqC/+U8q5XwepXlZd8AaS1x&#10;lDT3SyU1qiEtvc/nt9jysk5f5Q2NhFm0zMEiUV3y1Qu40ePyKXBnS9wVeRprdXwF8G1izesgT6u3&#10;3+fYUb5Avt0DGGS25TE8/oRB03Xl0ycx6LmG4Zteg0EvcAPmPASD4TTL3wAVtN+7WdFRvX2/5Vxk&#10;ypUI1W9A0DO9+v06LGO9tRG0zVn+8rrOkxXHOo3SyIjBQQKfalccuSttNuCaolmBNu5ngxYN+o5n&#10;WlwPeBAECXrYKF/yKG7wfPshG9HRfnUcGYhn+SxkoB7JhjyOIwMp/JWQgSth9zEZBPIREsA7lAxM&#10;Ah4wBi7AEXO4NncQdIPA9ZgwR7jBMR8EwQO4QNlTwQVwNmHm6NP0MM8nQQ3gzsZReFeXf4Qf/rwK&#10;tQ3sdbjJNb/L2sJ7GPIXDOyJ1XA1+Uye5dJG7zaI9s+BJ0W+luCLxrBKT006A9JfWC2W9cuyzDfc&#10;Op7BaxiJ4nF4Dcq/7wEhdyoPNlOsBUIzgHtqcRIYQchd3dFaUSQ+EDIhkhlkwq7JOpwJEVMiwOQg&#10;HkE4glClg/pBiPhGgPBjl4kpV+NIn4m5tmUgH0FOk+XCKvtdowySdA0RQTHm+74lw+Yhs/zQMH5P&#10;qM0nh8RJf4xu9UXJTfwvBYdj9D3JAyl8HrdchY7cEu3CwCfhHwaATsOKHUCqxRwJSBuen+8hMlCA&#10;7HKjC8wy5BHITfzsgOTP3SmAlIInAVIKnxmQKgPwhHIZAQKIO5lNnBQW+aBcRjuzySin2yQrdvbZ&#10;dVyfGZ8ytbmHE/naToGgFDwJglL4zBDk1NvixEeTyQz6Mug4eRzOfN9mjfE1EZi4KGRAvo0zh1mG&#10;CIlhnM+fQv9acaZSGYLqHg/OVMa8lZsNutb1nniDO3lNZoyCXsfpBL2u5XhEck2ZCze40sJ8Bh9P&#10;Mku/j7fHTZOCw3x2ALpP4LP5lczbDtZhlI+nshV9JpUe/cdSEwhUTaDj2KkVHOnYMTh2sKTcsXMY&#10;pfp40LwjOweOXUD1RHLsXMdggfS7PwMIJf77Qbgn0JCCwyDcg2ApfAIIDygGKhCqbEUfCB9pjQpg&#10;6A801GIegEeX+Sjsc+138EjuJOExcCzYX7LOqmz//9ev99CTLFsejUcpeBIepfCZ8ch4RqHl5T2F&#10;ykjQWxmZ//P3hz81XDvGD7TRimATwAE0Knw4nPh2SOTxCKolHIkotFoIf/cicZ5vsrEwElEPBdlU&#10;YZabJpEvqZ2CzOndnLTAYNdQ7/cRid4CYjvKqgCEts/lWyAkJ9ITPuIIQjTgEbRU61C72Ui6g+eh&#10;zUcXofQWRgQIu9b5cBCawBtDYx0kRhCOhZF7CiOMmjSHqJAuCuAdlP8zQW+OLXLQ1NIpmz5lNxPV&#10;RBCDc3vMWxnuiVRGe/x1UCEzVDmk3anQcCFdPAaFDpIyvuhthHUeUchjr+E4ZjTIormbUcZ4mAu5&#10;ST24YcYB8kwEJOQX2gELWLdXYeRCelVDdWuPKFQoVBWSPi7kyZaDUdhYZKQkRxTiZQYZX4xc2Hp/&#10;qr9hhhmqftKHwuPqKO0Y2fGdwLJ4nqcVntArMRZgSinDMUYeY2T5vhUzBsopZjdAPrTZ3bc8w6Ui&#10;NJBmwVNkrItFOwhsvIbBsWjRl7PXU3rLIrvCRH/uek/S+36eO0D4PJGHqqWgfC+cepGX2TX5P40O&#10;f2bAubvrLaYxOvzp2jEhi4e36gKnqfHhvSyb2vkhvyPIdos/ug0DW9ZsB0p8aZyMHf6Ne/lFJ7LR&#10;lr8HhMdVU9ogpNeADNYpp4wgHCOWvpeiKbQdZsLjyiltEPKW1m4L4QjCJwdC/p4+fsyA56HEDy/Q&#10;ryW0v+O4/fMQF/8BAAD//wMAUEsDBBQABgAIAAAAIQAt3/mQ2wAAAAUBAAAPAAAAZHJzL2Rvd25y&#10;ZXYueG1sTI9BS8NAEIXvgv9hGcGb3aSi1ZhNKUU9FcFWEG/T7DQJzc6G7DZJ/72jF70M83jDm+/l&#10;y8m1aqA+NJ4NpLMEFHHpbcOVgY/dy80DqBCRLbaeycCZAiyLy4scM+tHfqdhGyslIRwyNFDH2GVa&#10;h7Imh2HmO2LxDr53GEX2lbY9jhLuWj1PknvtsGH5UGNH65rK4/bkDLyOOK5u0+dhczysz1+7u7fP&#10;TUrGXF9NqydQkab4dww/+IIOhTDt/YltUK0BKRJ/p3iPi7nIvYFFIosucv2fvvgGAAD//wMAUEsB&#10;Ai0AFAAGAAgAAAAhALaDOJL+AAAA4QEAABMAAAAAAAAAAAAAAAAAAAAAAFtDb250ZW50X1R5cGVz&#10;XS54bWxQSwECLQAUAAYACAAAACEAOP0h/9YAAACUAQAACwAAAAAAAAAAAAAAAAAvAQAAX3JlbHMv&#10;LnJlbHNQSwECLQAUAAYACAAAACEAvlsUYL0HAABmQgAADgAAAAAAAAAAAAAAAAAuAgAAZHJzL2Uy&#10;b0RvYy54bWxQSwECLQAUAAYACAAAACEALd/5kNsAAAAFAQAADwAAAAAAAAAAAAAAAAAXCgAAZHJz&#10;L2Rvd25yZXYueG1sUEsFBgAAAAAEAAQA8wAAAB8LAAAAAA==&#10;">
                <v:rect id="Prostokąt 83" o:spid="_x0000_s1029" style="position:absolute;left:15716;top:2142;width:66402;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7sUA&#10;AADbAAAADwAAAGRycy9kb3ducmV2LnhtbESPQWvCQBSE7wX/w/KE3urGVkRSV7EFS3uoYuyhub1m&#10;n9lg9m3IrjH++64geBxm5htmvuxtLTpqfeVYwXiUgCAunK64VPCzXz/NQPiArLF2TAou5GG5GDzM&#10;MdXuzDvqslCKCGGfogITQpNK6QtDFv3INcTRO7jWYoiyLaVu8RzhtpbPSTKVFiuOCwYbejdUHLOT&#10;VZCvzcf3hPKv3+ot/ztp12X9ZqvU47BfvYII1Id7+Nb+1ApmL3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ruxQAAANsAAAAPAAAAAAAAAAAAAAAAAJgCAABkcnMv&#10;ZG93bnJldi54bWxQSwUGAAAAAAQABAD1AAAAigMAAAAA&#10;" fillcolor="#ffc000 [3207]" strokecolor="#7f5f00 [1607]" strokeweight="1pt"/>
                <v:shape id="pole tekstowe 7" o:spid="_x0000_s1030" type="#_x0000_t202" style="position:absolute;left:11437;top:2266;width:76008;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60314" w:rsidRDefault="00960314" w:rsidP="001A123D">
                        <w:pPr>
                          <w:pStyle w:val="NormalnyWeb"/>
                          <w:spacing w:before="0" w:beforeAutospacing="0" w:after="0"/>
                          <w:jc w:val="center"/>
                        </w:pPr>
                        <w:r>
                          <w:rPr>
                            <w:rFonts w:asciiTheme="minorHAnsi" w:hAnsi="Calibri" w:cstheme="minorBidi"/>
                            <w:b/>
                            <w:bCs/>
                            <w:color w:val="F2F2F2" w:themeColor="background1" w:themeShade="F2"/>
                            <w:kern w:val="24"/>
                            <w:sz w:val="28"/>
                            <w:szCs w:val="28"/>
                          </w:rPr>
                          <w:t>Koncepcja Przestrzennego Zagospodarowania Kraju 2030</w:t>
                        </w:r>
                      </w:p>
                    </w:txbxContent>
                  </v:textbox>
                </v:shape>
                <v:rect id="Prostokąt 85" o:spid="_x0000_s1031" style="position:absolute;left:2142;top:8572;width:7144;height:48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2xcEA&#10;AADbAAAADwAAAGRycy9kb3ducmV2LnhtbESP32rCMBTG7wXfIRxhdzatMCe1sYggjMEudD7AoTk2&#10;1eakNNG2b78MBl5+fH9+fEU52lY8qfeNYwVZkoIgrpxuuFZw+TkuNyB8QNbYOiYFE3kod/NZgbl2&#10;A5/oeQ61iCPsc1RgQuhyKX1lyKJPXEccvavrLYYo+1rqHoc4blu5StO1tNhwJBjs6GCoup8fNkKQ&#10;TlP2MRzu32b8aqidbvSYlHpbjPstiEBjeIX/259aweYd/r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X9sXBAAAA2wAAAA8AAAAAAAAAAAAAAAAAmAIAAGRycy9kb3du&#10;cmV2LnhtbFBLBQYAAAAABAAEAPUAAACGAwAAAAA=&#10;" fillcolor="#5b9bd5 [3204]" strokecolor="#1f4d78 [1604]" strokeweight="1pt"/>
                <v:shape id="pole tekstowe 9" o:spid="_x0000_s1032" type="#_x0000_t202" style="position:absolute;left:2857;top:8571;width:6996;height:4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rZsYA&#10;AADbAAAADwAAAGRycy9kb3ducmV2LnhtbESPQWvCQBSE70L/w/IK3symFYKkWUVaKvVSNNqDt2f2&#10;mYRm36bZNYn/vlsoeBxm5hsmW42mET11rras4CmKQRAXVtdcKjge3mcLEM4ja2wsk4IbOVgtHyYZ&#10;ptoOvKc+96UIEHYpKqi8b1MpXVGRQRfZljh4F9sZ9EF2pdQdDgFuGvkcx4k0WHNYqLCl14qK7/xq&#10;FHydP2/Nvp2f4nrY7sbNzy5/25RKTR/H9QsIT6O/h//bH1rBIo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hrZsYAAADbAAAADwAAAAAAAAAAAAAAAACYAgAAZHJz&#10;L2Rvd25yZXYueG1sUEsFBgAAAAAEAAQA9QAAAIsDAAAAAA==&#10;" filled="f" stroked="f">
                  <v:textbox style="layout-flow:vertical;mso-layout-flow-alt:bottom-to-top">
                    <w:txbxContent>
                      <w:p w:rsidR="00960314" w:rsidRDefault="00960314" w:rsidP="001A123D">
                        <w:pPr>
                          <w:pStyle w:val="NormalnyWeb"/>
                          <w:spacing w:before="0" w:beforeAutospacing="0" w:after="0"/>
                          <w:jc w:val="center"/>
                        </w:pPr>
                        <w:r>
                          <w:rPr>
                            <w:rFonts w:asciiTheme="minorHAnsi" w:hAnsi="Calibri" w:cstheme="minorBidi"/>
                            <w:color w:val="F2F2F2" w:themeColor="background1" w:themeShade="F2"/>
                            <w:kern w:val="24"/>
                            <w:sz w:val="36"/>
                            <w:szCs w:val="36"/>
                          </w:rPr>
                          <w:t>Strategia UE - EUROPA 2020</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87" o:spid="_x0000_s1033" type="#_x0000_t13" style="position:absolute;left:10715;top:14287;width:285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68IA&#10;AADbAAAADwAAAGRycy9kb3ducmV2LnhtbESP3WoCMRSE7wXfIRzBO81aocrWKEUoKEL9fYDTzXGz&#10;dXOyJFHXtzeFgpfDzHzDzBatrcWNfKgcKxgNMxDEhdMVlwpOx6/BFESIyBprx6TgQQEW825nhrl2&#10;d97T7RBLkSAcclRgYmxyKUNhyGIYuoY4eWfnLcYkfSm1x3uC21q+Zdm7tFhxWjDY0NJQcTlcrYLd&#10;qh6XP6ez3140/jqznhS7741S/V77+QEiUhtf4f/2SiuYTuDvS/o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vfrwgAAANsAAAAPAAAAAAAAAAAAAAAAAJgCAABkcnMvZG93&#10;bnJldi54bWxQSwUGAAAAAAQABAD1AAAAhwMAAAAA&#10;" adj="10800" fillcolor="#5b9bd5 [3204]" strokecolor="#1f4d78 [1604]" strokeweight="1pt"/>
                <v:shape id="Strzałka w prawo 88" o:spid="_x0000_s1034" type="#_x0000_t13" style="position:absolute;left:10715;top:29289;width:285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jmb8A&#10;AADbAAAADwAAAGRycy9kb3ducmV2LnhtbERPy4rCMBTdD/gP4QqzG1MVHKlGEUFQBsbnB1yba1Nt&#10;bkoStfP3ZiHM8nDe03lra/EgHyrHCvq9DARx4XTFpYLTcfU1BhEissbaMSn4owDzWedjirl2T97T&#10;4xBLkUI45KjAxNjkUobCkMXQcw1x4i7OW4wJ+lJqj88Ubms5yLKRtFhxajDY0NJQcTvcrYLduh6W&#10;59PFb28ar85svovd749Sn912MQERqY3/4rd7rRWM09j0Jf0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WOZvwAAANsAAAAPAAAAAAAAAAAAAAAAAJgCAABkcnMvZG93bnJl&#10;di54bWxQSwUGAAAAAAQABAD1AAAAhAMAAAAA&#10;" adj="10800" fillcolor="#5b9bd5 [3204]" strokecolor="#1f4d78 [1604]" strokeweight="1pt"/>
                <v:shape id="Strzałka w prawo 89" o:spid="_x0000_s1035" type="#_x0000_t13" style="position:absolute;left:10715;top:45720;width:2857;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AsMA&#10;AADbAAAADwAAAGRycy9kb3ducmV2LnhtbESP3WoCMRSE7wu+QzhC72rWFqrdbhQpFCwF/x/gdHN2&#10;s3VzsiSpbt/eCIKXw8x8wxTz3rbiRD40jhWMRxkI4tLphmsFh/3n0xREiMgaW8ek4J8CzGeDhwJz&#10;7c68pdMu1iJBOOSowMTY5VKG0pDFMHIdcfIq5y3GJH0ttcdzgttWPmfZq7TYcFow2NGHofK4+7MK&#10;Nsv2pf45VH591PjrzNek3Ky+lXoc9ot3EJH6eA/f2kutYPoG1y/p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AsMAAADbAAAADwAAAAAAAAAAAAAAAACYAgAAZHJzL2Rv&#10;d25yZXYueG1sUEsFBgAAAAAEAAQA9QAAAIgDAAAAAA==&#10;" adj="10800" fillcolor="#5b9bd5 [3204]" strokecolor="#1f4d78 [1604]" strokeweight="1pt"/>
                <v:shape id="pole tekstowe 13" o:spid="_x0000_s1036" type="#_x0000_t202" style="position:absolute;left:16430;top:36428;width:29286;height:1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LP8AA&#10;AADbAAAADwAAAGRycy9kb3ducmV2LnhtbERPTWvCQBC9F/wPywi91Y0tSI2uYmoLgieNtNchOybB&#10;7GzYXTX9952D0OPjfS/Xg+vUjUJsPRuYTjJQxJW3LdcGTuXXyzuomJAtdp7JwC9FWK9GT0vMrb/z&#10;gW7HVCsJ4ZijgSalPtc6Vg05jBPfEwt39sFhEhhqbQPeJdx1+jXLZtphy9LQYE8fDVWX49VJSTEt&#10;d/pU7j+L7+18KA4/GGZvxjyPh80CVKIh/Ysf7p01MJf18kV+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SLP8AAAADbAAAADwAAAAAAAAAAAAAAAACYAgAAZHJzL2Rvd25y&#10;ZXYueG1sUEsFBgAAAAAEAAQA9QAAAIUDAAAAAA==&#10;" fillcolor="#000100 [41]" strokecolor="#70ad47 [3209]" strokeweight=".5pt">
                  <v:fill color2="#6eaa46 [3177]" rotate="t" colors="0 #81b861;.5 #6fb242;1 #61a235" focus="100%" type="gradient">
                    <o:fill v:ext="view" type="gradientUnscaled"/>
                  </v:fill>
                  <v:textbox>
                    <w:txbxContent>
                      <w:p w:rsidR="00960314" w:rsidRPr="00CD167A" w:rsidRDefault="00960314" w:rsidP="001A123D">
                        <w:pPr>
                          <w:pStyle w:val="NormalnyWeb"/>
                          <w:spacing w:before="0" w:beforeAutospacing="0" w:after="0"/>
                          <w:rPr>
                            <w:sz w:val="18"/>
                          </w:rPr>
                        </w:pPr>
                        <w:r w:rsidRPr="00CD167A">
                          <w:rPr>
                            <w:rFonts w:asciiTheme="minorHAnsi" w:hAnsi="Calibri" w:cstheme="minorBidi"/>
                            <w:b/>
                            <w:bCs/>
                            <w:color w:val="FFFFFF" w:themeColor="light1"/>
                            <w:kern w:val="24"/>
                            <w:sz w:val="22"/>
                            <w:szCs w:val="32"/>
                          </w:rPr>
                          <w:t>Strategia Rozwoju Województwa Dolnośląskiego 2020</w:t>
                        </w:r>
                      </w:p>
                    </w:txbxContent>
                  </v:textbox>
                </v:shape>
                <v:shape id="pole tekstowe 14" o:spid="_x0000_s1037" type="#_x0000_t202" style="position:absolute;left:47148;top:36428;width:26164;height:1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EMUA&#10;AADbAAAADwAAAGRycy9kb3ducmV2LnhtbESPzWsCMRTE74X+D+EVvNWsHkRXo7SCpehB6gfY22Pz&#10;9oNuXtYkrut/bwqCx2FmfsPMFp2pRUvOV5YVDPoJCOLM6ooLBYf96n0MwgdkjbVlUnAjD4v568sM&#10;U22v/EPtLhQiQtinqKAMoUml9FlJBn3fNsTRy60zGKJ0hdQOrxFuajlMkpE0WHFcKLGhZUnZ3+5i&#10;FGzzy3p9bo9L3p5+V1+fbkO3fKNU7637mIII1IVn+NH+1gomA/j/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GAQxQAAANsAAAAPAAAAAAAAAAAAAAAAAJgCAABkcnMv&#10;ZG93bnJldi54bWxQSwUGAAAAAAQABAD1AAAAigMAAAAA&#10;" fillcolor="#010101 [38]" strokecolor="#a5a5a5 [3206]" strokeweight=".5pt">
                  <v:fill color2="#a3a3a3 [3174]" rotate="t" colors="0 #afafaf;.5 #a5a5a5;1 #929292" focus="100%" type="gradient">
                    <o:fill v:ext="view" type="gradientUnscaled"/>
                  </v:fill>
                  <v:textbox>
                    <w:txbxContent>
                      <w:p w:rsidR="00960314" w:rsidRPr="00CD167A" w:rsidRDefault="00960314" w:rsidP="001A123D">
                        <w:pPr>
                          <w:pStyle w:val="NormalnyWeb"/>
                          <w:spacing w:before="0" w:beforeAutospacing="0" w:after="0"/>
                          <w:rPr>
                            <w:sz w:val="22"/>
                          </w:rPr>
                        </w:pPr>
                        <w:r w:rsidRPr="00CD167A">
                          <w:rPr>
                            <w:rFonts w:asciiTheme="minorHAnsi" w:hAnsi="Calibri" w:cstheme="minorBidi"/>
                            <w:b/>
                            <w:bCs/>
                            <w:color w:val="FFFFFF" w:themeColor="light1"/>
                            <w:kern w:val="24"/>
                            <w:sz w:val="22"/>
                            <w:szCs w:val="20"/>
                          </w:rPr>
                          <w:t>Plan Zagospodarowania Przestrzennego Województwa</w:t>
                        </w:r>
                        <w:r w:rsidRPr="00CD167A">
                          <w:rPr>
                            <w:rFonts w:asciiTheme="minorHAnsi" w:hAnsi="Calibri" w:cstheme="minorBidi"/>
                            <w:b/>
                            <w:bCs/>
                            <w:color w:val="FFFFFF" w:themeColor="light1"/>
                            <w:kern w:val="24"/>
                            <w:szCs w:val="28"/>
                          </w:rPr>
                          <w:t xml:space="preserve"> </w:t>
                        </w:r>
                        <w:r w:rsidRPr="00CD167A">
                          <w:rPr>
                            <w:rFonts w:asciiTheme="minorHAnsi" w:hAnsi="Calibri" w:cstheme="minorBidi"/>
                            <w:b/>
                            <w:bCs/>
                            <w:color w:val="FFFFFF" w:themeColor="light1"/>
                            <w:kern w:val="24"/>
                            <w:sz w:val="22"/>
                            <w:szCs w:val="28"/>
                          </w:rPr>
                          <w:t xml:space="preserve">Dolnośląskiego </w:t>
                        </w:r>
                      </w:p>
                    </w:txbxContent>
                  </v:textbox>
                </v:shape>
                <v:rect id="Prostokąt 92" o:spid="_x0000_s1038" style="position:absolute;left:15716;top:11429;width:65681;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jQMcA&#10;AADbAAAADwAAAGRycy9kb3ducmV2LnhtbESPS2sCQRCE70L+w9ABL6KzPojJxlF8IOQgEh+HHDs7&#10;nZ3FnZ5lZ9T13ztCwGNRVV9Rk1ljS3Gh2heOFfR7CQjizOmCcwXHw7r7DsIHZI2lY1JwIw+z6Utr&#10;gql2V97RZR9yESHsU1RgQqhSKX1myKLvuYo4en+uthiirHOpa7xGuC3lIEnepMWC44LBipaGstP+&#10;bBX8fm/Gi1XHFMefLfY3o+F2dVt2lGq/NvNPEIGa8Az/t7+0go8BPL7EH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I0DHAAAA2wAAAA8AAAAAAAAAAAAAAAAAmAIAAGRy&#10;cy9kb3ducmV2LnhtbFBLBQYAAAAABAAEAPUAAACMAwAAAAA=&#10;" fillcolor="#010000 [37]" strokecolor="#ed7d31 [3205]" strokeweight=".5pt">
                  <v:fill color2="#ec7a2d [3173]" rotate="t" colors="0 #f18c55;.5 #f67b28;1 #e56b17" focus="100%" type="gradient">
                    <o:fill v:ext="view" type="gradientUnscaled"/>
                  </v:fill>
                  <v:textbox>
                    <w:txbxContent>
                      <w:p w:rsidR="00960314" w:rsidRDefault="00960314" w:rsidP="001A123D">
                        <w:pPr>
                          <w:pStyle w:val="NormalnyWeb"/>
                          <w:spacing w:before="0" w:beforeAutospacing="0" w:after="0"/>
                          <w:jc w:val="center"/>
                        </w:pPr>
                        <w:r>
                          <w:rPr>
                            <w:rFonts w:asciiTheme="minorHAnsi" w:hAnsi="Calibri" w:cstheme="minorBidi"/>
                            <w:b/>
                            <w:bCs/>
                            <w:color w:val="FFFFFF" w:themeColor="light1"/>
                            <w:kern w:val="24"/>
                            <w:sz w:val="28"/>
                            <w:szCs w:val="28"/>
                          </w:rPr>
                          <w:t xml:space="preserve">Długookresowa Strategia Rozwoju Kraju – Polska 2030 </w:t>
                        </w:r>
                      </w:p>
                    </w:txbxContent>
                  </v:textbox>
                </v:rect>
                <v:rect id="Prostokąt 93" o:spid="_x0000_s1039" style="position:absolute;left:15884;top:20716;width:65513;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G28cA&#10;AADbAAAADwAAAGRycy9kb3ducmV2LnhtbESPT2vCQBTE74LfYXlCL6Ibq2ibZpVWKfQg4r9Dj6/Z&#10;12xo9m3Ibk389l2h4HGYmd8w2aqzlbhQ40vHCibjBARx7nTJhYLz6X30BMIHZI2VY1JwJQ+rZb+X&#10;Yapdywe6HEMhIoR9igpMCHUqpc8NWfRjVxNH79s1FkOUTSF1g22E20o+JslcWiw5LhisaW0o/zn+&#10;WgVf++3ibTM05flzh5PtbLrbXNdDpR4G3esLiEBduIf/2x9awfMUbl/iD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ShtvHAAAA2wAAAA8AAAAAAAAAAAAAAAAAmAIAAGRy&#10;cy9kb3ducmV2LnhtbFBLBQYAAAAABAAEAPUAAACMAwAAAAA=&#10;" fillcolor="#010000 [37]" strokecolor="#ed7d31 [3205]" strokeweight=".5pt">
                  <v:fill color2="#ec7a2d [3173]" rotate="t" colors="0 #f18c55;.5 #f67b28;1 #e56b17" focus="100%" type="gradient">
                    <o:fill v:ext="view" type="gradientUnscaled"/>
                  </v:fill>
                  <v:textbox>
                    <w:txbxContent>
                      <w:p w:rsidR="00960314" w:rsidRDefault="00960314" w:rsidP="001A123D">
                        <w:pPr>
                          <w:pStyle w:val="NormalnyWeb"/>
                          <w:spacing w:before="0" w:beforeAutospacing="0" w:after="0"/>
                          <w:jc w:val="center"/>
                        </w:pPr>
                        <w:r w:rsidRPr="00CD167A">
                          <w:rPr>
                            <w:rFonts w:asciiTheme="minorHAnsi" w:hAnsi="Calibri" w:cstheme="minorBidi"/>
                            <w:b/>
                            <w:bCs/>
                            <w:color w:val="FFFFFF" w:themeColor="light1"/>
                            <w:kern w:val="24"/>
                            <w:szCs w:val="28"/>
                          </w:rPr>
                          <w:t xml:space="preserve">Średniookresowa Strategia Rozwoju Kraju do roku </w:t>
                        </w:r>
                        <w:r>
                          <w:rPr>
                            <w:rFonts w:asciiTheme="minorHAnsi" w:hAnsi="Calibri" w:cstheme="minorBidi"/>
                            <w:b/>
                            <w:bCs/>
                            <w:color w:val="FFFFFF" w:themeColor="light1"/>
                            <w:kern w:val="24"/>
                            <w:sz w:val="28"/>
                            <w:szCs w:val="28"/>
                          </w:rPr>
                          <w:t xml:space="preserve">2020 </w:t>
                        </w:r>
                      </w:p>
                    </w:txbxContent>
                  </v:textbox>
                </v:rect>
                <v:rect id="Prostokąt 94" o:spid="_x0000_s1040" style="position:absolute;left:16430;top:29285;width:635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hl8QA&#10;AADbAAAADwAAAGRycy9kb3ducmV2LnhtbESPQUsDMRSE74L/ITzBW5vdoqLbpkWEQgURbaV7fWye&#10;m8XNS5rE7vbfN0LB4zAz3zCL1Wh7caQQO8cKymkBgrhxuuNWwdduPXkEEROyxt4xKThRhNXy+mqB&#10;lXYDf9Jxm1qRIRwrVGBS8pWUsTFkMU6dJ87etwsWU5ahlTrgkOG2l7OieJAWO84LBj29GGp+tr9W&#10;QR3L8r3+CLvXg7HD/q3z3tT3St3ejM9zEInG9B++tDdawdMd/H3JP0A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4ZfEAAAA2wAAAA8AAAAAAAAAAAAAAAAAmAIAAGRycy9k&#10;b3ducmV2LnhtbFBLBQYAAAAABAAEAPUAAACJAwAAAAA=&#10;" fillcolor="#190b02 [325]" strokecolor="#ed7d31 [3205]" strokeweight=".5pt">
                  <v:fill color2="#0c0501 [165]" rotate="t" colors="0 #f7bda4;.5 #f5b195;1 #f8a581" focus="100%" type="gradient">
                    <o:fill v:ext="view" type="gradientUnscaled"/>
                  </v:fill>
                  <v:textbox>
                    <w:txbxContent>
                      <w:p w:rsidR="00960314" w:rsidRPr="00CD167A" w:rsidRDefault="00960314" w:rsidP="001A123D">
                        <w:pPr>
                          <w:pStyle w:val="NormalnyWeb"/>
                          <w:spacing w:before="0" w:beforeAutospacing="0" w:after="0"/>
                          <w:jc w:val="center"/>
                          <w:rPr>
                            <w:sz w:val="22"/>
                          </w:rPr>
                        </w:pPr>
                        <w:r w:rsidRPr="00CD167A">
                          <w:rPr>
                            <w:rFonts w:asciiTheme="minorHAnsi" w:hAnsi="Calibri" w:cstheme="minorBidi"/>
                            <w:b/>
                            <w:bCs/>
                            <w:color w:val="000000" w:themeColor="dark1"/>
                            <w:kern w:val="24"/>
                            <w:szCs w:val="28"/>
                          </w:rPr>
                          <w:t xml:space="preserve">Krajowa Strategia Rozwoju Regionalnego 2010 - 2020 </w:t>
                        </w:r>
                      </w:p>
                    </w:txbxContent>
                  </v:textbox>
                </v:rect>
                <v:shape id="_x0000_s1041" type="#_x0000_t202" style="position:absolute;left:17142;top:51857;width:56170;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mE8UA&#10;AADbAAAADwAAAGRycy9kb3ducmV2LnhtbESPT2sCMRTE70K/Q3gFb5q1oLSrUaxgET1IrYLeHpu3&#10;f3Dzsk3iun77plDocZiZ3zCzRWdq0ZLzlWUFo2ECgjizuuJCwfFrPXgF4QOyxtoyKXiQh8X8qTfD&#10;VNs7f1J7CIWIEPYpKihDaFIpfVaSQT+0DXH0cusMhihdIbXDe4SbWr4kyUQarDgulNjQqqTsergZ&#10;Bfv8tt1+t6cV78+X9ce729Ej3ynVf+6WUxCBuvAf/mtvtIK3M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2YTxQAAANsAAAAPAAAAAAAAAAAAAAAAAJgCAABkcnMv&#10;ZG93bnJldi54bWxQSwUGAAAAAAQABAD1AAAAigMAAAAA&#10;" fillcolor="#010101 [38]" strokecolor="#a5a5a5 [3206]" strokeweight=".5pt">
                  <v:fill color2="#a3a3a3 [3174]" rotate="t" colors="0 #afafaf;.5 #a5a5a5;1 #929292" focus="100%" type="gradient">
                    <o:fill v:ext="view" type="gradientUnscaled"/>
                  </v:fill>
                  <v:textbox>
                    <w:txbxContent>
                      <w:p w:rsidR="00960314" w:rsidRPr="00CD167A" w:rsidRDefault="00960314" w:rsidP="001A123D">
                        <w:pPr>
                          <w:pStyle w:val="NormalnyWeb"/>
                          <w:spacing w:before="0" w:beforeAutospacing="0" w:after="0"/>
                          <w:rPr>
                            <w:sz w:val="20"/>
                          </w:rPr>
                        </w:pPr>
                        <w:r w:rsidRPr="00CD167A">
                          <w:rPr>
                            <w:rFonts w:asciiTheme="minorHAnsi" w:hAnsi="Calibri" w:cstheme="minorBidi"/>
                            <w:b/>
                            <w:bCs/>
                            <w:color w:val="000000" w:themeColor="text1"/>
                            <w:kern w:val="24"/>
                            <w:sz w:val="22"/>
                            <w:szCs w:val="28"/>
                          </w:rPr>
                          <w:t>Studium Uwarunkowań i Kierunków Zagospodarowania Przestrzennego Miasta Legnicy</w:t>
                        </w:r>
                      </w:p>
                    </w:txbxContent>
                  </v:textbox>
                </v:shape>
                <v:shape id="pole tekstowe 19" o:spid="_x0000_s1042" type="#_x0000_t202" style="position:absolute;left:17142;top:61870;width:56170;height:9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8W8QA&#10;AADbAAAADwAAAGRycy9kb3ducmV2LnhtbESPX2vCMBTF3wW/Q7iCb5rOh6KdUUQYE0Rlbiq+XZrb&#10;pqy5KU3U7tsvA2GPh/Pnx5kvO1uLO7W+cqzgZZyAIM6drrhU8PX5NpqC8AFZY+2YFPyQh+Wi35tj&#10;pt2DP+h+DKWII+wzVGBCaDIpfW7Ioh+7hjh6hWsthijbUuoWH3Hc1nKSJKm0WHEkGGxobSj/Pt5s&#10;hBzCuy/W24LTg7lMd6f96Xq+KTUcdKtXEIG68B9+tjdawSy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vFvEAAAA2wAAAA8AAAAAAAAAAAAAAAAAmAIAAGRycy9k&#10;b3ducmV2LnhtbFBLBQYAAAAABAAEAPUAAACJAwAAAAA=&#10;" fillcolor="#000001 [40]" strokecolor="#4472c4 [3208]" strokeweight=".5pt">
                  <v:fill color2="#416fc3 [3176]" rotate="t" colors="0 #6083cb;.5 #3e70ca;1 #2e61ba" focus="100%" type="gradient">
                    <o:fill v:ext="view" type="gradientUnscaled"/>
                  </v:fill>
                  <v:textbox>
                    <w:txbxContent>
                      <w:p w:rsidR="00960314" w:rsidRPr="00CD167A" w:rsidRDefault="00960314" w:rsidP="00136A51">
                        <w:pPr>
                          <w:pStyle w:val="NormalnyWeb"/>
                          <w:spacing w:before="0" w:beforeAutospacing="0" w:after="0"/>
                          <w:jc w:val="center"/>
                          <w:rPr>
                            <w:sz w:val="18"/>
                          </w:rPr>
                        </w:pPr>
                        <w:r w:rsidRPr="00CD167A">
                          <w:rPr>
                            <w:rFonts w:asciiTheme="minorHAnsi" w:hAnsi="Calibri" w:cstheme="minorBidi"/>
                            <w:b/>
                            <w:bCs/>
                            <w:color w:val="F2F2F2" w:themeColor="background1" w:themeShade="F2"/>
                            <w:kern w:val="24"/>
                            <w:sz w:val="36"/>
                            <w:szCs w:val="48"/>
                          </w:rPr>
                          <w:t>Strategia Rozwoju Mi</w:t>
                        </w:r>
                        <w:r>
                          <w:rPr>
                            <w:rFonts w:asciiTheme="minorHAnsi" w:hAnsi="Calibri" w:cstheme="minorBidi"/>
                            <w:b/>
                            <w:bCs/>
                            <w:color w:val="F2F2F2" w:themeColor="background1" w:themeShade="F2"/>
                            <w:kern w:val="24"/>
                            <w:sz w:val="36"/>
                            <w:szCs w:val="48"/>
                          </w:rPr>
                          <w:t>asta Legnicy na lata 2015-2020 PLUS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7" o:spid="_x0000_s1043" type="#_x0000_t67" style="position:absolute;left:40004;top:7143;width:15717;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AI8MA&#10;AADbAAAADwAAAGRycy9kb3ducmV2LnhtbESPQWvCQBSE74L/YXlCb3U3Cq1N3QQRlB6rhtLjI/ua&#10;pGbfxuyqaX+9Wyh4HGbmG2aZD7YVF+p941hDMlUgiEtnGq40FIfN4wKED8gGW8ek4Yc85Nl4tMTU&#10;uCvv6LIPlYgQ9ilqqEPoUil9WZNFP3UdcfS+XG8xRNlX0vR4jXDbyplST9Jiw3Ghxo7WNZXH/dlq&#10;+G1kqez7R1Cf89P3NmmLZM6F1g+TYfUKItAQ7uH/9pvR8PIM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AI8MAAADbAAAADwAAAAAAAAAAAAAAAACYAgAAZHJzL2Rv&#10;d25yZXYueG1sUEsFBgAAAAAEAAQA9QAAAIgDAAAAAA==&#10;" adj="10800" fillcolor="#5b9bd5 [3204]" strokecolor="#1f4d78 [1604]" strokeweight="1pt"/>
                <v:shape id="Strzałka w dół 98" o:spid="_x0000_s1044" type="#_x0000_t67" style="position:absolute;left:34289;top:17144;width:16431;height:2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UUb8A&#10;AADbAAAADwAAAGRycy9kb3ducmV2LnhtbERPTYvCMBC9L/gfwgje1qQKsluNIoLi0XXL4nFoxrba&#10;TGoTte6vNwfB4+N9zxadrcWNWl851pAMFQji3JmKCw3Z7/rzC4QPyAZrx6ThQR4W897HDFPj7vxD&#10;t30oRAxhn6KGMoQmldLnJVn0Q9cQR+7oWoshwraQpsV7DLe1HCk1kRYrjg0lNrQqKT/vr1bDfyVz&#10;ZXd/QR3Gl9MmqbNkzJnWg363nIII1IW3+OXeGg3fcWz8En+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dRRvwAAANsAAAAPAAAAAAAAAAAAAAAAAJgCAABkcnMvZG93bnJl&#10;di54bWxQSwUGAAAAAAQABAD1AAAAhAMAAAAA&#10;" adj="10800" fillcolor="#5b9bd5 [3204]" strokecolor="#1f4d78 [1604]" strokeweight="1pt"/>
                <v:shape id="Strzałka w dół 99" o:spid="_x0000_s1045" type="#_x0000_t67" style="position:absolute;left:34289;top:26431;width:16431;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xysMA&#10;AADbAAAADwAAAGRycy9kb3ducmV2LnhtbESPQWvCQBSE74L/YXlCb7qbCsVEV5FCS49Vg3h8ZJ9J&#10;NPs2zW419dd3BcHjMDPfMItVbxtxoc7XjjUkEwWCuHCm5lJDvvsYz0D4gGywcUwa/sjDajkcLDAz&#10;7sobumxDKSKEfYYaqhDaTEpfVGTRT1xLHL2j6yyGKLtSmg6vEW4b+arUm7RYc1yosKX3iorz9tdq&#10;uNWyUPZ7H9Rh+nP6TJo8mXKu9cuoX89BBOrDM/xofxkNaQr3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xysMAAADbAAAADwAAAAAAAAAAAAAAAACYAgAAZHJzL2Rv&#10;d25yZXYueG1sUEsFBgAAAAAEAAQA9QAAAIgDAAAAAA==&#10;" adj="10800" fillcolor="#5b9bd5 [3204]" strokecolor="#1f4d78 [1604]" strokeweight="1pt"/>
                <v:shape id="Strzałka w dół 100" o:spid="_x0000_s1046" type="#_x0000_t67" style="position:absolute;left:22145;top:34290;width:928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q8cMA&#10;AADcAAAADwAAAGRycy9kb3ducmV2LnhtbESPQWvCQBCF7wX/wzKCt7qbCqVEVxGhxaO1QTwO2TGJ&#10;Zmdjdquxv75zKPQ2w3vz3jeL1eBbdaM+NoEtZFMDirgMruHKQvH1/vwGKiZkh21gsvCgCKvl6GmB&#10;uQt3/qTbPlVKQjjmaKFOqcu1jmVNHuM0dMSinULvMcnaV9r1eJdw3+oXY161x4alocaONjWVl/23&#10;t/DT6NL43SGZ4+x6/sjaIptxYe1kPKznoBIN6d/8d711gm8EX5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Xq8cMAAADcAAAADwAAAAAAAAAAAAAAAACYAgAAZHJzL2Rv&#10;d25yZXYueG1sUEsFBgAAAAAEAAQA9QAAAIgDAAAAAA==&#10;" adj="10800" fillcolor="#5b9bd5 [3204]" strokecolor="#1f4d78 [1604]" strokeweight="1pt"/>
                <v:shape id="Strzałka w dół 101" o:spid="_x0000_s1047" type="#_x0000_t67" style="position:absolute;left:53578;top:34290;width:928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PasAA&#10;AADcAAAADwAAAGRycy9kb3ducmV2LnhtbERPS4vCMBC+L/gfwgje1qQryFKNIoKLRx9FPA7N2Fab&#10;SW2i1v31G0HY23x8z5nOO1uLO7W+cqwhGSoQxLkzFRcasv3q8xuED8gGa8ek4Uke5rPexxRT4x68&#10;pfsuFCKGsE9RQxlCk0rp85Is+qFriCN3cq3FEGFbSNPiI4bbWn4pNZYWK44NJTa0LCm/7G5Ww28l&#10;c2U3h6COo+v5J6mzZMSZ1oN+t5iACNSFf/HbvTZxvkrg9Uy8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lPasAAAADcAAAADwAAAAAAAAAAAAAAAACYAgAAZHJzL2Rvd25y&#10;ZXYueG1sUEsFBgAAAAAEAAQA9QAAAIUDAAAAAA==&#10;" adj="10800" fillcolor="#5b9bd5 [3204]" strokecolor="#1f4d78 [1604]" strokeweight="1pt"/>
                <v:shape id="Strzałka w dół 102" o:spid="_x0000_s1048" type="#_x0000_t67" style="position:absolute;left:54292;top:49191;width:928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RHcAA&#10;AADcAAAADwAAAGRycy9kb3ducmV2LnhtbERPS4vCMBC+C/6HMII3TaogSzXKIuzi0UcRj0Mz23a3&#10;mdQmavXXG0HY23x8z1msOluLK7W+cqwhGSsQxLkzFRcassPX6AOED8gGa8ek4U4eVst+b4GpcTfe&#10;0XUfChFD2KeooQyhSaX0eUkW/dg1xJH7ca3FEGFbSNPiLYbbWk6UmkmLFceGEhtal5T/7S9Ww6OS&#10;ubLbY1Cn6fn3O6mzZMqZ1sNB9zkHEagL/+K3e2PifDWB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vRHcAAAADcAAAADwAAAAAAAAAAAAAAAACYAgAAZHJzL2Rvd25y&#10;ZXYueG1sUEsFBgAAAAAEAAQA9QAAAIUDAAAAAA==&#10;" adj="10800" fillcolor="#5b9bd5 [3204]" strokecolor="#1f4d78 [1604]" strokeweight="1pt"/>
                <v:shape id="Strzałka w dół 103" o:spid="_x0000_s1049" type="#_x0000_t67" style="position:absolute;left:22145;top:49191;width:928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0hsEA&#10;AADcAAAADwAAAGRycy9kb3ducmV2LnhtbERPTWvCQBC9C/6HZYTezG4MFEldRQTFY2uDeByy0yRt&#10;djZmV0399W6h4G0e73MWq8G24kq9bxxrSBMFgrh0puFKQ/G5nc5B+IBssHVMGn7Jw2o5Hi0wN+7G&#10;H3Q9hErEEPY5aqhD6HIpfVmTRZ+4jjhyX663GCLsK2l6vMVw28qZUq/SYsOxocaONjWVP4eL1XBv&#10;ZKns+zGoU3b+3qVtkWZcaP0yGdZvIAIN4Sn+d+9NnK8y+Hs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dIbBAAAA3AAAAA8AAAAAAAAAAAAAAAAAmAIAAGRycy9kb3du&#10;cmV2LnhtbFBLBQYAAAAABAAEAPUAAACGAwAAAAA=&#10;" adj="10800" fillcolor="#5b9bd5 [3204]" strokecolor="#1f4d78 [1604]" strokeweight="1pt"/>
                <v:shape id="Strzałka w dół 104" o:spid="_x0000_s1050" type="#_x0000_t67" style="position:absolute;left:34289;top:58593;width:15717;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s8sEA&#10;AADcAAAADwAAAGRycy9kb3ducmV2LnhtbERPTWvCQBC9F/oflin01uxGpUh0lSJYelQbxOOQHZPY&#10;7GzMbjX6611B8DaP9znTeW8bcaLO1441pIkCQVw4U3OpIf9dfoxB+IBssHFMGi7kYT57fZliZtyZ&#10;13TahFLEEPYZaqhCaDMpfVGRRZ+4ljhye9dZDBF2pTQdnmO4beRAqU9psebYUGFLi4qKv82/1XCt&#10;ZaHsahvUbng8fKdNng451/r9rf+agAjUh6f44f4xcb4awf2ZeIG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u7PLBAAAA3AAAAA8AAAAAAAAAAAAAAAAAmAIAAGRycy9kb3du&#10;cmV2LnhtbFBLBQYAAAAABAAEAPUAAACGAwAAAAA=&#10;" adj="10800" fillcolor="#5b9bd5 [3204]" strokecolor="#1f4d78 [1604]" strokeweight="1pt"/>
                <v:shape id="pole tekstowe 29" o:spid="_x0000_s1051" type="#_x0000_t202" style="position:absolute;left:83706;top:33571;width:14995;height:3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TcQA&#10;AADcAAAADwAAAGRycy9kb3ducmV2LnhtbERPS2vCQBC+C/0PyxS8BLPRokjqGkqhVOqhVAWv0+yY&#10;h9nZmF1N/PfdQqG3+fies8oG04gbda6yrGAaJyCIc6srLhQc9m+TJQjnkTU2lknBnRxk64fRClNt&#10;e/6i284XIoSwS1FB6X2bSunykgy62LbEgTvZzqAPsCuk7rAP4aaRsyRZSIMVh4YSW3otKT/vrkZB&#10;X0ffw/YY1ZdCP32+X6ZR87G5KjV+HF6eQXga/L/4z73RYX4yh9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03EAAAA3AAAAA8AAAAAAAAAAAAAAAAAmAIAAGRycy9k&#10;b3ducmV2LnhtbFBLBQYAAAAABAAEAPUAAACJAwAAAAA=&#10;" fillcolor="#5b9bd5 [3204]" strokecolor="white [3201]" strokeweight="1.5pt">
                  <v:textbox style="layout-flow:vertical">
                    <w:txbxContent>
                      <w:p w:rsidR="00960314" w:rsidRDefault="00960314" w:rsidP="001A123D">
                        <w:pPr>
                          <w:pStyle w:val="NormalnyWeb"/>
                          <w:spacing w:before="0" w:beforeAutospacing="0" w:after="0"/>
                          <w:jc w:val="center"/>
                        </w:pPr>
                        <w:r>
                          <w:rPr>
                            <w:rFonts w:asciiTheme="minorHAnsi" w:hAnsi="Calibri" w:cstheme="minorBidi"/>
                            <w:color w:val="FFFFFF" w:themeColor="light1"/>
                            <w:kern w:val="24"/>
                            <w:sz w:val="32"/>
                            <w:szCs w:val="32"/>
                          </w:rPr>
                          <w:t>Regionalny Program Operacyjny Województwa Dolnośląskiego na lata 2014-2020</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06" o:spid="_x0000_s1052" type="#_x0000_t66" style="position:absolute;left:75009;top:37147;width:2858;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RRMMA&#10;AADcAAAADwAAAGRycy9kb3ducmV2LnhtbERPzWrCQBC+C77DMoVepG5aMJY0G7GFgl4UYx9gmp1m&#10;Q7OzaXbV1Kd3BcHbfHy/ky8G24oj9b5xrOB5moAgrpxuuFbwtf98egXhA7LG1jEp+CcPi2I8yjHT&#10;7sQ7OpahFjGEfYYKTAhdJqWvDFn0U9cRR+7H9RZDhH0tdY+nGG5b+ZIkqbTYcGww2NGHoeq3PFgF&#10;UqfvZrPuJuH8fZjp/d98VW3nSj0+DMs3EIGGcBff3Csd5ycpXJ+JF8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RRMMAAADcAAAADwAAAAAAAAAAAAAAAACYAgAAZHJzL2Rv&#10;d25yZXYueG1sUEsFBgAAAAAEAAQA9QAAAIgDAAAAAA==&#10;" adj="10800" fillcolor="#5b9bd5 [3204]" strokecolor="#1f4d78 [1604]" strokeweight="1pt"/>
                <v:shape id="Strzałka w lewo 107" o:spid="_x0000_s1053" type="#_x0000_t66" style="position:absolute;left:75009;top:57150;width:2858;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038MA&#10;AADcAAAADwAAAGRycy9kb3ducmV2LnhtbERPzWrCQBC+F3yHZQpeSt1Y0JQ0G7FCQS8VYx9gmp1m&#10;Q7OzaXbV6NO7BcHbfHy/ky8G24oj9b5xrGA6SUAQV043XCv42n88v4LwAVlj65gUnMnDohg95Jhp&#10;d+IdHctQixjCPkMFJoQuk9JXhiz6ieuII/fjeoshwr6WusdTDLetfEmSubTYcGww2NHKUPVbHqwC&#10;qefv5nPTPYXL92Gm93/putqmSo0fh+UbiEBDuItv7rWO85MU/p+JF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038MAAADcAAAADwAAAAAAAAAAAAAAAACYAgAAZHJzL2Rv&#10;d25yZXYueG1sUEsFBgAAAAAEAAQA9QAAAIgDAAAAAA==&#10;" adj="10800" fillcolor="#5b9bd5 [3204]" strokecolor="#1f4d78 [1604]" strokeweight="1pt"/>
                <v:shape id="Strzałka w lewo 108" o:spid="_x0000_s1054" type="#_x0000_t66" style="position:absolute;left:75009;top:47148;width:2858;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grcYA&#10;AADcAAAADwAAAGRycy9kb3ducmV2LnhtbESPQWvCQBCF7wX/wzKCl1I3FaoluootFPRSaewPGLPT&#10;bGh2NmZXjf31nYPgbYb35r1vFqveN+pMXawDG3geZ6CIy2Brrgx87z+eXkHFhGyxCUwGrhRhtRw8&#10;LDC34cJfdC5SpSSEY44GXEptrnUsHXmM49ASi/YTOo9J1q7StsOLhPtGT7Jsqj3WLA0OW3p3VP4W&#10;J29A2+mb+9y2j+nvcHqx++NsU+5mxoyG/XoOKlGf7ubb9cYKfia0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grcYAAADcAAAADwAAAAAAAAAAAAAAAACYAgAAZHJz&#10;L2Rvd25yZXYueG1sUEsFBgAAAAAEAAQA9QAAAIsDAAAAAA==&#10;" adj="10800" fillcolor="#5b9bd5 [3204]" strokecolor="#1f4d78 [1604]" strokeweight="1pt"/>
                <w10:anchorlock/>
              </v:group>
            </w:pict>
          </mc:Fallback>
        </mc:AlternateContent>
      </w:r>
    </w:p>
    <w:p w:rsidR="00A370FF" w:rsidRPr="002E2D3F" w:rsidRDefault="00A370FF" w:rsidP="00FD7676">
      <w:pPr>
        <w:autoSpaceDE w:val="0"/>
        <w:autoSpaceDN w:val="0"/>
        <w:adjustRightInd w:val="0"/>
        <w:ind w:left="284" w:hanging="284"/>
        <w:rPr>
          <w:rFonts w:asciiTheme="minorHAnsi" w:hAnsiTheme="minorHAnsi" w:cs="TimesNewRomanPSMT"/>
          <w:sz w:val="20"/>
        </w:rPr>
      </w:pPr>
      <w:r w:rsidRPr="002E2D3F">
        <w:rPr>
          <w:rFonts w:asciiTheme="minorHAnsi" w:hAnsiTheme="minorHAnsi" w:cs="TimesNewRomanPSMT"/>
          <w:sz w:val="20"/>
        </w:rPr>
        <w:t>Źródło: Opracowanie własne</w:t>
      </w:r>
      <w:r w:rsidR="008B3862">
        <w:rPr>
          <w:rFonts w:asciiTheme="minorHAnsi" w:hAnsiTheme="minorHAnsi" w:cs="TimesNewRomanPSMT"/>
          <w:sz w:val="20"/>
        </w:rPr>
        <w:t>.</w:t>
      </w:r>
    </w:p>
    <w:p w:rsidR="00A370FF" w:rsidRPr="00EC5484" w:rsidRDefault="00A370FF" w:rsidP="00EC5484">
      <w:pPr>
        <w:pStyle w:val="Nagwek3"/>
      </w:pPr>
      <w:bookmarkStart w:id="4" w:name="_Toc399756293"/>
      <w:r w:rsidRPr="00EC5484">
        <w:t>Strategia Unii Europejskiej - Europa 2020</w:t>
      </w:r>
      <w:bookmarkEnd w:id="4"/>
    </w:p>
    <w:p w:rsidR="00A370FF" w:rsidRPr="00563EF2" w:rsidRDefault="00A370FF" w:rsidP="00FD7676">
      <w:pPr>
        <w:rPr>
          <w:rFonts w:asciiTheme="minorHAnsi" w:hAnsiTheme="minorHAnsi"/>
          <w:b/>
          <w:sz w:val="22"/>
        </w:rPr>
      </w:pPr>
    </w:p>
    <w:p w:rsidR="00A370FF" w:rsidRPr="00563EF2" w:rsidRDefault="00A370FF" w:rsidP="00FD7676">
      <w:pPr>
        <w:rPr>
          <w:rFonts w:asciiTheme="minorHAnsi" w:hAnsiTheme="minorHAnsi"/>
          <w:sz w:val="22"/>
          <w:shd w:val="clear" w:color="auto" w:fill="FFFFFF"/>
        </w:rPr>
      </w:pPr>
      <w:r w:rsidRPr="00563EF2">
        <w:rPr>
          <w:rFonts w:asciiTheme="minorHAnsi" w:hAnsiTheme="minorHAnsi"/>
          <w:i/>
          <w:sz w:val="22"/>
        </w:rPr>
        <w:t xml:space="preserve">Strategia Europa 2020 </w:t>
      </w:r>
      <w:r w:rsidRPr="00563EF2">
        <w:rPr>
          <w:rFonts w:asciiTheme="minorHAnsi" w:hAnsiTheme="minorHAnsi"/>
          <w:sz w:val="22"/>
          <w:shd w:val="clear" w:color="auto" w:fill="FFFFFF"/>
        </w:rPr>
        <w:t xml:space="preserve">stanowi reakcję państw członkowskich na postępujące zmiany społeczno – gospodarcze, szczególnie odczuwalne w dobie kryzysu gospodarczego w Europie. Celem strategii </w:t>
      </w:r>
      <w:r w:rsidRPr="00563EF2">
        <w:rPr>
          <w:rFonts w:asciiTheme="minorHAnsi" w:hAnsiTheme="minorHAnsi"/>
          <w:i/>
          <w:sz w:val="22"/>
          <w:shd w:val="clear" w:color="auto" w:fill="FFFFFF"/>
        </w:rPr>
        <w:t>Europa 2020</w:t>
      </w:r>
      <w:r w:rsidRPr="00563EF2">
        <w:rPr>
          <w:rFonts w:asciiTheme="minorHAnsi" w:hAnsiTheme="minorHAnsi"/>
          <w:sz w:val="22"/>
          <w:shd w:val="clear" w:color="auto" w:fill="FFFFFF"/>
        </w:rPr>
        <w:t xml:space="preserve"> jest poprawa konkurenc</w:t>
      </w:r>
      <w:r w:rsidR="000B06A6">
        <w:rPr>
          <w:rFonts w:asciiTheme="minorHAnsi" w:hAnsiTheme="minorHAnsi"/>
          <w:sz w:val="22"/>
          <w:shd w:val="clear" w:color="auto" w:fill="FFFFFF"/>
        </w:rPr>
        <w:t>y</w:t>
      </w:r>
      <w:r w:rsidRPr="00563EF2">
        <w:rPr>
          <w:rFonts w:asciiTheme="minorHAnsi" w:hAnsiTheme="minorHAnsi"/>
          <w:sz w:val="22"/>
          <w:shd w:val="clear" w:color="auto" w:fill="FFFFFF"/>
        </w:rPr>
        <w:t>j</w:t>
      </w:r>
      <w:r w:rsidR="000B06A6">
        <w:rPr>
          <w:rFonts w:asciiTheme="minorHAnsi" w:hAnsiTheme="minorHAnsi"/>
          <w:sz w:val="22"/>
          <w:shd w:val="clear" w:color="auto" w:fill="FFFFFF"/>
        </w:rPr>
        <w:t>nośc</w:t>
      </w:r>
      <w:r w:rsidRPr="00563EF2">
        <w:rPr>
          <w:rFonts w:asciiTheme="minorHAnsi" w:hAnsiTheme="minorHAnsi"/>
          <w:sz w:val="22"/>
          <w:shd w:val="clear" w:color="auto" w:fill="FFFFFF"/>
        </w:rPr>
        <w:t>i Europy w wymiarze gospodarczym, społecznym, przest</w:t>
      </w:r>
      <w:r w:rsidR="000666F3">
        <w:rPr>
          <w:rFonts w:asciiTheme="minorHAnsi" w:hAnsiTheme="minorHAnsi"/>
          <w:sz w:val="22"/>
          <w:shd w:val="clear" w:color="auto" w:fill="FFFFFF"/>
        </w:rPr>
        <w:t>rzennym przy jednoczesnej</w:t>
      </w:r>
      <w:r w:rsidRPr="00563EF2">
        <w:rPr>
          <w:rFonts w:asciiTheme="minorHAnsi" w:hAnsiTheme="minorHAnsi"/>
          <w:sz w:val="22"/>
          <w:shd w:val="clear" w:color="auto" w:fill="FFFFFF"/>
        </w:rPr>
        <w:t xml:space="preserve"> poprawie standardów życia jej mieszkańców. </w:t>
      </w:r>
    </w:p>
    <w:p w:rsidR="00A370FF" w:rsidRPr="00563EF2" w:rsidRDefault="00A370FF" w:rsidP="00FD7676">
      <w:pPr>
        <w:rPr>
          <w:rFonts w:asciiTheme="minorHAnsi" w:hAnsiTheme="minorHAnsi"/>
          <w:sz w:val="22"/>
          <w:shd w:val="clear" w:color="auto" w:fill="FFFFFF"/>
        </w:rPr>
      </w:pPr>
    </w:p>
    <w:p w:rsidR="00A370FF" w:rsidRPr="00563EF2" w:rsidRDefault="00A370FF" w:rsidP="00FD7676">
      <w:pPr>
        <w:autoSpaceDE w:val="0"/>
        <w:autoSpaceDN w:val="0"/>
        <w:adjustRightInd w:val="0"/>
        <w:rPr>
          <w:rFonts w:asciiTheme="minorHAnsi" w:hAnsiTheme="minorHAnsi" w:cs="TimesNewRoman"/>
          <w:sz w:val="22"/>
        </w:rPr>
      </w:pPr>
      <w:r w:rsidRPr="00563EF2">
        <w:rPr>
          <w:rFonts w:asciiTheme="minorHAnsi" w:hAnsiTheme="minorHAnsi"/>
          <w:i/>
          <w:sz w:val="22"/>
          <w:shd w:val="clear" w:color="auto" w:fill="FFFFFF"/>
        </w:rPr>
        <w:t>Strategia Europa 2020</w:t>
      </w:r>
      <w:r w:rsidRPr="00563EF2">
        <w:rPr>
          <w:rFonts w:asciiTheme="minorHAnsi" w:hAnsiTheme="minorHAnsi"/>
          <w:sz w:val="22"/>
          <w:shd w:val="clear" w:color="auto" w:fill="FFFFFF"/>
        </w:rPr>
        <w:t xml:space="preserve"> obejmuje trzy wzajemnie powiązane ze s</w:t>
      </w:r>
      <w:r w:rsidR="000666F3">
        <w:rPr>
          <w:rFonts w:asciiTheme="minorHAnsi" w:hAnsiTheme="minorHAnsi"/>
          <w:sz w:val="22"/>
          <w:shd w:val="clear" w:color="auto" w:fill="FFFFFF"/>
        </w:rPr>
        <w:t>obą priorytety rozwoju w ramach</w:t>
      </w:r>
      <w:r w:rsidRPr="00563EF2">
        <w:rPr>
          <w:rFonts w:asciiTheme="minorHAnsi" w:hAnsiTheme="minorHAnsi"/>
          <w:sz w:val="22"/>
          <w:shd w:val="clear" w:color="auto" w:fill="FFFFFF"/>
        </w:rPr>
        <w:t xml:space="preserve"> których instrumentami w zakresie realizacji celów są opracowywane przez państwa członkowskie Krajowe Programy Reform oraz przygotowane przez Komisję Europejsk</w:t>
      </w:r>
      <w:r w:rsidR="00B6583F">
        <w:rPr>
          <w:rFonts w:asciiTheme="minorHAnsi" w:hAnsiTheme="minorHAnsi"/>
          <w:sz w:val="22"/>
          <w:shd w:val="clear" w:color="auto" w:fill="FFFFFF"/>
        </w:rPr>
        <w:t>ą 7 inicjatyw przewodnich (ang. </w:t>
      </w:r>
      <w:r w:rsidRPr="00563EF2">
        <w:rPr>
          <w:rFonts w:asciiTheme="minorHAnsi" w:hAnsiTheme="minorHAnsi"/>
          <w:i/>
          <w:sz w:val="22"/>
          <w:shd w:val="clear" w:color="auto" w:fill="FFFFFF"/>
        </w:rPr>
        <w:t>flagship initiatives</w:t>
      </w:r>
      <w:r w:rsidRPr="00563EF2">
        <w:rPr>
          <w:rFonts w:asciiTheme="minorHAnsi" w:hAnsiTheme="minorHAnsi"/>
          <w:sz w:val="22"/>
          <w:shd w:val="clear" w:color="auto" w:fill="FFFFFF"/>
        </w:rPr>
        <w:t>), których r</w:t>
      </w:r>
      <w:r w:rsidRPr="00563EF2">
        <w:rPr>
          <w:rFonts w:asciiTheme="minorHAnsi" w:hAnsiTheme="minorHAnsi" w:cs="TimesNewRoman"/>
          <w:sz w:val="22"/>
        </w:rPr>
        <w:t>ealizacja powinna przebiegać na poziomie lokalnym, regionalnym, krajowym i unijnym. Trzema priorytetami polityki</w:t>
      </w:r>
      <w:r w:rsidRPr="00563EF2">
        <w:rPr>
          <w:rFonts w:asciiTheme="minorHAnsi" w:hAnsiTheme="minorHAnsi"/>
          <w:sz w:val="22"/>
          <w:shd w:val="clear" w:color="auto" w:fill="FFFFFF"/>
        </w:rPr>
        <w:t xml:space="preserve"> rozwoju UE i przypisanymi do nich inicjatywami przewodnimi są:</w:t>
      </w:r>
    </w:p>
    <w:p w:rsidR="00A370FF" w:rsidRPr="00563EF2" w:rsidRDefault="00A370FF" w:rsidP="00BC166D">
      <w:pPr>
        <w:pStyle w:val="Akapitzlist"/>
        <w:numPr>
          <w:ilvl w:val="0"/>
          <w:numId w:val="18"/>
        </w:numPr>
        <w:rPr>
          <w:rFonts w:asciiTheme="minorHAnsi" w:hAnsiTheme="minorHAnsi"/>
          <w:sz w:val="22"/>
          <w:shd w:val="clear" w:color="auto" w:fill="FFFFFF"/>
        </w:rPr>
      </w:pPr>
      <w:r w:rsidRPr="00563EF2">
        <w:rPr>
          <w:rFonts w:asciiTheme="minorHAnsi" w:hAnsiTheme="minorHAnsi"/>
          <w:b/>
          <w:sz w:val="22"/>
          <w:shd w:val="clear" w:color="auto" w:fill="FFFFFF"/>
        </w:rPr>
        <w:t>Inteligentny rozwój</w:t>
      </w:r>
      <w:r w:rsidRPr="00563EF2">
        <w:rPr>
          <w:rFonts w:asciiTheme="minorHAnsi" w:hAnsiTheme="minorHAnsi"/>
          <w:sz w:val="22"/>
          <w:shd w:val="clear" w:color="auto" w:fill="FFFFFF"/>
        </w:rPr>
        <w:t xml:space="preserve"> - rozwój gospodarki opartej na wiedzy i innowacji, realizowany </w:t>
      </w:r>
      <w:r w:rsidR="004641BB" w:rsidRPr="00563EF2">
        <w:rPr>
          <w:rFonts w:asciiTheme="minorHAnsi" w:hAnsiTheme="minorHAnsi"/>
          <w:sz w:val="22"/>
          <w:shd w:val="clear" w:color="auto" w:fill="FFFFFF"/>
        </w:rPr>
        <w:t>poprzez następujące</w:t>
      </w:r>
      <w:r w:rsidRPr="00563EF2">
        <w:rPr>
          <w:rFonts w:asciiTheme="minorHAnsi" w:hAnsiTheme="minorHAnsi"/>
          <w:sz w:val="22"/>
          <w:shd w:val="clear" w:color="auto" w:fill="FFFFFF"/>
        </w:rPr>
        <w:t xml:space="preserve"> programy przewodnie:</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sz w:val="22"/>
          <w:shd w:val="clear" w:color="auto" w:fill="FFFFFF"/>
        </w:rPr>
        <w:t>„</w:t>
      </w:r>
      <w:r w:rsidRPr="00563EF2">
        <w:rPr>
          <w:rFonts w:asciiTheme="minorHAnsi" w:hAnsiTheme="minorHAnsi"/>
          <w:i/>
          <w:sz w:val="22"/>
          <w:shd w:val="clear" w:color="auto" w:fill="FFFFFF"/>
        </w:rPr>
        <w:t>Unia innowacji”</w:t>
      </w:r>
      <w:r w:rsidRPr="00563EF2">
        <w:rPr>
          <w:rFonts w:asciiTheme="minorHAnsi" w:hAnsiTheme="minorHAnsi"/>
          <w:sz w:val="22"/>
          <w:shd w:val="clear" w:color="auto" w:fill="FFFFFF"/>
        </w:rPr>
        <w:t xml:space="preserve"> – program mający na celu poprawę warunków ramowych oraz dostępu do finansowania badań i innowacji, co powinno przełożyć się na wykorzystanie innowacji do rozwiązania najważni</w:t>
      </w:r>
      <w:r w:rsidR="000666F3">
        <w:rPr>
          <w:rFonts w:asciiTheme="minorHAnsi" w:hAnsiTheme="minorHAnsi"/>
          <w:sz w:val="22"/>
          <w:shd w:val="clear" w:color="auto" w:fill="FFFFFF"/>
        </w:rPr>
        <w:t>ejszych problemów społecznych i </w:t>
      </w:r>
      <w:r w:rsidRPr="00563EF2">
        <w:rPr>
          <w:rFonts w:asciiTheme="minorHAnsi" w:hAnsiTheme="minorHAnsi"/>
          <w:sz w:val="22"/>
          <w:shd w:val="clear" w:color="auto" w:fill="FFFFFF"/>
        </w:rPr>
        <w:t>gospodarczych wskazany</w:t>
      </w:r>
      <w:r w:rsidR="00757102">
        <w:rPr>
          <w:rFonts w:asciiTheme="minorHAnsi" w:hAnsiTheme="minorHAnsi"/>
          <w:sz w:val="22"/>
          <w:shd w:val="clear" w:color="auto" w:fill="FFFFFF"/>
        </w:rPr>
        <w:t xml:space="preserve">ch w </w:t>
      </w:r>
      <w:r w:rsidR="00757102" w:rsidRPr="00757102">
        <w:rPr>
          <w:rFonts w:asciiTheme="minorHAnsi" w:hAnsiTheme="minorHAnsi"/>
          <w:i/>
          <w:sz w:val="22"/>
          <w:shd w:val="clear" w:color="auto" w:fill="FFFFFF"/>
        </w:rPr>
        <w:t>S</w:t>
      </w:r>
      <w:r w:rsidRPr="00757102">
        <w:rPr>
          <w:rFonts w:asciiTheme="minorHAnsi" w:hAnsiTheme="minorHAnsi"/>
          <w:i/>
          <w:sz w:val="22"/>
          <w:shd w:val="clear" w:color="auto" w:fill="FFFFFF"/>
        </w:rPr>
        <w:t>trategii Europa 2020</w:t>
      </w:r>
      <w:r w:rsidRPr="00563EF2">
        <w:rPr>
          <w:rFonts w:asciiTheme="minorHAnsi" w:hAnsiTheme="minorHAnsi"/>
          <w:sz w:val="22"/>
          <w:shd w:val="clear" w:color="auto" w:fill="FFFFFF"/>
        </w:rPr>
        <w:t>, a także zwiększ</w:t>
      </w:r>
      <w:r w:rsidR="00757102">
        <w:rPr>
          <w:rFonts w:asciiTheme="minorHAnsi" w:hAnsiTheme="minorHAnsi"/>
          <w:sz w:val="22"/>
          <w:shd w:val="clear" w:color="auto" w:fill="FFFFFF"/>
        </w:rPr>
        <w:t>yć poziom inwestycji w całej UE,</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sz w:val="22"/>
          <w:shd w:val="clear" w:color="auto" w:fill="FFFFFF"/>
        </w:rPr>
        <w:t>„</w:t>
      </w:r>
      <w:r w:rsidRPr="00563EF2">
        <w:rPr>
          <w:rFonts w:asciiTheme="minorHAnsi" w:hAnsiTheme="minorHAnsi"/>
          <w:i/>
          <w:sz w:val="22"/>
          <w:shd w:val="clear" w:color="auto" w:fill="FFFFFF"/>
        </w:rPr>
        <w:t>Mobilna młodzież”</w:t>
      </w:r>
      <w:r w:rsidRPr="00563EF2">
        <w:rPr>
          <w:rFonts w:asciiTheme="minorHAnsi" w:hAnsiTheme="minorHAnsi"/>
          <w:sz w:val="22"/>
          <w:shd w:val="clear" w:color="auto" w:fill="FFFFFF"/>
        </w:rPr>
        <w:t xml:space="preserve"> – celem programu jest poprawa jakości systemów kształcenia oraz zwiększanie atrakcyjności europejskiego szkolnictwa wyższego na arenie międzynarodowej,</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sz w:val="22"/>
          <w:shd w:val="clear" w:color="auto" w:fill="FFFFFF"/>
        </w:rPr>
        <w:t>„</w:t>
      </w:r>
      <w:r w:rsidRPr="00563EF2">
        <w:rPr>
          <w:rFonts w:asciiTheme="minorHAnsi" w:hAnsiTheme="minorHAnsi"/>
          <w:i/>
          <w:sz w:val="22"/>
          <w:shd w:val="clear" w:color="auto" w:fill="FFFFFF"/>
        </w:rPr>
        <w:t>Europejska agenda cyfrowa”</w:t>
      </w:r>
      <w:r w:rsidRPr="00563EF2">
        <w:rPr>
          <w:rFonts w:asciiTheme="minorHAnsi" w:hAnsiTheme="minorHAnsi"/>
          <w:sz w:val="22"/>
          <w:shd w:val="clear" w:color="auto" w:fill="FFFFFF"/>
        </w:rPr>
        <w:t xml:space="preserve"> – program służący osiągnięciu trwałych korzyści gospodarczych i społecznych z jednolitego rynku cyfrowego, opartego na powszechnym dostępi</w:t>
      </w:r>
      <w:r w:rsidR="00757102">
        <w:rPr>
          <w:rFonts w:asciiTheme="minorHAnsi" w:hAnsiTheme="minorHAnsi"/>
          <w:sz w:val="22"/>
          <w:shd w:val="clear" w:color="auto" w:fill="FFFFFF"/>
        </w:rPr>
        <w:t>e do szerokopasmowego Internetu.</w:t>
      </w:r>
    </w:p>
    <w:p w:rsidR="00A370FF" w:rsidRPr="00563EF2" w:rsidRDefault="00A370FF" w:rsidP="00BC166D">
      <w:pPr>
        <w:pStyle w:val="Akapitzlist"/>
        <w:numPr>
          <w:ilvl w:val="0"/>
          <w:numId w:val="18"/>
        </w:numPr>
        <w:rPr>
          <w:rFonts w:asciiTheme="minorHAnsi" w:hAnsiTheme="minorHAnsi"/>
          <w:sz w:val="22"/>
          <w:shd w:val="clear" w:color="auto" w:fill="FFFFFF"/>
        </w:rPr>
      </w:pPr>
      <w:r w:rsidRPr="00563EF2">
        <w:rPr>
          <w:rFonts w:asciiTheme="minorHAnsi" w:hAnsiTheme="minorHAnsi"/>
          <w:b/>
          <w:sz w:val="22"/>
          <w:shd w:val="clear" w:color="auto" w:fill="FFFFFF"/>
        </w:rPr>
        <w:t>Zrównoważony rozwój</w:t>
      </w:r>
      <w:r w:rsidRPr="00563EF2">
        <w:rPr>
          <w:rFonts w:asciiTheme="minorHAnsi" w:hAnsiTheme="minorHAnsi"/>
          <w:sz w:val="22"/>
          <w:shd w:val="clear" w:color="auto" w:fill="FFFFFF"/>
        </w:rPr>
        <w:t xml:space="preserve"> - wspieranie gospodarki efektywniej korzystającej z zasobów, bardziej przyjaznej środowisku i bardziej konkurencyjnej, w ramach, którego funkcjonują następujące programy przewodnie:</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i/>
          <w:sz w:val="22"/>
          <w:shd w:val="clear" w:color="auto" w:fill="FFFFFF"/>
        </w:rPr>
        <w:t>„Europa efektywnie korzystająca z zasobów”</w:t>
      </w:r>
      <w:r w:rsidRPr="00563EF2">
        <w:rPr>
          <w:rFonts w:asciiTheme="minorHAnsi" w:hAnsiTheme="minorHAnsi"/>
          <w:sz w:val="22"/>
          <w:shd w:val="clear" w:color="auto" w:fill="FFFFFF"/>
        </w:rPr>
        <w:t xml:space="preserve"> – program ma na celu wsparcie zmiany w kierunku gospodarki niskoemisyjnej i efektywniej korzystającej z zasobów środowiska (zwłaszcza poprzez zmniejszenie udziału emisji węgla) oraz dążenie do wyeliminowania zależności wzrostu gospodarczego od degradacji środowiska przyrodniczego,</w:t>
      </w:r>
    </w:p>
    <w:p w:rsidR="00A370FF" w:rsidRPr="0064065B" w:rsidRDefault="00A370FF" w:rsidP="0064065B">
      <w:pPr>
        <w:numPr>
          <w:ilvl w:val="1"/>
          <w:numId w:val="18"/>
        </w:numPr>
        <w:rPr>
          <w:rFonts w:asciiTheme="minorHAnsi" w:hAnsiTheme="minorHAnsi"/>
          <w:sz w:val="22"/>
          <w:shd w:val="clear" w:color="auto" w:fill="FFFFFF"/>
        </w:rPr>
      </w:pPr>
      <w:r w:rsidRPr="00563EF2">
        <w:rPr>
          <w:rFonts w:asciiTheme="minorHAnsi" w:hAnsiTheme="minorHAnsi"/>
          <w:sz w:val="22"/>
          <w:shd w:val="clear" w:color="auto" w:fill="FFFFFF"/>
        </w:rPr>
        <w:t>„</w:t>
      </w:r>
      <w:r w:rsidRPr="00563EF2">
        <w:rPr>
          <w:rFonts w:asciiTheme="minorHAnsi" w:hAnsiTheme="minorHAnsi"/>
          <w:i/>
          <w:sz w:val="22"/>
          <w:shd w:val="clear" w:color="auto" w:fill="FFFFFF"/>
        </w:rPr>
        <w:t>Polityka przemysłowa w erze globalizacji”</w:t>
      </w:r>
      <w:r w:rsidRPr="00563EF2">
        <w:rPr>
          <w:rFonts w:asciiTheme="minorHAnsi" w:hAnsiTheme="minorHAnsi"/>
          <w:sz w:val="22"/>
          <w:shd w:val="clear" w:color="auto" w:fill="FFFFFF"/>
        </w:rPr>
        <w:t xml:space="preserve"> – program służy poprawie warunków dla przedsiębiorczości, zwłaszcza MŚP oraz wsparcie rozwoju silnej bazy przemysłowej, zdolnej do</w:t>
      </w:r>
      <w:r w:rsidR="00757102">
        <w:rPr>
          <w:rFonts w:asciiTheme="minorHAnsi" w:hAnsiTheme="minorHAnsi"/>
          <w:sz w:val="22"/>
          <w:shd w:val="clear" w:color="auto" w:fill="FFFFFF"/>
        </w:rPr>
        <w:t xml:space="preserve"> konkurowania w skali globalnej.</w:t>
      </w:r>
    </w:p>
    <w:p w:rsidR="00A370FF" w:rsidRPr="00563EF2" w:rsidRDefault="00A370FF" w:rsidP="00BC166D">
      <w:pPr>
        <w:pStyle w:val="Akapitzlist"/>
        <w:numPr>
          <w:ilvl w:val="0"/>
          <w:numId w:val="18"/>
        </w:numPr>
        <w:rPr>
          <w:rFonts w:asciiTheme="minorHAnsi" w:hAnsiTheme="minorHAnsi"/>
          <w:sz w:val="22"/>
          <w:shd w:val="clear" w:color="auto" w:fill="FFFFFF"/>
        </w:rPr>
      </w:pPr>
      <w:r w:rsidRPr="00563EF2">
        <w:rPr>
          <w:rFonts w:asciiTheme="minorHAnsi" w:hAnsiTheme="minorHAnsi"/>
          <w:b/>
          <w:sz w:val="22"/>
          <w:shd w:val="clear" w:color="auto" w:fill="FFFFFF"/>
        </w:rPr>
        <w:t>Rozwój sprzyjający włączeniu społecznemu</w:t>
      </w:r>
      <w:r w:rsidRPr="00563EF2">
        <w:rPr>
          <w:rFonts w:asciiTheme="minorHAnsi" w:hAnsiTheme="minorHAnsi"/>
          <w:sz w:val="22"/>
          <w:shd w:val="clear" w:color="auto" w:fill="FFFFFF"/>
        </w:rPr>
        <w:t xml:space="preserve"> - wspieranie gospodarki o wysokim poziomie zatrudnienia, zapewniającej spójność społeczną i terytorialną. Realizacja tego priorytetu odbywać się będzie poprzez:</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sz w:val="22"/>
          <w:shd w:val="clear" w:color="auto" w:fill="FFFFFF"/>
        </w:rPr>
        <w:t>„</w:t>
      </w:r>
      <w:r w:rsidRPr="00563EF2">
        <w:rPr>
          <w:rFonts w:asciiTheme="minorHAnsi" w:hAnsiTheme="minorHAnsi"/>
          <w:i/>
          <w:sz w:val="22"/>
          <w:shd w:val="clear" w:color="auto" w:fill="FFFFFF"/>
        </w:rPr>
        <w:t>Program na rzecz nowych umiejętności i zatrudnienia”</w:t>
      </w:r>
      <w:r w:rsidRPr="00563EF2">
        <w:rPr>
          <w:rFonts w:asciiTheme="minorHAnsi" w:hAnsiTheme="minorHAnsi"/>
          <w:sz w:val="22"/>
          <w:shd w:val="clear" w:color="auto" w:fill="FFFFFF"/>
        </w:rPr>
        <w:t xml:space="preserve"> – m</w:t>
      </w:r>
      <w:r w:rsidR="00E235FE">
        <w:rPr>
          <w:rFonts w:asciiTheme="minorHAnsi" w:hAnsiTheme="minorHAnsi"/>
          <w:sz w:val="22"/>
          <w:shd w:val="clear" w:color="auto" w:fill="FFFFFF"/>
        </w:rPr>
        <w:t>ający na celu stworzenie warunków</w:t>
      </w:r>
      <w:r w:rsidRPr="00563EF2">
        <w:rPr>
          <w:rFonts w:asciiTheme="minorHAnsi" w:hAnsiTheme="minorHAnsi"/>
          <w:sz w:val="22"/>
          <w:shd w:val="clear" w:color="auto" w:fill="FFFFFF"/>
        </w:rPr>
        <w:t xml:space="preserve"> do unowocześnienia rynków pracy, przez ułatwienie mobilności pracowników i rozwój ich umiejętności, w celu zwiększenia aktywności z</w:t>
      </w:r>
      <w:r w:rsidR="00757102">
        <w:rPr>
          <w:rFonts w:asciiTheme="minorHAnsi" w:hAnsiTheme="minorHAnsi"/>
          <w:sz w:val="22"/>
          <w:shd w:val="clear" w:color="auto" w:fill="FFFFFF"/>
        </w:rPr>
        <w:t>awodowej i poziomu zatrudnienia,</w:t>
      </w:r>
    </w:p>
    <w:p w:rsidR="00A370FF" w:rsidRPr="00563EF2" w:rsidRDefault="00A370FF" w:rsidP="00BC166D">
      <w:pPr>
        <w:numPr>
          <w:ilvl w:val="1"/>
          <w:numId w:val="18"/>
        </w:numPr>
        <w:rPr>
          <w:rFonts w:asciiTheme="minorHAnsi" w:hAnsiTheme="minorHAnsi"/>
          <w:sz w:val="22"/>
          <w:shd w:val="clear" w:color="auto" w:fill="FFFFFF"/>
        </w:rPr>
      </w:pPr>
      <w:r w:rsidRPr="00563EF2">
        <w:rPr>
          <w:rFonts w:asciiTheme="minorHAnsi" w:hAnsiTheme="minorHAnsi"/>
          <w:i/>
          <w:sz w:val="22"/>
          <w:shd w:val="clear" w:color="auto" w:fill="FFFFFF"/>
        </w:rPr>
        <w:t>„Europejski program walki z ubóstwem”</w:t>
      </w:r>
      <w:r w:rsidRPr="00563EF2">
        <w:rPr>
          <w:rFonts w:asciiTheme="minorHAnsi" w:hAnsiTheme="minorHAnsi"/>
          <w:sz w:val="22"/>
          <w:shd w:val="clear" w:color="auto" w:fill="FFFFFF"/>
        </w:rPr>
        <w:t xml:space="preserve"> – którego celem jest zapewnienie spójności gospodarc</w:t>
      </w:r>
      <w:r w:rsidR="004641BB">
        <w:rPr>
          <w:rFonts w:asciiTheme="minorHAnsi" w:hAnsiTheme="minorHAnsi"/>
          <w:sz w:val="22"/>
          <w:shd w:val="clear" w:color="auto" w:fill="FFFFFF"/>
        </w:rPr>
        <w:t>zej, społecznej i terytorialnej</w:t>
      </w:r>
      <w:r w:rsidRPr="00563EF2">
        <w:rPr>
          <w:rFonts w:asciiTheme="minorHAnsi" w:hAnsiTheme="minorHAnsi"/>
          <w:sz w:val="22"/>
          <w:shd w:val="clear" w:color="auto" w:fill="FFFFFF"/>
        </w:rPr>
        <w:t xml:space="preserve"> </w:t>
      </w:r>
      <w:r w:rsidR="004641BB" w:rsidRPr="00563EF2">
        <w:rPr>
          <w:rFonts w:asciiTheme="minorHAnsi" w:hAnsiTheme="minorHAnsi"/>
          <w:sz w:val="22"/>
          <w:shd w:val="clear" w:color="auto" w:fill="FFFFFF"/>
        </w:rPr>
        <w:t>tak, aby</w:t>
      </w:r>
      <w:r w:rsidRPr="00563EF2">
        <w:rPr>
          <w:rFonts w:asciiTheme="minorHAnsi" w:hAnsiTheme="minorHAnsi"/>
          <w:sz w:val="22"/>
          <w:shd w:val="clear" w:color="auto" w:fill="FFFFFF"/>
        </w:rPr>
        <w:t xml:space="preserve"> korzyści płynące ze wzrostu gospodarczego i zatrudnienia były dostęp</w:t>
      </w:r>
      <w:r w:rsidR="000666F3">
        <w:rPr>
          <w:rFonts w:asciiTheme="minorHAnsi" w:hAnsiTheme="minorHAnsi"/>
          <w:sz w:val="22"/>
          <w:shd w:val="clear" w:color="auto" w:fill="FFFFFF"/>
        </w:rPr>
        <w:t>ne zwłaszcza dla osób ubogich i </w:t>
      </w:r>
      <w:r w:rsidRPr="00563EF2">
        <w:rPr>
          <w:rFonts w:asciiTheme="minorHAnsi" w:hAnsiTheme="minorHAnsi"/>
          <w:sz w:val="22"/>
          <w:shd w:val="clear" w:color="auto" w:fill="FFFFFF"/>
        </w:rPr>
        <w:t>wykluczonych spo</w:t>
      </w:r>
      <w:r w:rsidR="00757102">
        <w:rPr>
          <w:rFonts w:asciiTheme="minorHAnsi" w:hAnsiTheme="minorHAnsi"/>
          <w:sz w:val="22"/>
          <w:shd w:val="clear" w:color="auto" w:fill="FFFFFF"/>
        </w:rPr>
        <w:t>łecznie oraz umożliwiły im godn</w:t>
      </w:r>
      <w:r w:rsidRPr="00563EF2">
        <w:rPr>
          <w:rFonts w:asciiTheme="minorHAnsi" w:hAnsiTheme="minorHAnsi"/>
          <w:sz w:val="22"/>
          <w:shd w:val="clear" w:color="auto" w:fill="FFFFFF"/>
        </w:rPr>
        <w:t>e</w:t>
      </w:r>
      <w:r w:rsidR="00B6583F">
        <w:rPr>
          <w:rFonts w:asciiTheme="minorHAnsi" w:hAnsiTheme="minorHAnsi"/>
          <w:sz w:val="22"/>
          <w:shd w:val="clear" w:color="auto" w:fill="FFFFFF"/>
        </w:rPr>
        <w:t xml:space="preserve"> życie i aktywne uczestnictwo w </w:t>
      </w:r>
      <w:r w:rsidRPr="00563EF2">
        <w:rPr>
          <w:rFonts w:asciiTheme="minorHAnsi" w:hAnsiTheme="minorHAnsi"/>
          <w:sz w:val="22"/>
          <w:shd w:val="clear" w:color="auto" w:fill="FFFFFF"/>
        </w:rPr>
        <w:t>życiu ekonomicznym i społecznym.</w:t>
      </w:r>
    </w:p>
    <w:p w:rsidR="00A370FF" w:rsidRPr="00563EF2" w:rsidRDefault="00A370FF" w:rsidP="00FD7676">
      <w:pPr>
        <w:ind w:left="1440"/>
        <w:rPr>
          <w:rFonts w:asciiTheme="minorHAnsi" w:hAnsiTheme="minorHAnsi"/>
          <w:sz w:val="22"/>
          <w:shd w:val="clear" w:color="auto" w:fill="FFFFFF"/>
        </w:rPr>
      </w:pPr>
    </w:p>
    <w:p w:rsidR="00A370FF" w:rsidRPr="00563EF2" w:rsidRDefault="00A370FF" w:rsidP="00FD7676">
      <w:pPr>
        <w:autoSpaceDE w:val="0"/>
        <w:autoSpaceDN w:val="0"/>
        <w:adjustRightInd w:val="0"/>
        <w:rPr>
          <w:rFonts w:asciiTheme="minorHAnsi" w:hAnsiTheme="minorHAnsi" w:cs="TimesNewRoman"/>
          <w:sz w:val="22"/>
        </w:rPr>
      </w:pPr>
      <w:r w:rsidRPr="00563EF2">
        <w:rPr>
          <w:rFonts w:asciiTheme="minorHAnsi" w:hAnsiTheme="minorHAnsi" w:cs="TimesNewRoman"/>
          <w:sz w:val="22"/>
        </w:rPr>
        <w:t xml:space="preserve">Zaleceniem </w:t>
      </w:r>
      <w:r w:rsidRPr="00563EF2">
        <w:rPr>
          <w:rFonts w:asciiTheme="minorHAnsi" w:hAnsiTheme="minorHAnsi" w:cs="TimesNewRoman"/>
          <w:i/>
          <w:sz w:val="22"/>
        </w:rPr>
        <w:t>Strategii Europa 2020</w:t>
      </w:r>
      <w:r w:rsidRPr="00563EF2">
        <w:rPr>
          <w:rFonts w:asciiTheme="minorHAnsi" w:hAnsiTheme="minorHAnsi" w:cs="TimesNewRoman"/>
          <w:sz w:val="22"/>
        </w:rPr>
        <w:t xml:space="preserve"> jest realizacja postanowień partnerstwa na wszystkich szczeblach władzy administracyjnej: krajowym, regionalnym i lokalnym. Ich realizacja powinna odbywać </w:t>
      </w:r>
      <w:r w:rsidR="004641BB" w:rsidRPr="00563EF2">
        <w:rPr>
          <w:rFonts w:asciiTheme="minorHAnsi" w:hAnsiTheme="minorHAnsi" w:cs="TimesNewRoman"/>
          <w:sz w:val="22"/>
        </w:rPr>
        <w:t>się przy</w:t>
      </w:r>
      <w:r w:rsidRPr="00563EF2">
        <w:rPr>
          <w:rFonts w:asciiTheme="minorHAnsi" w:hAnsiTheme="minorHAnsi" w:cs="TimesNewRoman"/>
          <w:sz w:val="22"/>
        </w:rPr>
        <w:t xml:space="preserve"> ścisłej współpracy </w:t>
      </w:r>
      <w:r w:rsidR="004641BB" w:rsidRPr="00563EF2">
        <w:rPr>
          <w:rFonts w:asciiTheme="minorHAnsi" w:hAnsiTheme="minorHAnsi" w:cs="TimesNewRoman"/>
          <w:sz w:val="22"/>
        </w:rPr>
        <w:t>z partnerami</w:t>
      </w:r>
      <w:r w:rsidRPr="00563EF2">
        <w:rPr>
          <w:rFonts w:asciiTheme="minorHAnsi" w:hAnsiTheme="minorHAnsi" w:cs="TimesNewRoman"/>
          <w:sz w:val="22"/>
        </w:rPr>
        <w:t xml:space="preserve"> socjalnymi oraz przedstawicielami społeczeństwa obywatelski</w:t>
      </w:r>
      <w:r w:rsidR="000666F3">
        <w:rPr>
          <w:rFonts w:asciiTheme="minorHAnsi" w:hAnsiTheme="minorHAnsi" w:cs="TimesNewRoman"/>
          <w:sz w:val="22"/>
        </w:rPr>
        <w:t>ego, a </w:t>
      </w:r>
      <w:r w:rsidRPr="00563EF2">
        <w:rPr>
          <w:rFonts w:asciiTheme="minorHAnsi" w:hAnsiTheme="minorHAnsi" w:cs="TimesNewRoman"/>
          <w:sz w:val="22"/>
        </w:rPr>
        <w:t xml:space="preserve">wyznacznikiem tych działań mają być opracowane i wdrażane krajowe programy. Dzięki tym zabiegom oraz stałemu dialogowi i współpracy pomiędzy różnymi poziomami administracji krajowej, unijne priorytety znajdą się bliżej obywateli, co zwiększy ich zaangażowanie konieczne dla pomyślnej realizacji </w:t>
      </w:r>
      <w:r w:rsidRPr="00563EF2">
        <w:rPr>
          <w:rFonts w:asciiTheme="minorHAnsi" w:hAnsiTheme="minorHAnsi" w:cs="TimesNewRoman"/>
          <w:i/>
          <w:sz w:val="22"/>
        </w:rPr>
        <w:t>Strategii Europa 2020</w:t>
      </w:r>
      <w:r w:rsidRPr="00563EF2">
        <w:rPr>
          <w:rFonts w:asciiTheme="minorHAnsi" w:hAnsiTheme="minorHAnsi" w:cs="TimesNewRoman"/>
          <w:sz w:val="22"/>
        </w:rPr>
        <w:t>.</w:t>
      </w:r>
    </w:p>
    <w:p w:rsidR="00A370FF" w:rsidRPr="00563EF2" w:rsidRDefault="00A370FF" w:rsidP="00FD7676">
      <w:pPr>
        <w:autoSpaceDE w:val="0"/>
        <w:autoSpaceDN w:val="0"/>
        <w:adjustRightInd w:val="0"/>
        <w:rPr>
          <w:rFonts w:asciiTheme="minorHAnsi" w:hAnsiTheme="minorHAnsi" w:cs="TimesNewRoman"/>
          <w:sz w:val="22"/>
        </w:rPr>
      </w:pPr>
    </w:p>
    <w:p w:rsidR="00A370FF" w:rsidRPr="00EC5484" w:rsidRDefault="00A370FF" w:rsidP="00EC5484">
      <w:pPr>
        <w:pStyle w:val="Nagwek3"/>
      </w:pPr>
      <w:bookmarkStart w:id="5" w:name="_Toc399756294"/>
      <w:r w:rsidRPr="00EC5484">
        <w:t>Długookresowa Strategia Rozwoju Kraju</w:t>
      </w:r>
      <w:r w:rsidR="00757102">
        <w:t xml:space="preserve"> Polska</w:t>
      </w:r>
      <w:r w:rsidRPr="00EC5484">
        <w:t xml:space="preserve"> 2030 – Trzecia fala nowoczesności</w:t>
      </w:r>
      <w:bookmarkEnd w:id="5"/>
    </w:p>
    <w:p w:rsidR="00A370FF" w:rsidRPr="00563EF2" w:rsidRDefault="00A370FF" w:rsidP="00FD7676">
      <w:pPr>
        <w:rPr>
          <w:rFonts w:asciiTheme="minorHAnsi" w:hAnsiTheme="minorHAnsi"/>
          <w:b/>
          <w:i/>
          <w:sz w:val="22"/>
        </w:rPr>
      </w:pPr>
    </w:p>
    <w:p w:rsidR="00A370FF" w:rsidRPr="00563EF2" w:rsidRDefault="00757102" w:rsidP="00FD7676">
      <w:pPr>
        <w:rPr>
          <w:rFonts w:asciiTheme="minorHAnsi" w:hAnsiTheme="minorHAnsi"/>
          <w:bCs/>
          <w:iCs/>
          <w:sz w:val="22"/>
        </w:rPr>
      </w:pPr>
      <w:r>
        <w:rPr>
          <w:rFonts w:asciiTheme="minorHAnsi" w:hAnsiTheme="minorHAnsi"/>
          <w:sz w:val="22"/>
        </w:rPr>
        <w:t>Zgodnie z art. 9 ust.</w:t>
      </w:r>
      <w:r w:rsidR="00A370FF" w:rsidRPr="00563EF2">
        <w:rPr>
          <w:rFonts w:asciiTheme="minorHAnsi" w:hAnsiTheme="minorHAnsi"/>
          <w:sz w:val="22"/>
        </w:rPr>
        <w:t xml:space="preserve"> 1 </w:t>
      </w:r>
      <w:r w:rsidR="00A370FF" w:rsidRPr="00563EF2">
        <w:rPr>
          <w:rFonts w:asciiTheme="minorHAnsi" w:hAnsiTheme="minorHAnsi"/>
          <w:i/>
          <w:sz w:val="22"/>
        </w:rPr>
        <w:t>Ustawy o zasadach prowadzenia polityki rozwoju</w:t>
      </w:r>
      <w:r w:rsidR="00A370FF" w:rsidRPr="00563EF2">
        <w:rPr>
          <w:rFonts w:asciiTheme="minorHAnsi" w:hAnsiTheme="minorHAnsi"/>
          <w:sz w:val="22"/>
        </w:rPr>
        <w:t xml:space="preserve"> </w:t>
      </w:r>
      <w:r w:rsidR="00A370FF" w:rsidRPr="00563EF2">
        <w:rPr>
          <w:rFonts w:asciiTheme="minorHAnsi" w:hAnsiTheme="minorHAnsi"/>
          <w:i/>
          <w:sz w:val="22"/>
        </w:rPr>
        <w:t>Długookresowa Strategia Rozwoju Kraju</w:t>
      </w:r>
      <w:r>
        <w:rPr>
          <w:rFonts w:asciiTheme="minorHAnsi" w:hAnsiTheme="minorHAnsi"/>
          <w:i/>
          <w:sz w:val="22"/>
        </w:rPr>
        <w:t xml:space="preserve"> Polska</w:t>
      </w:r>
      <w:r w:rsidR="00A370FF" w:rsidRPr="00563EF2">
        <w:rPr>
          <w:rFonts w:asciiTheme="minorHAnsi" w:hAnsiTheme="minorHAnsi"/>
          <w:i/>
          <w:sz w:val="22"/>
        </w:rPr>
        <w:t xml:space="preserve"> 2030 – Trzecia fala nowoczesności</w:t>
      </w:r>
      <w:r w:rsidR="00A370FF" w:rsidRPr="00563EF2">
        <w:rPr>
          <w:rFonts w:asciiTheme="minorHAnsi" w:hAnsiTheme="minorHAnsi"/>
          <w:sz w:val="22"/>
        </w:rPr>
        <w:t xml:space="preserve"> stanowi dokument okreś</w:t>
      </w:r>
      <w:r>
        <w:rPr>
          <w:rFonts w:asciiTheme="minorHAnsi" w:hAnsiTheme="minorHAnsi"/>
          <w:sz w:val="22"/>
        </w:rPr>
        <w:t>lający „główne trendy, wyzwania</w:t>
      </w:r>
      <w:r w:rsidR="00A370FF" w:rsidRPr="00563EF2">
        <w:rPr>
          <w:rFonts w:asciiTheme="minorHAnsi" w:hAnsiTheme="minorHAnsi"/>
          <w:sz w:val="22"/>
        </w:rPr>
        <w:t xml:space="preserve"> i scenariusze rozwoju społeczno-gospodarczego kraju oraz kierunki przestrzennego zagospodarowania kraju, z uwzględnieniem zasady zrównoważonego rozwoju, obejmujący okres co najmniej 15 lat</w:t>
      </w:r>
      <w:r w:rsidR="00A370FF" w:rsidRPr="00563EF2">
        <w:rPr>
          <w:rFonts w:asciiTheme="minorHAnsi" w:hAnsiTheme="minorHAnsi"/>
          <w:bCs/>
          <w:iCs/>
          <w:sz w:val="22"/>
        </w:rPr>
        <w:t xml:space="preserve">”. </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bCs/>
          <w:sz w:val="22"/>
        </w:rPr>
      </w:pPr>
      <w:r w:rsidRPr="00563EF2">
        <w:rPr>
          <w:rFonts w:asciiTheme="minorHAnsi" w:hAnsiTheme="minorHAnsi"/>
          <w:bCs/>
          <w:sz w:val="22"/>
        </w:rPr>
        <w:t xml:space="preserve">Przyjęty model rozwoju w dokumencie </w:t>
      </w:r>
      <w:r w:rsidRPr="00563EF2">
        <w:rPr>
          <w:rFonts w:asciiTheme="minorHAnsi" w:hAnsiTheme="minorHAnsi"/>
          <w:bCs/>
          <w:i/>
          <w:sz w:val="22"/>
        </w:rPr>
        <w:t>Długookresowa Strategia Rozwoju Kraju - Polska 2030. Trzecia fala nowoczesności</w:t>
      </w:r>
      <w:r w:rsidRPr="00563EF2">
        <w:rPr>
          <w:rFonts w:asciiTheme="minorHAnsi" w:hAnsiTheme="minorHAnsi"/>
          <w:bCs/>
          <w:sz w:val="22"/>
        </w:rPr>
        <w:t xml:space="preserve"> - opiera się o zasadę solidarności pokoleniowej, terytorialnej oraz innowacyjnej (solidarność zasady wyrównywania szans i konkurencyjności w celu innowacyjności).</w:t>
      </w:r>
    </w:p>
    <w:p w:rsidR="00A370FF" w:rsidRPr="00563EF2" w:rsidRDefault="00A370FF" w:rsidP="00FD7676">
      <w:pPr>
        <w:rPr>
          <w:rFonts w:asciiTheme="minorHAnsi" w:hAnsiTheme="minorHAnsi"/>
          <w:b/>
          <w:bCs/>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Osiągnięcie celu głównego </w:t>
      </w:r>
      <w:r w:rsidRPr="00563EF2">
        <w:rPr>
          <w:rFonts w:asciiTheme="minorHAnsi" w:hAnsiTheme="minorHAnsi" w:cs="Calibri"/>
          <w:i/>
          <w:color w:val="000000"/>
          <w:sz w:val="22"/>
        </w:rPr>
        <w:t>DSRK 2030</w:t>
      </w:r>
      <w:r w:rsidRPr="00563EF2">
        <w:rPr>
          <w:rFonts w:asciiTheme="minorHAnsi" w:hAnsiTheme="minorHAnsi" w:cs="Calibri"/>
          <w:color w:val="000000"/>
          <w:sz w:val="22"/>
        </w:rPr>
        <w:t>, czyli poprawy jakości życia Polaków ma być możliwe dzięki szeregowi działań ukierunkowanych na podtrzymanie wysokiego wzrostu gospodarczego (ok</w:t>
      </w:r>
      <w:r w:rsidR="000666F3">
        <w:rPr>
          <w:rFonts w:asciiTheme="minorHAnsi" w:hAnsiTheme="minorHAnsi" w:cs="Calibri"/>
          <w:color w:val="000000"/>
          <w:sz w:val="22"/>
        </w:rPr>
        <w:t>oło 3,5 </w:t>
      </w:r>
      <w:r w:rsidRPr="00563EF2">
        <w:rPr>
          <w:rFonts w:asciiTheme="minorHAnsi" w:hAnsiTheme="minorHAnsi" w:cs="Calibri"/>
          <w:color w:val="000000"/>
          <w:sz w:val="22"/>
        </w:rPr>
        <w:t xml:space="preserve">procentowy roczny wzrost do 2020 r.) przy umiejętnym łączeniu modernizacji, innowacji i impetu cyfrowego z poprawą jakości życia </w:t>
      </w:r>
      <w:r w:rsidR="004641BB" w:rsidRPr="00563EF2">
        <w:rPr>
          <w:rFonts w:asciiTheme="minorHAnsi" w:hAnsiTheme="minorHAnsi" w:cs="Calibri"/>
          <w:color w:val="000000"/>
          <w:sz w:val="22"/>
        </w:rPr>
        <w:t>i skokiem</w:t>
      </w:r>
      <w:r w:rsidRPr="00563EF2">
        <w:rPr>
          <w:rFonts w:asciiTheme="minorHAnsi" w:hAnsiTheme="minorHAnsi" w:cs="Calibri"/>
          <w:color w:val="000000"/>
          <w:sz w:val="22"/>
        </w:rPr>
        <w:t xml:space="preserve"> cywilizacyjnym jaki winien się w tej perspektywie czasowej dokonać.</w:t>
      </w:r>
    </w:p>
    <w:p w:rsidR="00A370FF" w:rsidRPr="00563EF2" w:rsidRDefault="00A370FF" w:rsidP="00FD7676">
      <w:pPr>
        <w:rPr>
          <w:rFonts w:asciiTheme="minorHAnsi" w:hAnsiTheme="minorHAnsi"/>
          <w:b/>
          <w:bCs/>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W osiągnięciu celu głównego posłużą trzy strategiczne obszary zadaniowe</w:t>
      </w:r>
      <w:r w:rsidR="00757102">
        <w:rPr>
          <w:rFonts w:asciiTheme="minorHAnsi" w:hAnsiTheme="minorHAnsi" w:cs="Calibri"/>
          <w:color w:val="000000"/>
          <w:sz w:val="22"/>
        </w:rPr>
        <w:t>,</w:t>
      </w:r>
      <w:r w:rsidRPr="00563EF2">
        <w:rPr>
          <w:rFonts w:asciiTheme="minorHAnsi" w:hAnsiTheme="minorHAnsi" w:cs="Calibri"/>
          <w:color w:val="000000"/>
          <w:sz w:val="22"/>
        </w:rPr>
        <w:t xml:space="preserve"> w ramach których wyznaczone zostały obszary tematyczne służące określeniu celów strategic</w:t>
      </w:r>
      <w:r w:rsidR="004641BB">
        <w:rPr>
          <w:rFonts w:asciiTheme="minorHAnsi" w:hAnsiTheme="minorHAnsi" w:cs="Calibri"/>
          <w:color w:val="000000"/>
          <w:sz w:val="22"/>
        </w:rPr>
        <w:t>znych i kierunków interwencji:</w:t>
      </w:r>
    </w:p>
    <w:p w:rsidR="00A370FF" w:rsidRPr="00563EF2" w:rsidRDefault="00A370FF" w:rsidP="00BC166D">
      <w:pPr>
        <w:pStyle w:val="Akapitzlist"/>
        <w:numPr>
          <w:ilvl w:val="0"/>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Obszar konkurencyjności i innowacyjności gospodarki,</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Kapitał ludzki,</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Polska cyfrowa,</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Innowacyjność gospodarki i kreatywność indywidualna,</w:t>
      </w:r>
    </w:p>
    <w:p w:rsidR="00A370FF" w:rsidRPr="00563EF2" w:rsidRDefault="0069309B" w:rsidP="00BC166D">
      <w:pPr>
        <w:pStyle w:val="Akapitzlist"/>
        <w:numPr>
          <w:ilvl w:val="1"/>
          <w:numId w:val="22"/>
        </w:numPr>
        <w:autoSpaceDE w:val="0"/>
        <w:autoSpaceDN w:val="0"/>
        <w:adjustRightInd w:val="0"/>
        <w:rPr>
          <w:rFonts w:asciiTheme="minorHAnsi" w:hAnsiTheme="minorHAnsi" w:cs="Calibri"/>
          <w:color w:val="000000"/>
          <w:sz w:val="22"/>
        </w:rPr>
      </w:pPr>
      <w:r>
        <w:rPr>
          <w:rFonts w:asciiTheme="minorHAnsi" w:hAnsiTheme="minorHAnsi" w:cs="Calibri"/>
          <w:color w:val="000000"/>
          <w:sz w:val="22"/>
        </w:rPr>
        <w:t>Bezpieczeństwo energetyczne i ś</w:t>
      </w:r>
      <w:r w:rsidR="00A370FF" w:rsidRPr="00563EF2">
        <w:rPr>
          <w:rFonts w:asciiTheme="minorHAnsi" w:hAnsiTheme="minorHAnsi" w:cs="Calibri"/>
          <w:color w:val="000000"/>
          <w:sz w:val="22"/>
        </w:rPr>
        <w:t>rodowisko.</w:t>
      </w:r>
    </w:p>
    <w:p w:rsidR="00A370FF" w:rsidRPr="00563EF2" w:rsidRDefault="00A370FF" w:rsidP="00BC166D">
      <w:pPr>
        <w:pStyle w:val="Akapitzlist"/>
        <w:numPr>
          <w:ilvl w:val="0"/>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Obszar równoważenia potencjału rozwojowego regionów</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Rozwój regionów,</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Transport. </w:t>
      </w:r>
    </w:p>
    <w:p w:rsidR="00A370FF" w:rsidRPr="00563EF2" w:rsidRDefault="00A370FF" w:rsidP="00BC166D">
      <w:pPr>
        <w:pStyle w:val="Akapitzlist"/>
        <w:numPr>
          <w:ilvl w:val="0"/>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Obszar efektywności i sprawności państwa </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Kapitał społeczny</w:t>
      </w:r>
    </w:p>
    <w:p w:rsidR="00A370FF" w:rsidRPr="00563EF2" w:rsidRDefault="00A370FF" w:rsidP="00BC166D">
      <w:pPr>
        <w:pStyle w:val="Akapitzlist"/>
        <w:numPr>
          <w:ilvl w:val="1"/>
          <w:numId w:val="22"/>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Sprawne państwo</w:t>
      </w:r>
    </w:p>
    <w:p w:rsidR="00F6470B" w:rsidRDefault="00F6470B" w:rsidP="00FD7676">
      <w:pPr>
        <w:autoSpaceDE w:val="0"/>
        <w:autoSpaceDN w:val="0"/>
        <w:adjustRightInd w:val="0"/>
        <w:rPr>
          <w:rFonts w:asciiTheme="minorHAnsi" w:hAnsiTheme="minorHAnsi" w:cs="Calibri"/>
          <w:color w:val="000000"/>
          <w:sz w:val="22"/>
        </w:rPr>
      </w:pPr>
      <w:r>
        <w:rPr>
          <w:rFonts w:asciiTheme="minorHAnsi" w:hAnsiTheme="minorHAnsi" w:cs="Calibri"/>
          <w:color w:val="000000"/>
          <w:sz w:val="22"/>
        </w:rPr>
        <w:br w:type="page"/>
      </w:r>
    </w:p>
    <w:p w:rsidR="00A370FF" w:rsidRPr="007F6382" w:rsidRDefault="00A370FF"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Rysunek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Rysunek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2</w:t>
      </w:r>
      <w:r w:rsidR="00017794" w:rsidRPr="007F6382">
        <w:rPr>
          <w:rFonts w:asciiTheme="minorHAnsi" w:hAnsiTheme="minorHAnsi"/>
          <w:sz w:val="20"/>
          <w:szCs w:val="22"/>
        </w:rPr>
        <w:fldChar w:fldCharType="end"/>
      </w:r>
      <w:r w:rsidRPr="007F6382">
        <w:rPr>
          <w:rFonts w:asciiTheme="minorHAnsi" w:hAnsiTheme="minorHAnsi"/>
          <w:sz w:val="20"/>
          <w:szCs w:val="22"/>
        </w:rPr>
        <w:t xml:space="preserve">. Cel główny oraz trzy obszary strategiczne określone w ramach Długookresowej Strategii Rozwoju Kraju </w:t>
      </w:r>
      <w:r w:rsidR="00757102">
        <w:rPr>
          <w:rFonts w:asciiTheme="minorHAnsi" w:hAnsiTheme="minorHAnsi"/>
          <w:sz w:val="20"/>
          <w:szCs w:val="22"/>
        </w:rPr>
        <w:t xml:space="preserve">Polska </w:t>
      </w:r>
      <w:r w:rsidRPr="007F6382">
        <w:rPr>
          <w:rFonts w:asciiTheme="minorHAnsi" w:hAnsiTheme="minorHAnsi"/>
          <w:sz w:val="20"/>
          <w:szCs w:val="22"/>
        </w:rPr>
        <w:t>2030 "Trzecia fala nowoczesności".</w:t>
      </w:r>
    </w:p>
    <w:tbl>
      <w:tblPr>
        <w:tblStyle w:val="Tabela-Siatka"/>
        <w:tblW w:w="9071" w:type="dxa"/>
        <w:tblLook w:val="04A0" w:firstRow="1" w:lastRow="0" w:firstColumn="1" w:lastColumn="0" w:noHBand="0" w:noVBand="1"/>
      </w:tblPr>
      <w:tblGrid>
        <w:gridCol w:w="2835"/>
        <w:gridCol w:w="283"/>
        <w:gridCol w:w="2835"/>
        <w:gridCol w:w="283"/>
        <w:gridCol w:w="2835"/>
      </w:tblGrid>
      <w:tr w:rsidR="00F6470B" w:rsidTr="00F6470B">
        <w:trPr>
          <w:trHeight w:val="1170"/>
        </w:trPr>
        <w:tc>
          <w:tcPr>
            <w:tcW w:w="9067" w:type="dxa"/>
            <w:gridSpan w:val="5"/>
            <w:shd w:val="clear" w:color="auto" w:fill="4472C4" w:themeFill="accent5"/>
            <w:vAlign w:val="center"/>
          </w:tcPr>
          <w:p w:rsidR="00F6470B" w:rsidRPr="004C3CFF" w:rsidRDefault="00F6470B" w:rsidP="00F6470B">
            <w:pPr>
              <w:autoSpaceDE w:val="0"/>
              <w:autoSpaceDN w:val="0"/>
              <w:adjustRightInd w:val="0"/>
              <w:jc w:val="center"/>
              <w:rPr>
                <w:rFonts w:asciiTheme="minorHAnsi" w:hAnsiTheme="minorHAnsi" w:cs="Calibri"/>
                <w:b/>
                <w:color w:val="000000"/>
                <w:sz w:val="22"/>
              </w:rPr>
            </w:pPr>
            <w:r w:rsidRPr="004C3CFF">
              <w:rPr>
                <w:rFonts w:asciiTheme="minorHAnsi" w:hAnsiTheme="minorHAnsi" w:cs="Calibri"/>
                <w:b/>
                <w:color w:val="FFFFFF" w:themeColor="background1"/>
                <w:sz w:val="22"/>
              </w:rPr>
              <w:t>CEL GŁÓWNY: poprawa jakości życia Polaków (wzrost PKB na mieszkańca w relacji do najbogatszego państwa UE i zwiększenie spójności społecznej) dzięki stabilnemu, wysokiemu wzro</w:t>
            </w:r>
            <w:r>
              <w:rPr>
                <w:rFonts w:asciiTheme="minorHAnsi" w:hAnsiTheme="minorHAnsi" w:cs="Calibri"/>
                <w:b/>
                <w:color w:val="FFFFFF" w:themeColor="background1"/>
                <w:sz w:val="22"/>
              </w:rPr>
              <w:t>s</w:t>
            </w:r>
            <w:r w:rsidRPr="004C3CFF">
              <w:rPr>
                <w:rFonts w:asciiTheme="minorHAnsi" w:hAnsiTheme="minorHAnsi" w:cs="Calibri"/>
                <w:b/>
                <w:color w:val="FFFFFF" w:themeColor="background1"/>
                <w:sz w:val="22"/>
              </w:rPr>
              <w:t xml:space="preserve">towi gospodarczemu, </w:t>
            </w:r>
            <w:r w:rsidRPr="004C3CFF">
              <w:rPr>
                <w:rFonts w:asciiTheme="minorHAnsi" w:hAnsiTheme="minorHAnsi" w:cs="Calibri"/>
                <w:b/>
                <w:color w:val="FFFFFF" w:themeColor="background1"/>
                <w:sz w:val="22"/>
                <w:u w:val="single"/>
              </w:rPr>
              <w:t>co pozwala na modernizację kraju</w:t>
            </w:r>
          </w:p>
        </w:tc>
      </w:tr>
      <w:tr w:rsidR="00F6470B" w:rsidTr="00F6470B">
        <w:tc>
          <w:tcPr>
            <w:tcW w:w="9067" w:type="dxa"/>
            <w:gridSpan w:val="5"/>
            <w:tcBorders>
              <w:left w:val="single" w:sz="4" w:space="0" w:color="FFFFFF" w:themeColor="background1"/>
              <w:right w:val="single" w:sz="4" w:space="0" w:color="FFFFFF" w:themeColor="background1"/>
            </w:tcBorders>
          </w:tcPr>
          <w:p w:rsidR="00F6470B" w:rsidRDefault="00F6470B" w:rsidP="00F6470B">
            <w:pPr>
              <w:autoSpaceDE w:val="0"/>
              <w:autoSpaceDN w:val="0"/>
              <w:adjustRightInd w:val="0"/>
              <w:rPr>
                <w:rFonts w:asciiTheme="minorHAnsi" w:hAnsiTheme="minorHAnsi" w:cs="Calibri"/>
                <w:color w:val="000000"/>
                <w:sz w:val="22"/>
              </w:rPr>
            </w:pPr>
          </w:p>
        </w:tc>
      </w:tr>
      <w:tr w:rsidR="00F6470B" w:rsidTr="00F6470B">
        <w:trPr>
          <w:trHeight w:val="622"/>
        </w:trPr>
        <w:tc>
          <w:tcPr>
            <w:tcW w:w="9067" w:type="dxa"/>
            <w:gridSpan w:val="5"/>
            <w:tcBorders>
              <w:bottom w:val="single" w:sz="4" w:space="0" w:color="auto"/>
            </w:tcBorders>
            <w:shd w:val="clear" w:color="auto" w:fill="44546A" w:themeFill="text2"/>
            <w:vAlign w:val="center"/>
          </w:tcPr>
          <w:p w:rsidR="00F6470B" w:rsidRPr="004C3CFF" w:rsidRDefault="00F6470B" w:rsidP="00F6470B">
            <w:pPr>
              <w:autoSpaceDE w:val="0"/>
              <w:autoSpaceDN w:val="0"/>
              <w:adjustRightInd w:val="0"/>
              <w:jc w:val="center"/>
              <w:rPr>
                <w:rFonts w:asciiTheme="minorHAnsi" w:hAnsiTheme="minorHAnsi" w:cs="Calibri"/>
                <w:b/>
                <w:color w:val="000000"/>
                <w:sz w:val="22"/>
              </w:rPr>
            </w:pPr>
            <w:r w:rsidRPr="004C3CFF">
              <w:rPr>
                <w:rFonts w:asciiTheme="minorHAnsi" w:hAnsiTheme="minorHAnsi" w:cs="Calibri"/>
                <w:b/>
                <w:color w:val="FFFFFF" w:themeColor="background1"/>
                <w:sz w:val="22"/>
              </w:rPr>
              <w:t>Makroekonomiczne warunki rozwoju Polski do 2030 roku</w:t>
            </w:r>
          </w:p>
        </w:tc>
      </w:tr>
      <w:tr w:rsidR="00F6470B" w:rsidTr="00F6470B">
        <w:trPr>
          <w:trHeight w:val="300"/>
        </w:trPr>
        <w:tc>
          <w:tcPr>
            <w:tcW w:w="9067" w:type="dxa"/>
            <w:gridSpan w:val="5"/>
            <w:tcBorders>
              <w:left w:val="single" w:sz="4" w:space="0" w:color="FFFFFF" w:themeColor="background1"/>
              <w:bottom w:val="single" w:sz="4" w:space="0" w:color="FFFFFF" w:themeColor="background1"/>
              <w:right w:val="single" w:sz="4" w:space="0" w:color="FFFFFF" w:themeColor="background1"/>
            </w:tcBorders>
          </w:tcPr>
          <w:p w:rsidR="00F6470B" w:rsidRDefault="00F6470B" w:rsidP="00F6470B">
            <w:pPr>
              <w:autoSpaceDE w:val="0"/>
              <w:autoSpaceDN w:val="0"/>
              <w:adjustRightInd w:val="0"/>
              <w:rPr>
                <w:rFonts w:asciiTheme="minorHAnsi" w:hAnsiTheme="minorHAnsi" w:cs="Calibri"/>
                <w:color w:val="000000"/>
                <w:sz w:val="22"/>
              </w:rPr>
            </w:pPr>
          </w:p>
        </w:tc>
      </w:tr>
      <w:tr w:rsidR="00F6470B" w:rsidTr="00F6470B">
        <w:trPr>
          <w:trHeight w:val="3118"/>
        </w:trPr>
        <w:tc>
          <w:tcPr>
            <w:tcW w:w="2835" w:type="dxa"/>
            <w:tcBorders>
              <w:top w:val="single" w:sz="4" w:space="0" w:color="000000" w:themeColor="text1"/>
            </w:tcBorders>
            <w:shd w:val="clear" w:color="auto" w:fill="5B9BD5" w:themeFill="accent1"/>
          </w:tcPr>
          <w:p w:rsidR="00F6470B" w:rsidRPr="00F6470B" w:rsidRDefault="00F6470B" w:rsidP="00F6470B">
            <w:pPr>
              <w:autoSpaceDE w:val="0"/>
              <w:autoSpaceDN w:val="0"/>
              <w:adjustRightInd w:val="0"/>
              <w:jc w:val="center"/>
              <w:rPr>
                <w:rFonts w:asciiTheme="minorHAnsi" w:hAnsiTheme="minorHAnsi" w:cs="Calibri"/>
                <w:b/>
                <w:color w:val="FFFFFF" w:themeColor="background1"/>
                <w:sz w:val="20"/>
              </w:rPr>
            </w:pPr>
            <w:r>
              <w:rPr>
                <w:rFonts w:asciiTheme="minorHAnsi" w:hAnsiTheme="minorHAnsi" w:cs="Calibri"/>
                <w:b/>
                <w:color w:val="FFFFFF" w:themeColor="background1"/>
                <w:sz w:val="20"/>
              </w:rPr>
              <w:t>obszar konkurencyjności i </w:t>
            </w:r>
            <w:r w:rsidRPr="00F6470B">
              <w:rPr>
                <w:rFonts w:asciiTheme="minorHAnsi" w:hAnsiTheme="minorHAnsi" w:cs="Calibri"/>
                <w:b/>
                <w:color w:val="FFFFFF" w:themeColor="background1"/>
                <w:sz w:val="20"/>
              </w:rPr>
              <w:t>innowacyjności gospodarki (modernizacji)</w:t>
            </w:r>
          </w:p>
          <w:p w:rsidR="00F6470B" w:rsidRPr="00F6470B" w:rsidRDefault="00F6470B" w:rsidP="00F6470B">
            <w:pPr>
              <w:autoSpaceDE w:val="0"/>
              <w:autoSpaceDN w:val="0"/>
              <w:adjustRightInd w:val="0"/>
              <w:jc w:val="right"/>
              <w:rPr>
                <w:rFonts w:asciiTheme="minorHAnsi" w:hAnsiTheme="minorHAnsi" w:cs="Calibri"/>
                <w:color w:val="FFFFFF" w:themeColor="background1"/>
                <w:sz w:val="22"/>
              </w:rPr>
            </w:pPr>
          </w:p>
          <w:p w:rsidR="00F6470B" w:rsidRPr="00F6470B" w:rsidRDefault="00F6470B" w:rsidP="00F6470B">
            <w:pPr>
              <w:autoSpaceDE w:val="0"/>
              <w:autoSpaceDN w:val="0"/>
              <w:adjustRightInd w:val="0"/>
              <w:jc w:val="center"/>
              <w:rPr>
                <w:rFonts w:asciiTheme="minorHAnsi" w:hAnsiTheme="minorHAnsi" w:cs="Calibri"/>
                <w:color w:val="FFFFFF" w:themeColor="background1"/>
                <w:sz w:val="22"/>
              </w:rPr>
            </w:pPr>
            <w:r w:rsidRPr="00F6470B">
              <w:rPr>
                <w:rFonts w:asciiTheme="minorHAnsi" w:hAnsiTheme="minorHAnsi" w:cs="Calibri"/>
                <w:color w:val="FFFFFF" w:themeColor="background1"/>
                <w:sz w:val="18"/>
              </w:rPr>
              <w:t>Nastawiony na zbudowanie przewag konkurencyjnych Polski opartych o wzrost KI (wzrost kapitału ludzkiego, społecznego,</w:t>
            </w:r>
            <w:r>
              <w:rPr>
                <w:rFonts w:asciiTheme="minorHAnsi" w:hAnsiTheme="minorHAnsi" w:cs="Calibri"/>
                <w:color w:val="FFFFFF" w:themeColor="background1"/>
                <w:sz w:val="18"/>
              </w:rPr>
              <w:t xml:space="preserve"> relacyjnego, strukturalnego) i </w:t>
            </w:r>
            <w:r w:rsidRPr="00F6470B">
              <w:rPr>
                <w:rFonts w:asciiTheme="minorHAnsi" w:hAnsiTheme="minorHAnsi" w:cs="Calibri"/>
                <w:color w:val="FFFFFF" w:themeColor="background1"/>
                <w:sz w:val="18"/>
              </w:rPr>
              <w:t>wykorzystanie impetu cyfrowego, co daje w efekcie większą konkurencyjność</w:t>
            </w:r>
          </w:p>
        </w:tc>
        <w:tc>
          <w:tcPr>
            <w:tcW w:w="283" w:type="dxa"/>
            <w:tcBorders>
              <w:top w:val="single" w:sz="4" w:space="0" w:color="FFFFFF" w:themeColor="background1"/>
              <w:bottom w:val="single" w:sz="4" w:space="0" w:color="FFFFFF" w:themeColor="background1"/>
            </w:tcBorders>
          </w:tcPr>
          <w:p w:rsidR="00F6470B" w:rsidRPr="00F6470B" w:rsidRDefault="00F6470B" w:rsidP="00F6470B">
            <w:pPr>
              <w:autoSpaceDE w:val="0"/>
              <w:autoSpaceDN w:val="0"/>
              <w:adjustRightInd w:val="0"/>
              <w:rPr>
                <w:rFonts w:asciiTheme="minorHAnsi" w:hAnsiTheme="minorHAnsi" w:cs="Calibri"/>
                <w:color w:val="FFFFFF" w:themeColor="background1"/>
                <w:sz w:val="22"/>
              </w:rPr>
            </w:pPr>
          </w:p>
        </w:tc>
        <w:tc>
          <w:tcPr>
            <w:tcW w:w="2835" w:type="dxa"/>
            <w:tcBorders>
              <w:top w:val="single" w:sz="4" w:space="0" w:color="000000" w:themeColor="text1"/>
            </w:tcBorders>
            <w:shd w:val="clear" w:color="auto" w:fill="70AD47" w:themeFill="accent6"/>
          </w:tcPr>
          <w:p w:rsidR="00F6470B" w:rsidRPr="00F6470B" w:rsidRDefault="00F6470B" w:rsidP="00F6470B">
            <w:pPr>
              <w:autoSpaceDE w:val="0"/>
              <w:autoSpaceDN w:val="0"/>
              <w:adjustRightInd w:val="0"/>
              <w:jc w:val="center"/>
              <w:rPr>
                <w:rFonts w:asciiTheme="minorHAnsi" w:hAnsiTheme="minorHAnsi" w:cs="Calibri"/>
                <w:b/>
                <w:color w:val="FFFFFF" w:themeColor="background1"/>
                <w:sz w:val="20"/>
              </w:rPr>
            </w:pPr>
            <w:r w:rsidRPr="00F6470B">
              <w:rPr>
                <w:rFonts w:asciiTheme="minorHAnsi" w:hAnsiTheme="minorHAnsi" w:cs="Calibri"/>
                <w:b/>
                <w:color w:val="FFFFFF" w:themeColor="background1"/>
                <w:sz w:val="20"/>
              </w:rPr>
              <w:t>obszar równoważenia potencjału rozwojowego regionów (dyfuzji)</w:t>
            </w:r>
          </w:p>
          <w:p w:rsidR="00F6470B" w:rsidRPr="00F6470B" w:rsidRDefault="00F6470B" w:rsidP="00F6470B">
            <w:pPr>
              <w:autoSpaceDE w:val="0"/>
              <w:autoSpaceDN w:val="0"/>
              <w:adjustRightInd w:val="0"/>
              <w:rPr>
                <w:rFonts w:asciiTheme="minorHAnsi" w:hAnsiTheme="minorHAnsi" w:cs="Calibri"/>
                <w:b/>
                <w:color w:val="FFFFFF" w:themeColor="background1"/>
                <w:sz w:val="20"/>
              </w:rPr>
            </w:pPr>
          </w:p>
          <w:p w:rsidR="00F6470B" w:rsidRPr="00F6470B" w:rsidRDefault="00F6470B" w:rsidP="00F6470B">
            <w:pPr>
              <w:autoSpaceDE w:val="0"/>
              <w:autoSpaceDN w:val="0"/>
              <w:adjustRightInd w:val="0"/>
              <w:jc w:val="center"/>
              <w:rPr>
                <w:rFonts w:asciiTheme="minorHAnsi" w:hAnsiTheme="minorHAnsi" w:cs="Calibri"/>
                <w:color w:val="FFFFFF" w:themeColor="background1"/>
                <w:sz w:val="20"/>
              </w:rPr>
            </w:pPr>
            <w:r w:rsidRPr="00F6470B">
              <w:rPr>
                <w:rFonts w:asciiTheme="minorHAnsi" w:hAnsiTheme="minorHAnsi" w:cs="Calibri"/>
                <w:color w:val="FFFFFF" w:themeColor="background1"/>
                <w:sz w:val="18"/>
              </w:rPr>
              <w:t>Zgodnie z zasadami rozbudzania potencjału rozwojowego odpowiednich obszarów mechanizmami dyfuzji i absorpcji oraz polityką spójności społecznej, co daje w efekcie zwiększenie potencjału konkurencyjnego Polski</w:t>
            </w:r>
          </w:p>
        </w:tc>
        <w:tc>
          <w:tcPr>
            <w:tcW w:w="283" w:type="dxa"/>
            <w:tcBorders>
              <w:top w:val="single" w:sz="4" w:space="0" w:color="FFFFFF" w:themeColor="background1"/>
              <w:bottom w:val="single" w:sz="4" w:space="0" w:color="FFFFFF" w:themeColor="background1"/>
            </w:tcBorders>
          </w:tcPr>
          <w:p w:rsidR="00F6470B" w:rsidRPr="00F6470B" w:rsidRDefault="00F6470B" w:rsidP="00F6470B">
            <w:pPr>
              <w:autoSpaceDE w:val="0"/>
              <w:autoSpaceDN w:val="0"/>
              <w:adjustRightInd w:val="0"/>
              <w:rPr>
                <w:rFonts w:asciiTheme="minorHAnsi" w:hAnsiTheme="minorHAnsi" w:cs="Calibri"/>
                <w:color w:val="FFFFFF" w:themeColor="background1"/>
                <w:sz w:val="22"/>
              </w:rPr>
            </w:pPr>
          </w:p>
        </w:tc>
        <w:tc>
          <w:tcPr>
            <w:tcW w:w="2835" w:type="dxa"/>
            <w:tcBorders>
              <w:top w:val="single" w:sz="4" w:space="0" w:color="000000" w:themeColor="text1"/>
            </w:tcBorders>
            <w:shd w:val="clear" w:color="auto" w:fill="7030A0"/>
          </w:tcPr>
          <w:p w:rsidR="00F6470B" w:rsidRPr="00F6470B" w:rsidRDefault="00F6470B" w:rsidP="00F6470B">
            <w:pPr>
              <w:autoSpaceDE w:val="0"/>
              <w:autoSpaceDN w:val="0"/>
              <w:adjustRightInd w:val="0"/>
              <w:jc w:val="center"/>
              <w:rPr>
                <w:rFonts w:asciiTheme="minorHAnsi" w:hAnsiTheme="minorHAnsi" w:cs="Calibri"/>
                <w:b/>
                <w:color w:val="FFFFFF" w:themeColor="background1"/>
                <w:sz w:val="20"/>
              </w:rPr>
            </w:pPr>
            <w:r w:rsidRPr="00F6470B">
              <w:rPr>
                <w:rFonts w:asciiTheme="minorHAnsi" w:hAnsiTheme="minorHAnsi" w:cs="Calibri"/>
                <w:b/>
                <w:color w:val="FFFFFF" w:themeColor="background1"/>
                <w:sz w:val="20"/>
              </w:rPr>
              <w:t>o</w:t>
            </w:r>
            <w:r>
              <w:rPr>
                <w:rFonts w:asciiTheme="minorHAnsi" w:hAnsiTheme="minorHAnsi" w:cs="Calibri"/>
                <w:b/>
                <w:color w:val="FFFFFF" w:themeColor="background1"/>
                <w:sz w:val="20"/>
              </w:rPr>
              <w:t>bszar efektywności i </w:t>
            </w:r>
            <w:r w:rsidRPr="00F6470B">
              <w:rPr>
                <w:rFonts w:asciiTheme="minorHAnsi" w:hAnsiTheme="minorHAnsi" w:cs="Calibri"/>
                <w:b/>
                <w:color w:val="FFFFFF" w:themeColor="background1"/>
                <w:sz w:val="20"/>
              </w:rPr>
              <w:t>sprawności państwa (efektywności)</w:t>
            </w:r>
          </w:p>
          <w:p w:rsidR="00F6470B" w:rsidRPr="00F6470B" w:rsidRDefault="00F6470B" w:rsidP="00F6470B">
            <w:pPr>
              <w:autoSpaceDE w:val="0"/>
              <w:autoSpaceDN w:val="0"/>
              <w:adjustRightInd w:val="0"/>
              <w:rPr>
                <w:rFonts w:asciiTheme="minorHAnsi" w:hAnsiTheme="minorHAnsi" w:cs="Calibri"/>
                <w:b/>
                <w:color w:val="FFFFFF" w:themeColor="background1"/>
                <w:sz w:val="20"/>
              </w:rPr>
            </w:pPr>
          </w:p>
          <w:p w:rsidR="00F6470B" w:rsidRPr="00F6470B" w:rsidRDefault="00F6470B" w:rsidP="00F6470B">
            <w:pPr>
              <w:autoSpaceDE w:val="0"/>
              <w:autoSpaceDN w:val="0"/>
              <w:adjustRightInd w:val="0"/>
              <w:jc w:val="center"/>
              <w:rPr>
                <w:rFonts w:asciiTheme="minorHAnsi" w:hAnsiTheme="minorHAnsi" w:cs="Calibri"/>
                <w:color w:val="FFFFFF" w:themeColor="background1"/>
                <w:sz w:val="18"/>
              </w:rPr>
            </w:pPr>
            <w:r w:rsidRPr="00F6470B">
              <w:rPr>
                <w:rFonts w:asciiTheme="minorHAnsi" w:hAnsiTheme="minorHAnsi" w:cs="Calibri"/>
                <w:color w:val="FFFFFF" w:themeColor="background1"/>
                <w:sz w:val="18"/>
              </w:rPr>
              <w:t>Usprawniający funkcje przyjaznego i pomocnego państwa (nie nadodpowiedzialnego) działającego efektywnie w kluczowych obszarach interwencji</w:t>
            </w:r>
          </w:p>
          <w:p w:rsidR="00F6470B" w:rsidRPr="00F6470B" w:rsidRDefault="00F6470B" w:rsidP="00F6470B">
            <w:pPr>
              <w:jc w:val="center"/>
              <w:rPr>
                <w:rFonts w:asciiTheme="minorHAnsi" w:hAnsiTheme="minorHAnsi" w:cs="Calibri"/>
                <w:color w:val="FFFFFF" w:themeColor="background1"/>
                <w:sz w:val="22"/>
              </w:rPr>
            </w:pPr>
          </w:p>
        </w:tc>
      </w:tr>
    </w:tbl>
    <w:p w:rsidR="00A370FF" w:rsidRPr="00563EF2" w:rsidRDefault="00A370FF" w:rsidP="00FD7676">
      <w:pPr>
        <w:autoSpaceDE w:val="0"/>
        <w:autoSpaceDN w:val="0"/>
        <w:adjustRightInd w:val="0"/>
        <w:rPr>
          <w:rFonts w:asciiTheme="minorHAnsi" w:hAnsiTheme="minorHAnsi" w:cs="Calibri"/>
          <w:color w:val="000000"/>
          <w:sz w:val="22"/>
        </w:rPr>
      </w:pPr>
    </w:p>
    <w:p w:rsidR="00A370FF" w:rsidRPr="002E2D3F" w:rsidRDefault="00A370FF" w:rsidP="00FD7676">
      <w:pPr>
        <w:autoSpaceDE w:val="0"/>
        <w:autoSpaceDN w:val="0"/>
        <w:adjustRightInd w:val="0"/>
        <w:rPr>
          <w:rFonts w:asciiTheme="minorHAnsi" w:hAnsiTheme="minorHAnsi"/>
          <w:bCs/>
          <w:i/>
          <w:sz w:val="20"/>
        </w:rPr>
      </w:pPr>
      <w:r w:rsidRPr="002E2D3F">
        <w:rPr>
          <w:rFonts w:asciiTheme="minorHAnsi" w:hAnsiTheme="minorHAnsi" w:cs="Calibri"/>
          <w:color w:val="000000"/>
          <w:sz w:val="20"/>
        </w:rPr>
        <w:t xml:space="preserve">Źródło: </w:t>
      </w:r>
      <w:r w:rsidRPr="002E2D3F">
        <w:rPr>
          <w:rFonts w:asciiTheme="minorHAnsi" w:hAnsiTheme="minorHAnsi"/>
          <w:bCs/>
          <w:i/>
          <w:sz w:val="20"/>
        </w:rPr>
        <w:t>Długookresowa Strategia Rozwoju Kraju - Polska 2030. Trzecia fala nowoczesności.</w:t>
      </w:r>
    </w:p>
    <w:p w:rsidR="004C3CFF" w:rsidRPr="00563EF2" w:rsidRDefault="004C3CFF" w:rsidP="00FD7676">
      <w:pPr>
        <w:autoSpaceDE w:val="0"/>
        <w:autoSpaceDN w:val="0"/>
        <w:adjustRightInd w:val="0"/>
        <w:rPr>
          <w:rFonts w:asciiTheme="minorHAnsi" w:hAnsiTheme="minorHAnsi" w:cs="Calibri"/>
          <w:color w:val="000000"/>
          <w:sz w:val="22"/>
        </w:rPr>
      </w:pPr>
    </w:p>
    <w:p w:rsidR="00A370FF" w:rsidRPr="00563EF2" w:rsidRDefault="004641BB"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Szczególną wagę</w:t>
      </w:r>
      <w:r w:rsidR="00A370FF" w:rsidRPr="00563EF2">
        <w:rPr>
          <w:rFonts w:asciiTheme="minorHAnsi" w:hAnsiTheme="minorHAnsi" w:cs="Calibri"/>
          <w:color w:val="000000"/>
          <w:sz w:val="22"/>
        </w:rPr>
        <w:t xml:space="preserve"> w realizacji postanowień </w:t>
      </w:r>
      <w:r w:rsidR="00A370FF" w:rsidRPr="00563EF2">
        <w:rPr>
          <w:rFonts w:asciiTheme="minorHAnsi" w:hAnsiTheme="minorHAnsi" w:cs="Calibri"/>
          <w:i/>
          <w:color w:val="000000"/>
          <w:sz w:val="22"/>
        </w:rPr>
        <w:t>DSRK 2030</w:t>
      </w:r>
      <w:r w:rsidR="00A370FF" w:rsidRPr="00563EF2">
        <w:rPr>
          <w:rFonts w:asciiTheme="minorHAnsi" w:hAnsiTheme="minorHAnsi" w:cs="Calibri"/>
          <w:color w:val="000000"/>
          <w:sz w:val="22"/>
        </w:rPr>
        <w:t xml:space="preserve">  upatruje w przesunięciu wydatków publicznych w kierunku wydatków prorozwojowych, które pozwolą na utrzymanie korzystnego tempa konwergencji, wyrównywania różnic gospodarczych w stosunku do najbardziej rozwiniętych gospodarek Unii Europejskiej. Konieczne przy tym będzie zachowanie równowagi finansów publicznych, tj. uniknięcia zagrożeń spowodowanych nadmiernym zadłużeniem lub występowaniem deficytu budżetu państwa i budżetu sektora instytucji samorządowych.</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Rozwój Polski w najbliższych dziesięcioleciach wg </w:t>
      </w:r>
      <w:r w:rsidRPr="00563EF2">
        <w:rPr>
          <w:rFonts w:asciiTheme="minorHAnsi" w:hAnsiTheme="minorHAnsi" w:cs="Calibri"/>
          <w:i/>
          <w:color w:val="000000"/>
          <w:sz w:val="22"/>
        </w:rPr>
        <w:t>Długookresowej Strategii Rozwoju Kraju</w:t>
      </w:r>
      <w:r w:rsidRPr="00563EF2">
        <w:rPr>
          <w:rFonts w:asciiTheme="minorHAnsi" w:hAnsiTheme="minorHAnsi" w:cs="Calibri"/>
          <w:color w:val="000000"/>
          <w:sz w:val="22"/>
        </w:rPr>
        <w:t xml:space="preserve"> uwarunkowany jest przez dwa wymiary: generacyjny i geograficzny.</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rPr>
          <w:rFonts w:asciiTheme="minorHAnsi" w:hAnsiTheme="minorHAnsi" w:cs="Calibri"/>
          <w:color w:val="000000"/>
          <w:sz w:val="22"/>
        </w:rPr>
      </w:pPr>
      <w:r w:rsidRPr="00563EF2">
        <w:rPr>
          <w:rFonts w:asciiTheme="minorHAnsi" w:hAnsiTheme="minorHAnsi" w:cs="Calibri"/>
          <w:color w:val="000000"/>
          <w:sz w:val="22"/>
        </w:rPr>
        <w:t>Wymiar demograficzny polityki strategicznej kraju warunkuje dokonująca się zmiana demograficzna. Pierwszy powojenny wyż demograficzny zmniejsza swoje zaangażowanie publiczne i aktywność zawodową, zaś drugi powojenny wyż demograficzny lat 70. i 80. XX wieku wkracza w pełnię życia zawodowego i społecznego, kształtując nowe wzorce społeczne, konsumpcyjne i kulturowe. Relacja między tymi pokoleniami, umiejętność dzielenia się zadaniami oraz kooperacja będą wyznacznikiem uzyskiwanej lub nie, wartości dodanej z pozytywnej wymiany generacyjnej. Dodatkowym aspektem jest wydłużenie się życia społeczeństwa, przy postępu</w:t>
      </w:r>
      <w:r w:rsidR="000666F3">
        <w:rPr>
          <w:rFonts w:asciiTheme="minorHAnsi" w:hAnsiTheme="minorHAnsi" w:cs="Calibri"/>
          <w:color w:val="000000"/>
          <w:sz w:val="22"/>
        </w:rPr>
        <w:t>jącym niżu demograficznym, które</w:t>
      </w:r>
      <w:r w:rsidRPr="00563EF2">
        <w:rPr>
          <w:rFonts w:asciiTheme="minorHAnsi" w:hAnsiTheme="minorHAnsi" w:cs="Calibri"/>
          <w:color w:val="000000"/>
          <w:sz w:val="22"/>
        </w:rPr>
        <w:t xml:space="preserve"> nakłada konieczność rozwijania polityki prorodzinnej i zmian trad</w:t>
      </w:r>
      <w:r w:rsidR="000666F3">
        <w:rPr>
          <w:rFonts w:asciiTheme="minorHAnsi" w:hAnsiTheme="minorHAnsi" w:cs="Calibri"/>
          <w:color w:val="000000"/>
          <w:sz w:val="22"/>
        </w:rPr>
        <w:t>ycyjnych struktur społecznych oraz </w:t>
      </w:r>
      <w:r w:rsidRPr="00563EF2">
        <w:rPr>
          <w:rFonts w:asciiTheme="minorHAnsi" w:hAnsiTheme="minorHAnsi" w:cs="Calibri"/>
          <w:color w:val="000000"/>
          <w:sz w:val="22"/>
        </w:rPr>
        <w:t xml:space="preserve">gospodarczych (zwłaszcza na rynku pracy).  </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autoSpaceDE w:val="0"/>
        <w:autoSpaceDN w:val="0"/>
        <w:adjustRightInd w:val="0"/>
        <w:rPr>
          <w:rFonts w:asciiTheme="minorHAnsi" w:hAnsiTheme="minorHAnsi"/>
          <w:sz w:val="22"/>
        </w:rPr>
      </w:pPr>
      <w:r w:rsidRPr="00563EF2">
        <w:rPr>
          <w:rFonts w:asciiTheme="minorHAnsi" w:hAnsiTheme="minorHAnsi" w:cs="Calibri"/>
          <w:color w:val="000000"/>
          <w:sz w:val="22"/>
        </w:rPr>
        <w:t xml:space="preserve">Wymiar geograficzny wynika ze zróżnicowania terytorialnego Polski i </w:t>
      </w:r>
      <w:r w:rsidR="000666F3">
        <w:rPr>
          <w:rFonts w:asciiTheme="minorHAnsi" w:hAnsiTheme="minorHAnsi" w:cs="Calibri"/>
          <w:color w:val="000000"/>
          <w:sz w:val="22"/>
        </w:rPr>
        <w:t>związanych z tym dysproporcji w </w:t>
      </w:r>
      <w:r w:rsidRPr="00563EF2">
        <w:rPr>
          <w:rFonts w:asciiTheme="minorHAnsi" w:hAnsiTheme="minorHAnsi" w:cs="Calibri"/>
          <w:color w:val="000000"/>
          <w:sz w:val="22"/>
        </w:rPr>
        <w:t>szansach rozwo</w:t>
      </w:r>
      <w:r w:rsidR="00843208">
        <w:rPr>
          <w:rFonts w:asciiTheme="minorHAnsi" w:hAnsiTheme="minorHAnsi" w:cs="Calibri"/>
          <w:color w:val="000000"/>
          <w:sz w:val="22"/>
        </w:rPr>
        <w:t>jowych poszczególnych regionów.</w:t>
      </w:r>
      <w:r w:rsidRPr="00563EF2">
        <w:rPr>
          <w:rFonts w:asciiTheme="minorHAnsi" w:hAnsiTheme="minorHAnsi" w:cs="Calibri"/>
          <w:color w:val="000000"/>
          <w:sz w:val="22"/>
        </w:rPr>
        <w:t xml:space="preserve"> </w:t>
      </w:r>
      <w:r w:rsidRPr="00563EF2">
        <w:rPr>
          <w:rFonts w:asciiTheme="minorHAnsi" w:hAnsiTheme="minorHAnsi"/>
          <w:sz w:val="22"/>
        </w:rPr>
        <w:t xml:space="preserve">Główne wyzwanie dla długookresowej polityki rozwoju dotyczy wspierania najbardziej dynamicznych obszarów oraz wyrównywania szans rozwojowych obszarów słabszych poprzez rozwijanie i kreowanie ich potencjałów, przy jednoczesnej zintegrowanej, efektywnej poprawie powiązań komunikacyjnych (transport, Internet) obszarów słabszych z liderami rozwoju. </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Jako liderów rozwoju w skali międzynarodowej dokument </w:t>
      </w:r>
      <w:r w:rsidRPr="00563EF2">
        <w:rPr>
          <w:rFonts w:asciiTheme="minorHAnsi" w:hAnsiTheme="minorHAnsi"/>
          <w:i/>
          <w:sz w:val="22"/>
        </w:rPr>
        <w:t>Strategii</w:t>
      </w:r>
      <w:r w:rsidRPr="00563EF2">
        <w:rPr>
          <w:rFonts w:asciiTheme="minorHAnsi" w:hAnsiTheme="minorHAnsi"/>
          <w:sz w:val="22"/>
        </w:rPr>
        <w:t xml:space="preserve"> wskazuje metropolie, w których siedzibę znajdują najważniejsze instytucje finansowe, zarządy korporac</w:t>
      </w:r>
      <w:r w:rsidR="00843208">
        <w:rPr>
          <w:rFonts w:asciiTheme="minorHAnsi" w:hAnsiTheme="minorHAnsi"/>
          <w:sz w:val="22"/>
        </w:rPr>
        <w:t>ji, główne instytuty naukowe i </w:t>
      </w:r>
      <w:r w:rsidRPr="00563EF2">
        <w:rPr>
          <w:rFonts w:asciiTheme="minorHAnsi" w:hAnsiTheme="minorHAnsi"/>
          <w:sz w:val="22"/>
        </w:rPr>
        <w:t>ośrodki akademickie oraz które są miejscem najważniejszych wyda</w:t>
      </w:r>
      <w:r w:rsidR="00843208">
        <w:rPr>
          <w:rFonts w:asciiTheme="minorHAnsi" w:hAnsiTheme="minorHAnsi"/>
          <w:sz w:val="22"/>
        </w:rPr>
        <w:t>rzeń gospodarczych, naukowych i </w:t>
      </w:r>
      <w:r w:rsidRPr="00563EF2">
        <w:rPr>
          <w:rFonts w:asciiTheme="minorHAnsi" w:hAnsiTheme="minorHAnsi"/>
          <w:sz w:val="22"/>
        </w:rPr>
        <w:t>kulturalnych. Za liderów rozwoju w skali krajowej uznaje z kolei ośrodki regionalne, a na poziomie regionalnym ośrodki subregionalne</w:t>
      </w:r>
      <w:r w:rsidRPr="00563EF2">
        <w:rPr>
          <w:rFonts w:asciiTheme="minorHAnsi" w:hAnsiTheme="minorHAnsi"/>
          <w:b/>
          <w:sz w:val="22"/>
        </w:rPr>
        <w:t xml:space="preserve">. </w:t>
      </w:r>
      <w:r w:rsidRPr="00563EF2">
        <w:rPr>
          <w:rFonts w:asciiTheme="minorHAnsi" w:hAnsiTheme="minorHAnsi"/>
          <w:sz w:val="22"/>
        </w:rPr>
        <w:t>Zwiększenia szans rozwojowych słabszych obszarów upatrywać należy w ich funkcjonalnym powiązaniu z centrami wzrostu, tj. ośrodka</w:t>
      </w:r>
      <w:r w:rsidR="00843208">
        <w:rPr>
          <w:rFonts w:asciiTheme="minorHAnsi" w:hAnsiTheme="minorHAnsi"/>
          <w:sz w:val="22"/>
        </w:rPr>
        <w:t>mi regionalnymi (np. Legnica) i </w:t>
      </w:r>
      <w:r w:rsidRPr="00563EF2">
        <w:rPr>
          <w:rFonts w:asciiTheme="minorHAnsi" w:hAnsiTheme="minorHAnsi"/>
          <w:sz w:val="22"/>
        </w:rPr>
        <w:t>subregionalnymi, a tych z metropoliami (Wrocław). Obszary te mogą korzystać na rozwoju ośrodków miejskich poprzez wykorzystanie tworzonych tam innowacji, zwiększanie alternatyw zatrudnienia, poszerzanie ścieżek edukacyjnych, zwiększanie uczestnictwa w kulturze, itp. Warunkiem jest jednak budowa</w:t>
      </w:r>
      <w:r w:rsidR="00DF70B0">
        <w:rPr>
          <w:rFonts w:asciiTheme="minorHAnsi" w:hAnsiTheme="minorHAnsi"/>
          <w:sz w:val="22"/>
        </w:rPr>
        <w:t xml:space="preserve"> </w:t>
      </w:r>
      <w:r w:rsidR="00DF70B0" w:rsidRPr="00563EF2">
        <w:rPr>
          <w:rFonts w:asciiTheme="minorHAnsi" w:hAnsiTheme="minorHAnsi"/>
          <w:sz w:val="22"/>
        </w:rPr>
        <w:t>na słabszych obszarach</w:t>
      </w:r>
      <w:r w:rsidRPr="00563EF2">
        <w:rPr>
          <w:rFonts w:asciiTheme="minorHAnsi" w:hAnsiTheme="minorHAnsi"/>
          <w:sz w:val="22"/>
        </w:rPr>
        <w:t xml:space="preserve"> własnych, zróżnicowanych potencjałów rozwojowych pozwalających na uczestniczenie we wzroście liderów.</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rPr>
          <w:rFonts w:asciiTheme="minorHAnsi" w:hAnsiTheme="minorHAnsi"/>
          <w:sz w:val="22"/>
        </w:rPr>
      </w:pPr>
      <w:r w:rsidRPr="00563EF2">
        <w:rPr>
          <w:rFonts w:asciiTheme="minorHAnsi" w:hAnsiTheme="minorHAnsi"/>
          <w:i/>
          <w:sz w:val="22"/>
        </w:rPr>
        <w:t>DSRK 2030</w:t>
      </w:r>
      <w:r w:rsidRPr="00563EF2">
        <w:rPr>
          <w:rFonts w:asciiTheme="minorHAnsi" w:hAnsiTheme="minorHAnsi"/>
          <w:sz w:val="22"/>
        </w:rPr>
        <w:t xml:space="preserve"> zwraca również uwagę na zmianę funkcji gospodarczej miast i ich postindustrialny charakter prowadzący do prymatu rozwoju usług nad przemysłem i przenoszeniu się przedsiębiorstw do klastrów na obrzeżach miejskich lub na tereny rolniczo-przemysłowe wokół miast, które w ten sposób powiększają swoją powierzchnię. Strategia wskazuje na wagę rozwoju podstawowej infrastruktury miejskiej (komunikacji, kanalizacji, oświetlenia, usług kulturalnych – bibliotek, domów kultury, etc.), ale i nowej – związanej z przestrzeniami promującymi aktywne życie publiczne, umożliwiającymi interakcje, wyzwalającymi kreatywność, podnoszącymi jakość życia, tworzącymi warunki dla nowych form spędzania wolnego czasu (ang. </w:t>
      </w:r>
      <w:r w:rsidRPr="00563EF2">
        <w:rPr>
          <w:rFonts w:asciiTheme="minorHAnsi" w:hAnsiTheme="minorHAnsi"/>
          <w:i/>
          <w:iCs/>
          <w:sz w:val="22"/>
        </w:rPr>
        <w:t>leisure time</w:t>
      </w:r>
      <w:r w:rsidRPr="00563EF2">
        <w:rPr>
          <w:rFonts w:asciiTheme="minorHAnsi" w:hAnsiTheme="minorHAnsi"/>
          <w:sz w:val="22"/>
        </w:rPr>
        <w:t xml:space="preserve">) w mieście, nowymi rodzajami dzielnic mieszkaniowych. Kluczem do rozwoju wg </w:t>
      </w:r>
      <w:r w:rsidRPr="00843208">
        <w:rPr>
          <w:rFonts w:asciiTheme="minorHAnsi" w:hAnsiTheme="minorHAnsi"/>
          <w:i/>
          <w:sz w:val="22"/>
        </w:rPr>
        <w:t>DSRK 2030</w:t>
      </w:r>
      <w:r w:rsidRPr="00563EF2">
        <w:rPr>
          <w:rFonts w:asciiTheme="minorHAnsi" w:hAnsiTheme="minorHAnsi"/>
          <w:sz w:val="22"/>
        </w:rPr>
        <w:t xml:space="preserve"> jest sensowne podjęcie wyzwania dopasowania instytucji miasta i jego oferty do potrzeb ludzkich i społeczny</w:t>
      </w:r>
      <w:r w:rsidR="00843208">
        <w:rPr>
          <w:rFonts w:asciiTheme="minorHAnsi" w:hAnsiTheme="minorHAnsi"/>
          <w:sz w:val="22"/>
        </w:rPr>
        <w:t>ch związanych z cyklem życia, a w </w:t>
      </w:r>
      <w:r w:rsidRPr="00563EF2">
        <w:rPr>
          <w:rFonts w:asciiTheme="minorHAnsi" w:hAnsiTheme="minorHAnsi"/>
          <w:sz w:val="22"/>
        </w:rPr>
        <w:t>szczególności ze starzeniem się społeczeństw wielkomiejskich.</w:t>
      </w:r>
    </w:p>
    <w:p w:rsidR="00A370FF" w:rsidRPr="00563EF2" w:rsidRDefault="00A370FF" w:rsidP="00FD7676">
      <w:pPr>
        <w:rPr>
          <w:rFonts w:asciiTheme="minorHAnsi" w:hAnsiTheme="minorHAnsi"/>
          <w:b/>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bCs/>
          <w:color w:val="000000"/>
          <w:sz w:val="22"/>
        </w:rPr>
        <w:t xml:space="preserve">W ramach jednego z kierunków interwencji obszaru równoważenia potencjału regionów pt. „Wprowadzenie rozwiązań prawno-organizacyjnych stymulujących rozwój miast” określono następujące działania: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Przyjęcie ustawy metropolitalnej</w:t>
      </w:r>
      <w:r w:rsidRPr="00563EF2">
        <w:rPr>
          <w:rFonts w:asciiTheme="minorHAnsi" w:hAnsiTheme="minorHAnsi" w:cs="Calibri"/>
          <w:color w:val="000000"/>
          <w:sz w:val="22"/>
        </w:rPr>
        <w:t xml:space="preserve">, zawierającej regulacje porządkujące ustrój funkcjonalny metropolii, co pozwoli na lepsze planowanie systemów komunikacji, zagospodarowania przestrzennego, działań z zakresu bezpieczeństwa publicznego, zarządzania kryzysowego, ratownictwa, ochrony ludności itp., a także pozwalające na lepsze wykorzystanie funduszy europejskich poprzez bardziej efektywną koordynację inwestycji, zwłaszcza w systemy transportu.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Objęcie miejscowymi planami zagospodarowania</w:t>
      </w:r>
      <w:r w:rsidRPr="00563EF2">
        <w:rPr>
          <w:rFonts w:asciiTheme="minorHAnsi" w:hAnsiTheme="minorHAnsi" w:cs="Calibri"/>
          <w:color w:val="000000"/>
          <w:sz w:val="22"/>
        </w:rPr>
        <w:t xml:space="preserve"> </w:t>
      </w:r>
      <w:r w:rsidRPr="00563EF2">
        <w:rPr>
          <w:rFonts w:asciiTheme="minorHAnsi" w:hAnsiTheme="minorHAnsi" w:cs="Calibri"/>
          <w:b/>
          <w:color w:val="000000"/>
          <w:sz w:val="22"/>
        </w:rPr>
        <w:t>całej rozwojowej przestrzeni polskich miast</w:t>
      </w:r>
      <w:r w:rsidRPr="00563EF2">
        <w:rPr>
          <w:rFonts w:asciiTheme="minorHAnsi" w:hAnsiTheme="minorHAnsi" w:cs="Calibri"/>
          <w:color w:val="000000"/>
          <w:sz w:val="22"/>
        </w:rPr>
        <w:t xml:space="preserve">. W tym celu wprowadzone zostaną rozwiązania instytucjonalne premiujące samorządy posiadające tego rodzaju plany na większości swojego obszaru, a także regulacje minimalizujące koszty związane ze zwiększaniem obszaru objętego planami zagospodarowania przestrzennego.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b/>
          <w:color w:val="000000"/>
          <w:sz w:val="22"/>
        </w:rPr>
      </w:pPr>
      <w:r w:rsidRPr="00563EF2">
        <w:rPr>
          <w:rFonts w:asciiTheme="minorHAnsi" w:hAnsiTheme="minorHAnsi" w:cs="Calibri"/>
          <w:b/>
          <w:color w:val="000000"/>
          <w:sz w:val="22"/>
        </w:rPr>
        <w:t xml:space="preserve">Modernizacja i budowa infrastruktury miejskiej.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Przeciwdziałanie prywatyzacji przestrzeni miejskiej</w:t>
      </w:r>
      <w:r w:rsidRPr="00563EF2">
        <w:rPr>
          <w:rFonts w:asciiTheme="minorHAnsi" w:hAnsiTheme="minorHAnsi" w:cs="Calibri"/>
          <w:color w:val="000000"/>
          <w:sz w:val="22"/>
        </w:rPr>
        <w:t xml:space="preserve"> i takie jej kształtowanie, aby sprzyjała interakcjom społecznym.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Budowa efektywnych systemów transportu</w:t>
      </w:r>
      <w:r w:rsidRPr="00563EF2">
        <w:rPr>
          <w:rFonts w:asciiTheme="minorHAnsi" w:hAnsiTheme="minorHAnsi" w:cs="Calibri"/>
          <w:color w:val="000000"/>
          <w:sz w:val="22"/>
        </w:rPr>
        <w:t xml:space="preserve">, z uwzględnieniem połączeń z najbliższym otoczeniem miasta.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Wspieranie potencjałów gospodarczych obszarów miejskich</w:t>
      </w:r>
      <w:r w:rsidRPr="00563EF2">
        <w:rPr>
          <w:rFonts w:asciiTheme="minorHAnsi" w:hAnsiTheme="minorHAnsi" w:cs="Calibri"/>
          <w:color w:val="000000"/>
          <w:sz w:val="22"/>
        </w:rPr>
        <w:t xml:space="preserve"> (inwestycje w naukę, B+R, innowacyjność, instytucje kultury i sztuki). </w:t>
      </w:r>
    </w:p>
    <w:p w:rsidR="00A370FF" w:rsidRPr="00563EF2" w:rsidRDefault="00A370FF" w:rsidP="00BC166D">
      <w:pPr>
        <w:pStyle w:val="Akapitzlist"/>
        <w:numPr>
          <w:ilvl w:val="0"/>
          <w:numId w:val="19"/>
        </w:numPr>
        <w:autoSpaceDE w:val="0"/>
        <w:autoSpaceDN w:val="0"/>
        <w:adjustRightInd w:val="0"/>
        <w:spacing w:after="66"/>
        <w:rPr>
          <w:rFonts w:asciiTheme="minorHAnsi" w:hAnsiTheme="minorHAnsi" w:cs="Calibri"/>
          <w:color w:val="000000"/>
          <w:sz w:val="22"/>
        </w:rPr>
      </w:pPr>
      <w:r w:rsidRPr="00563EF2">
        <w:rPr>
          <w:rFonts w:asciiTheme="minorHAnsi" w:hAnsiTheme="minorHAnsi" w:cs="Calibri"/>
          <w:b/>
          <w:color w:val="000000"/>
          <w:sz w:val="22"/>
        </w:rPr>
        <w:t>Tworzenie infrastruktury dla klasy kreatywnej</w:t>
      </w:r>
      <w:r w:rsidRPr="00563EF2">
        <w:rPr>
          <w:rFonts w:asciiTheme="minorHAnsi" w:hAnsiTheme="minorHAnsi" w:cs="Calibri"/>
          <w:color w:val="000000"/>
          <w:sz w:val="22"/>
        </w:rPr>
        <w:t xml:space="preserve"> (Internet, sprzyjająca interakcjom społecznym tkanka miejska, itp.). </w:t>
      </w:r>
    </w:p>
    <w:p w:rsidR="00A370FF" w:rsidRPr="00563EF2" w:rsidRDefault="00A370FF" w:rsidP="00FD7676">
      <w:pPr>
        <w:rPr>
          <w:rFonts w:asciiTheme="minorHAnsi" w:hAnsiTheme="minorHAnsi"/>
          <w:b/>
          <w:sz w:val="22"/>
        </w:rPr>
      </w:pPr>
    </w:p>
    <w:p w:rsidR="00A370FF" w:rsidRPr="00563EF2" w:rsidRDefault="00A370FF" w:rsidP="00EC5484">
      <w:pPr>
        <w:pStyle w:val="Nagwek3"/>
      </w:pPr>
      <w:bookmarkStart w:id="6" w:name="_Toc399756295"/>
      <w:r w:rsidRPr="00563EF2">
        <w:t>Średniookresowa Strategia Rozwoju Kraju 2020: Aktywne społeczeństwo, Konkurencyjna gospodarka, Sprawne państwo</w:t>
      </w:r>
      <w:bookmarkEnd w:id="6"/>
    </w:p>
    <w:p w:rsidR="00A370FF" w:rsidRPr="00563EF2" w:rsidRDefault="00A370FF" w:rsidP="00FD7676">
      <w:pPr>
        <w:rPr>
          <w:rFonts w:asciiTheme="minorHAnsi" w:hAnsiTheme="minorHAnsi"/>
          <w:b/>
          <w:sz w:val="22"/>
        </w:rPr>
      </w:pPr>
    </w:p>
    <w:p w:rsidR="00A370FF" w:rsidRPr="00563EF2" w:rsidRDefault="00A370FF" w:rsidP="00FD7676">
      <w:pPr>
        <w:rPr>
          <w:rFonts w:asciiTheme="minorHAnsi" w:hAnsiTheme="minorHAnsi"/>
          <w:sz w:val="22"/>
        </w:rPr>
      </w:pPr>
      <w:r w:rsidRPr="00843208">
        <w:rPr>
          <w:rFonts w:asciiTheme="minorHAnsi" w:hAnsiTheme="minorHAnsi"/>
          <w:i/>
          <w:sz w:val="22"/>
        </w:rPr>
        <w:t>Średniookresowa Strategia Rozwoju Kraju 2020</w:t>
      </w:r>
      <w:r w:rsidRPr="00563EF2">
        <w:rPr>
          <w:rFonts w:asciiTheme="minorHAnsi" w:hAnsiTheme="minorHAnsi"/>
          <w:sz w:val="22"/>
        </w:rPr>
        <w:t xml:space="preserve"> w myśl art. 9 ust. 2 </w:t>
      </w:r>
      <w:r w:rsidRPr="00563EF2">
        <w:rPr>
          <w:rFonts w:asciiTheme="minorHAnsi" w:hAnsiTheme="minorHAnsi"/>
          <w:i/>
          <w:sz w:val="22"/>
        </w:rPr>
        <w:t>Ustawy o zasadach prowadzenia polityki rozwoju</w:t>
      </w:r>
      <w:r w:rsidRPr="00563EF2">
        <w:rPr>
          <w:rFonts w:asciiTheme="minorHAnsi" w:hAnsiTheme="minorHAnsi"/>
          <w:sz w:val="22"/>
        </w:rPr>
        <w:t xml:space="preserve"> stanowi dokument określający podstawowe uwarunkowania, cele i kierunki rozwoju kraju w wymiarze społecznym, gospodarczym, regionalnym i przestrzennym, obejmujący okres 4-10 lat, realizowany przez strategie rozwoju oraz przy pomocy programów, z uwzględnieniem okresu programowania Unii Europejskiej”.</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Opisana powyżej rola </w:t>
      </w:r>
      <w:r w:rsidRPr="00563EF2">
        <w:rPr>
          <w:rFonts w:asciiTheme="minorHAnsi" w:hAnsiTheme="minorHAnsi"/>
          <w:i/>
          <w:sz w:val="22"/>
        </w:rPr>
        <w:t>Średniookresowej Strategii Rozwoju Kraju 2020</w:t>
      </w:r>
      <w:r w:rsidR="00843208">
        <w:rPr>
          <w:rFonts w:asciiTheme="minorHAnsi" w:hAnsiTheme="minorHAnsi"/>
          <w:sz w:val="22"/>
        </w:rPr>
        <w:t xml:space="preserve"> widoczna jest w jej zapisach i </w:t>
      </w:r>
      <w:r w:rsidRPr="00563EF2">
        <w:rPr>
          <w:rFonts w:asciiTheme="minorHAnsi" w:hAnsiTheme="minorHAnsi"/>
          <w:sz w:val="22"/>
        </w:rPr>
        <w:t xml:space="preserve">postanowieniach pozostających w spójności z </w:t>
      </w:r>
      <w:r w:rsidRPr="00563EF2">
        <w:rPr>
          <w:rFonts w:asciiTheme="minorHAnsi" w:hAnsiTheme="minorHAnsi"/>
          <w:i/>
          <w:sz w:val="22"/>
        </w:rPr>
        <w:t>Długookresową Strategią Rozwoju Kraju 2030,</w:t>
      </w:r>
      <w:r w:rsidR="00843208">
        <w:rPr>
          <w:rFonts w:asciiTheme="minorHAnsi" w:hAnsiTheme="minorHAnsi"/>
          <w:sz w:val="22"/>
        </w:rPr>
        <w:t xml:space="preserve"> jak i </w:t>
      </w:r>
      <w:r w:rsidRPr="00563EF2">
        <w:rPr>
          <w:rFonts w:asciiTheme="minorHAnsi" w:hAnsiTheme="minorHAnsi"/>
          <w:i/>
          <w:sz w:val="22"/>
        </w:rPr>
        <w:t>Strategią Europa 2020</w:t>
      </w:r>
      <w:r w:rsidR="00DF70B0">
        <w:rPr>
          <w:rFonts w:asciiTheme="minorHAnsi" w:hAnsiTheme="minorHAnsi"/>
          <w:sz w:val="22"/>
        </w:rPr>
        <w:t xml:space="preserve"> oraz uwzględniających nowy okres</w:t>
      </w:r>
      <w:r w:rsidRPr="00563EF2">
        <w:rPr>
          <w:rFonts w:asciiTheme="minorHAnsi" w:hAnsiTheme="minorHAnsi"/>
          <w:sz w:val="22"/>
        </w:rPr>
        <w:t xml:space="preserve"> programowania Unii Europejskiej na lata 2014-2020.</w:t>
      </w:r>
    </w:p>
    <w:p w:rsidR="00A370FF" w:rsidRPr="00563EF2" w:rsidRDefault="00A370FF" w:rsidP="00FD7676">
      <w:pPr>
        <w:rPr>
          <w:rFonts w:asciiTheme="minorHAnsi" w:hAnsiTheme="minorHAnsi"/>
          <w:b/>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Celem głównym </w:t>
      </w:r>
      <w:r w:rsidRPr="00843208">
        <w:rPr>
          <w:rFonts w:asciiTheme="minorHAnsi" w:hAnsiTheme="minorHAnsi"/>
          <w:i/>
          <w:sz w:val="22"/>
        </w:rPr>
        <w:t>ŚSRK 2020</w:t>
      </w:r>
      <w:r w:rsidRPr="00563EF2">
        <w:rPr>
          <w:rFonts w:asciiTheme="minorHAnsi" w:hAnsiTheme="minorHAnsi"/>
          <w:sz w:val="22"/>
        </w:rPr>
        <w:t xml:space="preserve"> jest „wzmocnienie i </w:t>
      </w:r>
      <w:r w:rsidR="004641BB" w:rsidRPr="00563EF2">
        <w:rPr>
          <w:rFonts w:asciiTheme="minorHAnsi" w:hAnsiTheme="minorHAnsi"/>
          <w:sz w:val="22"/>
        </w:rPr>
        <w:t>wykorzystanie gospodarczych</w:t>
      </w:r>
      <w:r w:rsidR="00843208">
        <w:rPr>
          <w:rFonts w:asciiTheme="minorHAnsi" w:hAnsiTheme="minorHAnsi"/>
          <w:sz w:val="22"/>
        </w:rPr>
        <w:t>, społecznych i </w:t>
      </w:r>
      <w:r w:rsidRPr="00563EF2">
        <w:rPr>
          <w:rFonts w:asciiTheme="minorHAnsi" w:hAnsiTheme="minorHAnsi"/>
          <w:sz w:val="22"/>
        </w:rPr>
        <w:t xml:space="preserve">instytucjonalnych potencjałów zapewniających szybszy i zrównoważony rozwój kraju oraz poprawę jakości życia ludności.” </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Realizacja celu głównego ma być możliwa dzięki wdrażaniu celów strategicznych w ramach trzech obszarów strategicznych, czyli:</w:t>
      </w:r>
    </w:p>
    <w:p w:rsidR="00A370FF" w:rsidRPr="00563EF2" w:rsidRDefault="00A370FF" w:rsidP="00BC166D">
      <w:pPr>
        <w:pStyle w:val="Akapitzlist"/>
        <w:numPr>
          <w:ilvl w:val="0"/>
          <w:numId w:val="23"/>
        </w:numPr>
        <w:rPr>
          <w:rFonts w:asciiTheme="minorHAnsi" w:hAnsiTheme="minorHAnsi"/>
          <w:sz w:val="22"/>
        </w:rPr>
      </w:pPr>
      <w:r w:rsidRPr="00563EF2">
        <w:rPr>
          <w:rFonts w:asciiTheme="minorHAnsi" w:hAnsiTheme="minorHAnsi"/>
          <w:sz w:val="22"/>
        </w:rPr>
        <w:t>Obszarze strategicznym – Sprawne i efektywne państwo, poprzez:</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1.1. Przejście od administrowania do zarządzania rozwojem,</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1.2. Zapewnienie środków na działania rozwojowe,</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1.3. Wzmocnienie warunków sprzyjających real</w:t>
      </w:r>
      <w:r w:rsidR="00843208">
        <w:rPr>
          <w:rFonts w:asciiTheme="minorHAnsi" w:hAnsiTheme="minorHAnsi"/>
          <w:sz w:val="22"/>
        </w:rPr>
        <w:t>izacji indywidualnych potrzeb i </w:t>
      </w:r>
      <w:r w:rsidRPr="00563EF2">
        <w:rPr>
          <w:rFonts w:asciiTheme="minorHAnsi" w:hAnsiTheme="minorHAnsi"/>
          <w:sz w:val="22"/>
        </w:rPr>
        <w:t>aktywności obywatela</w:t>
      </w:r>
      <w:r w:rsidR="00757102">
        <w:rPr>
          <w:rFonts w:asciiTheme="minorHAnsi" w:hAnsiTheme="minorHAnsi"/>
          <w:sz w:val="22"/>
        </w:rPr>
        <w:t>.</w:t>
      </w:r>
    </w:p>
    <w:p w:rsidR="00A370FF" w:rsidRPr="00563EF2" w:rsidRDefault="00A370FF" w:rsidP="00BC166D">
      <w:pPr>
        <w:pStyle w:val="Akapitzlist"/>
        <w:numPr>
          <w:ilvl w:val="0"/>
          <w:numId w:val="23"/>
        </w:numPr>
        <w:rPr>
          <w:rFonts w:asciiTheme="minorHAnsi" w:hAnsiTheme="minorHAnsi"/>
          <w:sz w:val="22"/>
        </w:rPr>
      </w:pPr>
      <w:r w:rsidRPr="00563EF2">
        <w:rPr>
          <w:rFonts w:asciiTheme="minorHAnsi" w:hAnsiTheme="minorHAnsi"/>
          <w:sz w:val="22"/>
        </w:rPr>
        <w:t>Obszarze strategicznym – Konkurencyjność gospodarki, poprzez:</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2.1. Wzmocnienie stabilności makroekonomicznej,</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2.2. Wzrost wydajności gospodarki,</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2.3 Zwiększenie innowacyjności gospodarki,</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2.4. Rozwój kapitału ludzkiego,</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2.5. Zwiększenie wykorzystania technologii cyfrowych,</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2.6. Bezpieczeństwo energetyczne i środowisko,</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2.7. Zwiększenie efektywności transportu</w:t>
      </w:r>
      <w:r w:rsidR="00757102">
        <w:rPr>
          <w:rFonts w:asciiTheme="minorHAnsi" w:hAnsiTheme="minorHAnsi"/>
          <w:sz w:val="22"/>
        </w:rPr>
        <w:t>.</w:t>
      </w:r>
    </w:p>
    <w:p w:rsidR="00A370FF" w:rsidRPr="00563EF2" w:rsidRDefault="00A370FF" w:rsidP="00BC166D">
      <w:pPr>
        <w:pStyle w:val="Akapitzlist"/>
        <w:numPr>
          <w:ilvl w:val="0"/>
          <w:numId w:val="23"/>
        </w:numPr>
        <w:rPr>
          <w:rFonts w:asciiTheme="minorHAnsi" w:hAnsiTheme="minorHAnsi"/>
          <w:sz w:val="22"/>
        </w:rPr>
      </w:pPr>
      <w:r w:rsidRPr="00563EF2">
        <w:rPr>
          <w:rFonts w:asciiTheme="minorHAnsi" w:hAnsiTheme="minorHAnsi"/>
          <w:sz w:val="22"/>
        </w:rPr>
        <w:t>Obszarze strategicznym – Spójność społeczna i terytorialna, poprzez:</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3.1. Integracja społeczna,</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3.2. Zapewnienie dostępu i określonych standardów usług publicznych,</w:t>
      </w:r>
    </w:p>
    <w:p w:rsidR="00A370FF" w:rsidRPr="00563EF2" w:rsidRDefault="00A370FF" w:rsidP="00BC166D">
      <w:pPr>
        <w:pStyle w:val="Akapitzlist"/>
        <w:numPr>
          <w:ilvl w:val="1"/>
          <w:numId w:val="23"/>
        </w:numPr>
        <w:rPr>
          <w:rFonts w:asciiTheme="minorHAnsi" w:hAnsiTheme="minorHAnsi"/>
          <w:sz w:val="22"/>
        </w:rPr>
      </w:pPr>
      <w:r w:rsidRPr="00563EF2">
        <w:rPr>
          <w:rFonts w:asciiTheme="minorHAnsi" w:hAnsiTheme="minorHAnsi"/>
          <w:sz w:val="22"/>
        </w:rPr>
        <w:t>Cel 3.3. Wzmocnienie mechanizmów terytorialnego równoważenia rozwoju oraz integracja przestrzenna d</w:t>
      </w:r>
      <w:r w:rsidR="00757102">
        <w:rPr>
          <w:rFonts w:asciiTheme="minorHAnsi" w:hAnsiTheme="minorHAnsi"/>
          <w:sz w:val="22"/>
        </w:rPr>
        <w:t>la</w:t>
      </w:r>
      <w:r w:rsidRPr="00563EF2">
        <w:rPr>
          <w:rFonts w:asciiTheme="minorHAnsi" w:hAnsiTheme="minorHAnsi"/>
          <w:sz w:val="22"/>
        </w:rPr>
        <w:t xml:space="preserve"> rozwijania i pełnego wykorzystania potencjałów regionalnych</w:t>
      </w:r>
      <w:r w:rsidR="00757102">
        <w:rPr>
          <w:rFonts w:asciiTheme="minorHAnsi" w:hAnsiTheme="minorHAnsi"/>
          <w:sz w:val="22"/>
        </w:rPr>
        <w:t>.</w:t>
      </w:r>
    </w:p>
    <w:p w:rsidR="00A370FF" w:rsidRPr="00563EF2" w:rsidRDefault="00A370FF" w:rsidP="00FD7676">
      <w:pPr>
        <w:pStyle w:val="Akapitzlist"/>
        <w:ind w:left="1440"/>
        <w:rPr>
          <w:rFonts w:asciiTheme="minorHAnsi" w:hAnsiTheme="minorHAnsi"/>
          <w:sz w:val="22"/>
        </w:rPr>
      </w:pPr>
    </w:p>
    <w:p w:rsidR="00A370FF" w:rsidRPr="00563EF2" w:rsidRDefault="00A370FF" w:rsidP="00FD7676">
      <w:pPr>
        <w:autoSpaceDE w:val="0"/>
        <w:autoSpaceDN w:val="0"/>
        <w:adjustRightInd w:val="0"/>
        <w:rPr>
          <w:rFonts w:asciiTheme="minorHAnsi" w:hAnsiTheme="minorHAnsi" w:cs="Calibri"/>
          <w:sz w:val="22"/>
        </w:rPr>
      </w:pPr>
      <w:r w:rsidRPr="00843208">
        <w:rPr>
          <w:rFonts w:asciiTheme="minorHAnsi" w:hAnsiTheme="minorHAnsi" w:cs="Calibri"/>
          <w:i/>
          <w:sz w:val="22"/>
        </w:rPr>
        <w:t>ŚSRK 2020</w:t>
      </w:r>
      <w:r w:rsidRPr="00563EF2">
        <w:rPr>
          <w:rFonts w:asciiTheme="minorHAnsi" w:hAnsiTheme="minorHAnsi" w:cs="Calibri"/>
          <w:sz w:val="22"/>
        </w:rPr>
        <w:t xml:space="preserve"> zwraca uwagę na znaczenie samorządów terytorialnych w</w:t>
      </w:r>
      <w:r w:rsidR="00843208">
        <w:rPr>
          <w:rFonts w:asciiTheme="minorHAnsi" w:hAnsiTheme="minorHAnsi" w:cs="Calibri"/>
          <w:sz w:val="22"/>
        </w:rPr>
        <w:t xml:space="preserve"> dynamizacji rozwoju regionów i </w:t>
      </w:r>
      <w:r w:rsidRPr="00563EF2">
        <w:rPr>
          <w:rFonts w:asciiTheme="minorHAnsi" w:hAnsiTheme="minorHAnsi" w:cs="Calibri"/>
          <w:sz w:val="22"/>
        </w:rPr>
        <w:t>kraju. Stwierdza, iż podejmowane działania powinny mieć wymiar tery</w:t>
      </w:r>
      <w:r w:rsidR="00843208">
        <w:rPr>
          <w:rFonts w:asciiTheme="minorHAnsi" w:hAnsiTheme="minorHAnsi" w:cs="Calibri"/>
          <w:sz w:val="22"/>
        </w:rPr>
        <w:t xml:space="preserve">torialny, służący wzmocnieniu i </w:t>
      </w:r>
      <w:r w:rsidRPr="00563EF2">
        <w:rPr>
          <w:rFonts w:asciiTheme="minorHAnsi" w:hAnsiTheme="minorHAnsi" w:cs="Calibri"/>
          <w:sz w:val="22"/>
        </w:rPr>
        <w:t xml:space="preserve">lepszym wykorzystaniu potencjałów regionalnych. Konieczne jest również prowadzenie działań rozwojowych polityki regionalnej w sposób zintegrowany i komplementarny </w:t>
      </w:r>
      <w:r w:rsidR="00843208">
        <w:rPr>
          <w:rFonts w:asciiTheme="minorHAnsi" w:hAnsiTheme="minorHAnsi" w:cs="Calibri"/>
          <w:sz w:val="22"/>
        </w:rPr>
        <w:t>z racjonalną i </w:t>
      </w:r>
      <w:r w:rsidRPr="00563EF2">
        <w:rPr>
          <w:rFonts w:asciiTheme="minorHAnsi" w:hAnsiTheme="minorHAnsi" w:cs="Calibri"/>
          <w:sz w:val="22"/>
        </w:rPr>
        <w:t>zrównoważoną gospodarką przestrzenną.</w:t>
      </w:r>
    </w:p>
    <w:p w:rsidR="00A370FF" w:rsidRPr="00563EF2" w:rsidRDefault="00A370FF" w:rsidP="00FD7676">
      <w:pPr>
        <w:autoSpaceDE w:val="0"/>
        <w:autoSpaceDN w:val="0"/>
        <w:adjustRightInd w:val="0"/>
        <w:rPr>
          <w:rFonts w:asciiTheme="minorHAnsi" w:hAnsiTheme="minorHAnsi" w:cs="Calibri"/>
          <w:sz w:val="22"/>
        </w:rPr>
      </w:pPr>
    </w:p>
    <w:p w:rsidR="00A370FF" w:rsidRPr="00563EF2" w:rsidRDefault="00A370FF" w:rsidP="00FD7676">
      <w:pPr>
        <w:autoSpaceDE w:val="0"/>
        <w:autoSpaceDN w:val="0"/>
        <w:adjustRightInd w:val="0"/>
        <w:rPr>
          <w:rFonts w:asciiTheme="minorHAnsi" w:hAnsiTheme="minorHAnsi" w:cs="Calibri"/>
          <w:sz w:val="22"/>
        </w:rPr>
      </w:pPr>
      <w:r w:rsidRPr="00563EF2">
        <w:rPr>
          <w:rFonts w:asciiTheme="minorHAnsi" w:hAnsiTheme="minorHAnsi" w:cs="Calibri"/>
          <w:sz w:val="22"/>
        </w:rPr>
        <w:t xml:space="preserve">W dokumencie </w:t>
      </w:r>
      <w:r w:rsidRPr="00563EF2">
        <w:rPr>
          <w:rFonts w:asciiTheme="minorHAnsi" w:hAnsiTheme="minorHAnsi" w:cs="Calibri"/>
          <w:i/>
          <w:sz w:val="22"/>
        </w:rPr>
        <w:t xml:space="preserve">Strategii </w:t>
      </w:r>
      <w:r w:rsidRPr="00563EF2">
        <w:rPr>
          <w:rFonts w:asciiTheme="minorHAnsi" w:hAnsiTheme="minorHAnsi" w:cs="Calibri"/>
          <w:sz w:val="22"/>
        </w:rPr>
        <w:t xml:space="preserve">dostrzega się konieczność wprowadzenia krajowej polityki miejskiej, łączącej polityki sektorowe wpływające na rozwój miast i definiującej wymierne cele dostosowane do wyzwań stojących przed miastami na różnym etapie rozwoju. Szczególną rolę w rozwoju gospodarczym kraju odgrywają bowiem ośrodki miejskie wraz z ich otoczeniem funkcjonalnym, stanowiące centra procesów rozwojowych zarówno w skali kraju, jak i regionu. Polityka regionalna </w:t>
      </w:r>
      <w:r w:rsidR="00DF70B0">
        <w:rPr>
          <w:rFonts w:asciiTheme="minorHAnsi" w:hAnsiTheme="minorHAnsi" w:cs="Calibri"/>
          <w:sz w:val="22"/>
        </w:rPr>
        <w:t>po</w:t>
      </w:r>
      <w:r w:rsidRPr="00563EF2">
        <w:rPr>
          <w:rFonts w:asciiTheme="minorHAnsi" w:hAnsiTheme="minorHAnsi" w:cs="Calibri"/>
          <w:sz w:val="22"/>
        </w:rPr>
        <w:t>winna być zatem</w:t>
      </w:r>
      <w:r w:rsidR="00DF70B0">
        <w:rPr>
          <w:rFonts w:asciiTheme="minorHAnsi" w:hAnsiTheme="minorHAnsi" w:cs="Calibri"/>
          <w:sz w:val="22"/>
        </w:rPr>
        <w:t xml:space="preserve"> </w:t>
      </w:r>
      <w:r w:rsidR="00DF70B0" w:rsidRPr="00563EF2">
        <w:rPr>
          <w:rFonts w:asciiTheme="minorHAnsi" w:hAnsiTheme="minorHAnsi" w:cs="Calibri"/>
          <w:sz w:val="22"/>
        </w:rPr>
        <w:t>ukierunkowana</w:t>
      </w:r>
      <w:r w:rsidR="00DF70B0">
        <w:rPr>
          <w:rFonts w:asciiTheme="minorHAnsi" w:hAnsiTheme="minorHAnsi" w:cs="Calibri"/>
          <w:sz w:val="22"/>
        </w:rPr>
        <w:t xml:space="preserve"> na rozwijaniu</w:t>
      </w:r>
      <w:r w:rsidRPr="00563EF2">
        <w:rPr>
          <w:rFonts w:asciiTheme="minorHAnsi" w:hAnsiTheme="minorHAnsi" w:cs="Calibri"/>
          <w:sz w:val="22"/>
        </w:rPr>
        <w:t xml:space="preserve"> powiązań funkcjonalnych, infrastrukturalnych i instytucjonalnych między ośrodkami wojewódzkimi oraz</w:t>
      </w:r>
      <w:r w:rsidR="00DF70B0">
        <w:rPr>
          <w:rFonts w:asciiTheme="minorHAnsi" w:hAnsiTheme="minorHAnsi" w:cs="Calibri"/>
          <w:sz w:val="22"/>
        </w:rPr>
        <w:t xml:space="preserve"> na</w:t>
      </w:r>
      <w:r w:rsidRPr="00563EF2">
        <w:rPr>
          <w:rFonts w:asciiTheme="minorHAnsi" w:hAnsiTheme="minorHAnsi" w:cs="Calibri"/>
          <w:sz w:val="22"/>
        </w:rPr>
        <w:t xml:space="preserve"> pełnym wykorzystaniu czynników rozwojowych opartych na regionalnych i lokalnych potencjałach oraz przepływie impulsów rozwojowych nie tylko między ośrodkami wojewódzkimi, ale i do dalszego ich otoczenia.</w:t>
      </w:r>
    </w:p>
    <w:p w:rsidR="00A370FF" w:rsidRPr="00563EF2" w:rsidRDefault="00A370FF" w:rsidP="00FD7676">
      <w:pPr>
        <w:autoSpaceDE w:val="0"/>
        <w:autoSpaceDN w:val="0"/>
        <w:adjustRightInd w:val="0"/>
        <w:rPr>
          <w:rFonts w:asciiTheme="minorHAnsi" w:hAnsiTheme="minorHAnsi" w:cs="Calibri,Bold"/>
          <w:b/>
          <w:bCs/>
          <w:color w:val="0859C2"/>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ŚSRK wskazuje na rolę miast średniej wielkości, które pełnią w polityce regionalnej funkcję tzw. biegunów wzrostu w skali regionalnej i subregionalnej, odgrywając podstawową rolę w życiu społecznym, gospodarczym i administracyjnym tych regionów. To pr</w:t>
      </w:r>
      <w:r w:rsidR="00EC0CEE">
        <w:rPr>
          <w:rFonts w:asciiTheme="minorHAnsi" w:hAnsiTheme="minorHAnsi" w:cs="Calibri"/>
          <w:color w:val="000000"/>
          <w:sz w:val="22"/>
        </w:rPr>
        <w:t>zez nie bowiem są absorbowane i </w:t>
      </w:r>
      <w:r w:rsidRPr="00563EF2">
        <w:rPr>
          <w:rFonts w:asciiTheme="minorHAnsi" w:hAnsiTheme="minorHAnsi" w:cs="Calibri"/>
          <w:color w:val="000000"/>
          <w:sz w:val="22"/>
        </w:rPr>
        <w:t>rozprzestrzeniane na pozostałą część regionu impulsy rozwojowe, wychodzące głównie z ośrodków metropolitalnych (miast wojewódzkich). Niektóre z miast, dzięki wypracowanej specjalizacji, oddziałują bezpośrednio na rozwój kraju w sferze gospodarczej, a także zaspokajają dostęp do usług publicznych średniego, a czasem wyższego rzędu dla mieszkańców regionu.</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Jednym z założeń </w:t>
      </w:r>
      <w:r w:rsidRPr="00843208">
        <w:rPr>
          <w:rFonts w:asciiTheme="minorHAnsi" w:hAnsiTheme="minorHAnsi" w:cs="Calibri"/>
          <w:i/>
          <w:color w:val="000000"/>
          <w:sz w:val="22"/>
        </w:rPr>
        <w:t>ŚSRK</w:t>
      </w:r>
      <w:r w:rsidR="00DF70B0">
        <w:rPr>
          <w:rFonts w:asciiTheme="minorHAnsi" w:hAnsiTheme="minorHAnsi" w:cs="Calibri"/>
          <w:color w:val="000000"/>
          <w:sz w:val="22"/>
        </w:rPr>
        <w:t xml:space="preserve"> jest</w:t>
      </w:r>
      <w:r w:rsidRPr="00563EF2">
        <w:rPr>
          <w:rFonts w:asciiTheme="minorHAnsi" w:hAnsiTheme="minorHAnsi" w:cs="Calibri"/>
          <w:color w:val="000000"/>
          <w:sz w:val="22"/>
        </w:rPr>
        <w:t xml:space="preserve"> wzmacnianie sprawności funkcjonowania systemu osadniczego, obejmującego miasta różnej wielkości oraz dostosowanie interwencji </w:t>
      </w:r>
      <w:r w:rsidR="00843208">
        <w:rPr>
          <w:rFonts w:asciiTheme="minorHAnsi" w:hAnsiTheme="minorHAnsi" w:cs="Calibri"/>
          <w:color w:val="000000"/>
          <w:sz w:val="22"/>
        </w:rPr>
        <w:t>publicznej do specyfiki miast o </w:t>
      </w:r>
      <w:r w:rsidRPr="00563EF2">
        <w:rPr>
          <w:rFonts w:asciiTheme="minorHAnsi" w:hAnsiTheme="minorHAnsi" w:cs="Calibri"/>
          <w:color w:val="000000"/>
          <w:sz w:val="22"/>
        </w:rPr>
        <w:t xml:space="preserve">znaczeniu regionalnym i subregionalnym. Silne i konkurencyjne miasta średnie i małe powinny stanowić centra rozwoju obszarów wiejskich, przygranicznych, czy peryferyjnie położonych w stosunku do głównych miast, szczególnie dzięki </w:t>
      </w:r>
      <w:r w:rsidRPr="00563EF2">
        <w:rPr>
          <w:rFonts w:asciiTheme="minorHAnsi" w:hAnsiTheme="minorHAnsi" w:cs="Calibri"/>
          <w:sz w:val="22"/>
        </w:rPr>
        <w:t>przyciąganiu inwestycji zewnętrznych bądź wykorzystaniu potencjału rolniczego otaczających je obszarów (jako miejsca zbytu i przetwórstwa produktów rolno</w:t>
      </w:r>
      <w:r w:rsidR="004641BB">
        <w:rPr>
          <w:rFonts w:asciiTheme="minorHAnsi" w:hAnsiTheme="minorHAnsi" w:cs="Calibri"/>
          <w:sz w:val="22"/>
        </w:rPr>
        <w:noBreakHyphen/>
      </w:r>
      <w:r w:rsidRPr="00563EF2">
        <w:rPr>
          <w:rFonts w:asciiTheme="minorHAnsi" w:hAnsiTheme="minorHAnsi" w:cs="Calibri"/>
          <w:sz w:val="22"/>
        </w:rPr>
        <w:t>spożywczych).</w:t>
      </w:r>
      <w:r w:rsidRPr="00563EF2">
        <w:rPr>
          <w:rFonts w:asciiTheme="minorHAnsi" w:hAnsiTheme="minorHAnsi" w:cs="Calibri"/>
          <w:color w:val="000000"/>
          <w:sz w:val="22"/>
        </w:rPr>
        <w:t xml:space="preserve"> Rozwój miast powinien opierać się na wykorzysty</w:t>
      </w:r>
      <w:r w:rsidR="00AF34E7">
        <w:rPr>
          <w:rFonts w:asciiTheme="minorHAnsi" w:hAnsiTheme="minorHAnsi" w:cs="Calibri"/>
          <w:color w:val="000000"/>
          <w:sz w:val="22"/>
        </w:rPr>
        <w:t>waniu specyfiki terytorialnej i </w:t>
      </w:r>
      <w:r w:rsidRPr="00563EF2">
        <w:rPr>
          <w:rFonts w:asciiTheme="minorHAnsi" w:hAnsiTheme="minorHAnsi" w:cs="Calibri"/>
          <w:color w:val="000000"/>
          <w:sz w:val="22"/>
        </w:rPr>
        <w:t xml:space="preserve">pogłębianiu specjalizacji (w przemyśle, usługach, rolnictwie, czy turystyce) decydujących o przewadze komparatywnej danego obszaru. Znaczne możliwości w zakresie specjalizacji regionalnej </w:t>
      </w:r>
      <w:r w:rsidRPr="00843208">
        <w:rPr>
          <w:rFonts w:asciiTheme="minorHAnsi" w:hAnsiTheme="minorHAnsi" w:cs="Calibri"/>
          <w:i/>
          <w:color w:val="000000"/>
          <w:sz w:val="22"/>
        </w:rPr>
        <w:t>ŚSRK</w:t>
      </w:r>
      <w:r w:rsidR="00AF34E7">
        <w:rPr>
          <w:rFonts w:asciiTheme="minorHAnsi" w:hAnsiTheme="minorHAnsi" w:cs="Calibri"/>
          <w:color w:val="000000"/>
          <w:sz w:val="22"/>
        </w:rPr>
        <w:t xml:space="preserve"> widzi w </w:t>
      </w:r>
      <w:r w:rsidRPr="00563EF2">
        <w:rPr>
          <w:rFonts w:asciiTheme="minorHAnsi" w:hAnsiTheme="minorHAnsi" w:cs="Calibri"/>
          <w:color w:val="000000"/>
          <w:sz w:val="22"/>
        </w:rPr>
        <w:t>zastosowaniu instrumentu jakim jest przekształcanie skupisk firm w dynamiczne klastry, o wysokim poziomie konkurencji i współpracy, interakcji i efektów zewnętrznych.</w:t>
      </w:r>
    </w:p>
    <w:p w:rsidR="00F6470B" w:rsidRDefault="00F6470B" w:rsidP="00FD7676">
      <w:pPr>
        <w:autoSpaceDE w:val="0"/>
        <w:autoSpaceDN w:val="0"/>
        <w:adjustRightInd w:val="0"/>
        <w:rPr>
          <w:rFonts w:asciiTheme="minorHAnsi" w:hAnsiTheme="minorHAnsi" w:cs="Calibri"/>
          <w:color w:val="000000"/>
          <w:sz w:val="22"/>
        </w:rPr>
      </w:pPr>
      <w:r>
        <w:rPr>
          <w:rFonts w:asciiTheme="minorHAnsi" w:hAnsiTheme="minorHAnsi" w:cs="Calibri"/>
          <w:color w:val="000000"/>
          <w:sz w:val="22"/>
        </w:rPr>
        <w:br w:type="page"/>
      </w:r>
    </w:p>
    <w:p w:rsidR="00A370FF" w:rsidRPr="00563EF2" w:rsidRDefault="00A370FF" w:rsidP="00FD7676">
      <w:p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Za najważniejszy czynnik stymulujący rozprzestrzenianie się procesów rozwojowych międ</w:t>
      </w:r>
      <w:r w:rsidR="00AF34E7">
        <w:rPr>
          <w:rFonts w:asciiTheme="minorHAnsi" w:hAnsiTheme="minorHAnsi" w:cs="Calibri"/>
          <w:color w:val="000000"/>
          <w:sz w:val="22"/>
        </w:rPr>
        <w:t>zy miastami oraz do obszarów je</w:t>
      </w:r>
      <w:r w:rsidRPr="00563EF2">
        <w:rPr>
          <w:rFonts w:asciiTheme="minorHAnsi" w:hAnsiTheme="minorHAnsi" w:cs="Calibri"/>
          <w:color w:val="000000"/>
          <w:sz w:val="22"/>
        </w:rPr>
        <w:t xml:space="preserve"> otaczających wskazuje się lokalną infrastrukturę transportową oraz teleinformatyczną. Koncentracja działań JST na budowie i modernizacji lokalnej infrastruktury drogowej oraz intensyfikacji połączeń transportowych, sprzyja rozwojowi przedsiębiorczości, równocześnie umożliwiając dostęp do oferowanych przez miasta usług publicznych. Prowadzone równoleg</w:t>
      </w:r>
      <w:r w:rsidR="00AF34E7">
        <w:rPr>
          <w:rFonts w:asciiTheme="minorHAnsi" w:hAnsiTheme="minorHAnsi" w:cs="Calibri"/>
          <w:color w:val="000000"/>
          <w:sz w:val="22"/>
        </w:rPr>
        <w:t>le do inwestycji transportowych</w:t>
      </w:r>
      <w:r w:rsidRPr="00563EF2">
        <w:rPr>
          <w:rFonts w:asciiTheme="minorHAnsi" w:hAnsiTheme="minorHAnsi" w:cs="Calibri"/>
          <w:color w:val="000000"/>
          <w:sz w:val="22"/>
        </w:rPr>
        <w:t xml:space="preserve"> inwestycje w infrastrukturę teleinformatyczną, a zwłaszcza w poszerzenie dostępu do szerokopasmowego Internetu obszarów wiejskich i słabiej rozwiniętych, wzmagają z kolei spójność gospodarczą i społeczną regionów. </w:t>
      </w:r>
    </w:p>
    <w:p w:rsidR="00A370FF" w:rsidRPr="00563EF2" w:rsidRDefault="00A370FF" w:rsidP="00FD7676">
      <w:pPr>
        <w:autoSpaceDE w:val="0"/>
        <w:autoSpaceDN w:val="0"/>
        <w:adjustRightInd w:val="0"/>
        <w:rPr>
          <w:rFonts w:asciiTheme="minorHAnsi" w:hAnsiTheme="minorHAnsi" w:cs="Calibri"/>
          <w:color w:val="000000"/>
          <w:sz w:val="22"/>
        </w:rPr>
      </w:pPr>
    </w:p>
    <w:p w:rsidR="00A370FF" w:rsidRPr="00843208" w:rsidRDefault="00A370FF" w:rsidP="00EC5484">
      <w:pPr>
        <w:pStyle w:val="Nagwek4"/>
        <w:rPr>
          <w:i w:val="0"/>
        </w:rPr>
      </w:pPr>
      <w:r w:rsidRPr="00843208">
        <w:rPr>
          <w:i w:val="0"/>
        </w:rPr>
        <w:t>Krajowa Strategia Rozwoju Regionalnego 2010-2020: Regiony, Miasta, Obszary wiejskie</w:t>
      </w:r>
    </w:p>
    <w:p w:rsidR="00A370FF" w:rsidRPr="00563EF2" w:rsidRDefault="00A370FF" w:rsidP="00FD7676">
      <w:pPr>
        <w:autoSpaceDE w:val="0"/>
        <w:autoSpaceDN w:val="0"/>
        <w:adjustRightInd w:val="0"/>
        <w:rPr>
          <w:rFonts w:asciiTheme="minorHAnsi" w:hAnsiTheme="minorHAnsi"/>
          <w:sz w:val="22"/>
        </w:rPr>
      </w:pPr>
    </w:p>
    <w:p w:rsidR="00A370FF" w:rsidRPr="00563EF2" w:rsidRDefault="00A370FF" w:rsidP="00FD7676">
      <w:pPr>
        <w:autoSpaceDE w:val="0"/>
        <w:autoSpaceDN w:val="0"/>
        <w:adjustRightInd w:val="0"/>
        <w:rPr>
          <w:rFonts w:asciiTheme="minorHAnsi" w:hAnsiTheme="minorHAnsi"/>
          <w:iCs/>
          <w:color w:val="000000"/>
          <w:sz w:val="22"/>
        </w:rPr>
      </w:pPr>
      <w:r w:rsidRPr="00843208">
        <w:rPr>
          <w:rFonts w:asciiTheme="minorHAnsi" w:hAnsiTheme="minorHAnsi"/>
          <w:i/>
          <w:sz w:val="22"/>
        </w:rPr>
        <w:t>Krajowa Strategia Rozwoju Regionalnego 2010-2020: Regiony, Miasta, Obszary wiejskie</w:t>
      </w:r>
      <w:r w:rsidRPr="00563EF2">
        <w:rPr>
          <w:rFonts w:asciiTheme="minorHAnsi" w:hAnsiTheme="minorHAnsi"/>
          <w:sz w:val="22"/>
        </w:rPr>
        <w:t xml:space="preserve"> jest jedną ze strategii zintegrowanych określonych w ramach </w:t>
      </w:r>
      <w:r w:rsidRPr="00563EF2">
        <w:rPr>
          <w:rFonts w:asciiTheme="minorHAnsi" w:hAnsiTheme="minorHAnsi"/>
          <w:i/>
          <w:sz w:val="22"/>
        </w:rPr>
        <w:t>Długookresowej</w:t>
      </w:r>
      <w:r w:rsidRPr="00563EF2">
        <w:rPr>
          <w:rFonts w:asciiTheme="minorHAnsi" w:hAnsiTheme="minorHAnsi"/>
          <w:sz w:val="22"/>
        </w:rPr>
        <w:t xml:space="preserve"> i </w:t>
      </w:r>
      <w:r w:rsidRPr="00563EF2">
        <w:rPr>
          <w:rFonts w:asciiTheme="minorHAnsi" w:hAnsiTheme="minorHAnsi"/>
          <w:i/>
          <w:sz w:val="22"/>
        </w:rPr>
        <w:t>Średniookresowej Strategii Rozwoju Kraju</w:t>
      </w:r>
      <w:r w:rsidRPr="00563EF2">
        <w:rPr>
          <w:rFonts w:asciiTheme="minorHAnsi" w:hAnsiTheme="minorHAnsi"/>
          <w:sz w:val="22"/>
        </w:rPr>
        <w:t xml:space="preserve">. </w:t>
      </w:r>
      <w:r w:rsidRPr="00563EF2">
        <w:rPr>
          <w:rFonts w:asciiTheme="minorHAnsi" w:hAnsiTheme="minorHAnsi"/>
          <w:color w:val="000000"/>
          <w:sz w:val="22"/>
        </w:rPr>
        <w:t>Dokument ten</w:t>
      </w:r>
      <w:r w:rsidRPr="00563EF2">
        <w:rPr>
          <w:rFonts w:asciiTheme="minorHAnsi" w:hAnsiTheme="minorHAnsi"/>
          <w:sz w:val="22"/>
        </w:rPr>
        <w:t xml:space="preserve"> określa kierunki polityki regionalnej wraz ze sp</w:t>
      </w:r>
      <w:r w:rsidR="00AF34E7">
        <w:rPr>
          <w:rFonts w:asciiTheme="minorHAnsi" w:hAnsiTheme="minorHAnsi"/>
          <w:sz w:val="22"/>
        </w:rPr>
        <w:t>osobem realizacji zakładanych w </w:t>
      </w:r>
      <w:r w:rsidRPr="00563EF2">
        <w:rPr>
          <w:rFonts w:asciiTheme="minorHAnsi" w:hAnsiTheme="minorHAnsi"/>
          <w:sz w:val="22"/>
        </w:rPr>
        <w:t xml:space="preserve">niej celów. </w:t>
      </w:r>
      <w:r w:rsidRPr="00563EF2">
        <w:rPr>
          <w:rFonts w:asciiTheme="minorHAnsi" w:hAnsiTheme="minorHAnsi"/>
          <w:color w:val="000000"/>
          <w:sz w:val="22"/>
          <w:shd w:val="clear" w:color="auto" w:fill="FFFFFF"/>
        </w:rPr>
        <w:t>Jest kompleksowym, średniookresowym dokument</w:t>
      </w:r>
      <w:r w:rsidR="00AF34E7">
        <w:rPr>
          <w:rFonts w:asciiTheme="minorHAnsi" w:hAnsiTheme="minorHAnsi"/>
          <w:color w:val="000000"/>
          <w:sz w:val="22"/>
          <w:shd w:val="clear" w:color="auto" w:fill="FFFFFF"/>
        </w:rPr>
        <w:t>em</w:t>
      </w:r>
      <w:r w:rsidRPr="00563EF2">
        <w:rPr>
          <w:rFonts w:asciiTheme="minorHAnsi" w:hAnsiTheme="minorHAnsi"/>
          <w:color w:val="000000"/>
          <w:sz w:val="22"/>
          <w:shd w:val="clear" w:color="auto" w:fill="FFFFFF"/>
        </w:rPr>
        <w:t xml:space="preserve"> strategicznym, odnoszącym się do prowadzenia polityki rozwoju społeczno-gospodarczego kraju w ujęciu wojewódzkim. Przygotowanie strategii wynika z zapisów </w:t>
      </w:r>
      <w:r w:rsidRPr="00563EF2">
        <w:rPr>
          <w:rFonts w:asciiTheme="minorHAnsi" w:hAnsiTheme="minorHAnsi"/>
          <w:i/>
          <w:color w:val="000000"/>
          <w:sz w:val="22"/>
          <w:shd w:val="clear" w:color="auto" w:fill="FFFFFF"/>
        </w:rPr>
        <w:t>Ustawy z dnia 7 listopada 2008 r. o zmian</w:t>
      </w:r>
      <w:r w:rsidR="00AF34E7">
        <w:rPr>
          <w:rFonts w:asciiTheme="minorHAnsi" w:hAnsiTheme="minorHAnsi"/>
          <w:i/>
          <w:color w:val="000000"/>
          <w:sz w:val="22"/>
          <w:shd w:val="clear" w:color="auto" w:fill="FFFFFF"/>
        </w:rPr>
        <w:t>ie niektórych ustaw w związku z </w:t>
      </w:r>
      <w:r w:rsidRPr="00563EF2">
        <w:rPr>
          <w:rFonts w:asciiTheme="minorHAnsi" w:hAnsiTheme="minorHAnsi"/>
          <w:i/>
          <w:color w:val="000000"/>
          <w:sz w:val="22"/>
          <w:shd w:val="clear" w:color="auto" w:fill="FFFFFF"/>
        </w:rPr>
        <w:t xml:space="preserve">wdrażaniem funduszy strukturalnych i Funduszu Spójności </w:t>
      </w:r>
      <w:r w:rsidRPr="00563EF2">
        <w:rPr>
          <w:rFonts w:asciiTheme="minorHAnsi" w:hAnsiTheme="minorHAnsi"/>
          <w:color w:val="000000"/>
          <w:sz w:val="22"/>
          <w:shd w:val="clear" w:color="auto" w:fill="FFFFFF"/>
        </w:rPr>
        <w:t xml:space="preserve">(Dz.U. 2008 nr 216 poz. 1370). </w:t>
      </w:r>
      <w:r w:rsidRPr="00563EF2">
        <w:rPr>
          <w:rFonts w:asciiTheme="minorHAnsi" w:hAnsiTheme="minorHAnsi"/>
          <w:iCs/>
          <w:color w:val="000000"/>
          <w:sz w:val="22"/>
        </w:rPr>
        <w:t>Strategia określa priorytety i cele rozwoju terytorialnego Polski, zasady i instrumen</w:t>
      </w:r>
      <w:r w:rsidR="00843208">
        <w:rPr>
          <w:rFonts w:asciiTheme="minorHAnsi" w:hAnsiTheme="minorHAnsi"/>
          <w:iCs/>
          <w:color w:val="000000"/>
          <w:sz w:val="22"/>
        </w:rPr>
        <w:t>ty polityki regionalnej, rolę i </w:t>
      </w:r>
      <w:r w:rsidRPr="00563EF2">
        <w:rPr>
          <w:rFonts w:asciiTheme="minorHAnsi" w:hAnsiTheme="minorHAnsi"/>
          <w:iCs/>
          <w:color w:val="000000"/>
          <w:sz w:val="22"/>
        </w:rPr>
        <w:t>funkcje regionów oraz zarys mechanizmów koordynacji działań podejmowanych przez poszczególne resorty.</w:t>
      </w:r>
    </w:p>
    <w:p w:rsidR="00A370FF" w:rsidRPr="00563EF2" w:rsidRDefault="00A370FF" w:rsidP="00FD7676">
      <w:pPr>
        <w:autoSpaceDE w:val="0"/>
        <w:autoSpaceDN w:val="0"/>
        <w:adjustRightInd w:val="0"/>
        <w:rPr>
          <w:rFonts w:asciiTheme="minorHAnsi" w:hAnsiTheme="minorHAnsi"/>
          <w:iCs/>
          <w:color w:val="000000"/>
          <w:sz w:val="22"/>
        </w:rPr>
      </w:pPr>
    </w:p>
    <w:p w:rsidR="00A370FF" w:rsidRPr="00563EF2" w:rsidRDefault="00A370FF" w:rsidP="00E22D17">
      <w:p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 xml:space="preserve">Wizja rozwoju regionalnego określona w ramach </w:t>
      </w:r>
      <w:r w:rsidRPr="00843208">
        <w:rPr>
          <w:rFonts w:asciiTheme="minorHAnsi" w:hAnsiTheme="minorHAnsi"/>
          <w:i/>
          <w:iCs/>
          <w:color w:val="000000"/>
          <w:sz w:val="22"/>
        </w:rPr>
        <w:t>KSRR 2010-2020</w:t>
      </w:r>
      <w:r w:rsidRPr="00563EF2">
        <w:rPr>
          <w:rFonts w:asciiTheme="minorHAnsi" w:hAnsiTheme="minorHAnsi"/>
          <w:iCs/>
          <w:color w:val="000000"/>
          <w:sz w:val="22"/>
        </w:rPr>
        <w:t xml:space="preserve"> brzmi następująco: „W 2020 roku polskie regiony stanowić będą lepsze miejsce do życia dzięki podniesieniu poziomu i jakości życia oraz przez stworzenie takich ram gospodarczo-społecznych i instytucjonalnych, które zwiększają szanse realizacji aspiracji i możliwości jednostek i wspólnot lokalnych. Polskie regiony będą silniejsze gospodarczo, lepiej zintegrowane gospodarczo, społecznie i przestrze</w:t>
      </w:r>
      <w:r w:rsidR="00AF34E7">
        <w:rPr>
          <w:rFonts w:asciiTheme="minorHAnsi" w:hAnsiTheme="minorHAnsi"/>
          <w:iCs/>
          <w:color w:val="000000"/>
          <w:sz w:val="22"/>
        </w:rPr>
        <w:t>nnie oraz bardziej samorządne w </w:t>
      </w:r>
      <w:r w:rsidRPr="00563EF2">
        <w:rPr>
          <w:rFonts w:asciiTheme="minorHAnsi" w:hAnsiTheme="minorHAnsi"/>
          <w:iCs/>
          <w:color w:val="000000"/>
          <w:sz w:val="22"/>
        </w:rPr>
        <w:t>wyniku procesu decentralizacji i szerszego urzeczywistniania zasady partnerstwa i subsydiarności.”</w:t>
      </w:r>
    </w:p>
    <w:p w:rsidR="00A370FF" w:rsidRPr="00563EF2" w:rsidRDefault="00A370FF" w:rsidP="00FD7676">
      <w:pPr>
        <w:autoSpaceDE w:val="0"/>
        <w:autoSpaceDN w:val="0"/>
        <w:adjustRightInd w:val="0"/>
        <w:ind w:firstLine="360"/>
        <w:rPr>
          <w:rFonts w:asciiTheme="minorHAnsi" w:hAnsiTheme="minorHAnsi"/>
          <w:iCs/>
          <w:color w:val="000000"/>
          <w:sz w:val="22"/>
        </w:rPr>
      </w:pPr>
    </w:p>
    <w:p w:rsidR="00A370FF" w:rsidRPr="00563EF2" w:rsidRDefault="00A370FF" w:rsidP="00E22D17">
      <w:pPr>
        <w:autoSpaceDE w:val="0"/>
        <w:autoSpaceDN w:val="0"/>
        <w:adjustRightInd w:val="0"/>
        <w:rPr>
          <w:rFonts w:asciiTheme="minorHAnsi" w:hAnsiTheme="minorHAnsi"/>
          <w:sz w:val="22"/>
          <w:lang w:eastAsia="pl-PL"/>
        </w:rPr>
      </w:pPr>
      <w:r w:rsidRPr="00563EF2">
        <w:rPr>
          <w:rFonts w:asciiTheme="minorHAnsi" w:hAnsiTheme="minorHAnsi"/>
          <w:iCs/>
          <w:color w:val="000000"/>
          <w:sz w:val="22"/>
        </w:rPr>
        <w:t xml:space="preserve"> </w:t>
      </w:r>
      <w:r w:rsidRPr="00563EF2">
        <w:rPr>
          <w:rFonts w:asciiTheme="minorHAnsi" w:hAnsiTheme="minorHAnsi"/>
          <w:sz w:val="22"/>
          <w:lang w:eastAsia="pl-PL"/>
        </w:rPr>
        <w:t xml:space="preserve">Celem strategicznym polityki regionalnej, określonym w </w:t>
      </w:r>
      <w:r w:rsidRPr="00843208">
        <w:rPr>
          <w:rFonts w:asciiTheme="minorHAnsi" w:hAnsiTheme="minorHAnsi"/>
          <w:i/>
          <w:sz w:val="22"/>
          <w:lang w:eastAsia="pl-PL"/>
        </w:rPr>
        <w:t>KSRR</w:t>
      </w:r>
      <w:r w:rsidRPr="00563EF2">
        <w:rPr>
          <w:rFonts w:asciiTheme="minorHAnsi" w:hAnsiTheme="minorHAnsi"/>
          <w:sz w:val="22"/>
          <w:lang w:eastAsia="pl-PL"/>
        </w:rPr>
        <w:t xml:space="preserve">, jest efektywne wykorzystywanie specyficznych regionalnych oraz terytorialnych potencjałów rozwojowych dla osiągania celów rozwoju kraju – wzrostu, zatrudnienia i spójności w horyzoncie długookresowym. W </w:t>
      </w:r>
      <w:r w:rsidRPr="00843208">
        <w:rPr>
          <w:rFonts w:asciiTheme="minorHAnsi" w:hAnsiTheme="minorHAnsi"/>
          <w:i/>
          <w:sz w:val="22"/>
          <w:lang w:eastAsia="pl-PL"/>
        </w:rPr>
        <w:t>Strategii Rozwoju Regionalnego</w:t>
      </w:r>
      <w:r w:rsidRPr="00563EF2">
        <w:rPr>
          <w:rFonts w:asciiTheme="minorHAnsi" w:hAnsiTheme="minorHAnsi"/>
          <w:sz w:val="22"/>
          <w:lang w:eastAsia="pl-PL"/>
        </w:rPr>
        <w:t xml:space="preserve"> określono trzy podstawowe cele polityki regionalnej:</w:t>
      </w:r>
    </w:p>
    <w:p w:rsidR="00A370FF" w:rsidRPr="00563EF2" w:rsidRDefault="00A370FF" w:rsidP="00BC166D">
      <w:pPr>
        <w:numPr>
          <w:ilvl w:val="0"/>
          <w:numId w:val="24"/>
        </w:num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Wspomaganie wzrostu konkurencyjności regionów („konkurencyjność”),</w:t>
      </w:r>
    </w:p>
    <w:p w:rsidR="00A370FF" w:rsidRPr="00563EF2" w:rsidRDefault="00A370FF" w:rsidP="00BC166D">
      <w:pPr>
        <w:numPr>
          <w:ilvl w:val="0"/>
          <w:numId w:val="24"/>
        </w:num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Budowanie spójności terytorialnej i przeciwdziałanie marginalizacji obszarów problemowych („spójność”),</w:t>
      </w:r>
    </w:p>
    <w:p w:rsidR="00A370FF" w:rsidRPr="00563EF2" w:rsidRDefault="00A370FF" w:rsidP="00BC166D">
      <w:pPr>
        <w:numPr>
          <w:ilvl w:val="0"/>
          <w:numId w:val="24"/>
        </w:num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Tworzenie warunków dla skutecznej, efektywnej i partnerskiej realizacji działań rozwojowych ukierunkowanych terytorialnie („sprawność”).</w:t>
      </w:r>
    </w:p>
    <w:p w:rsidR="00A370FF" w:rsidRPr="00563EF2" w:rsidRDefault="00A370FF" w:rsidP="00FD7676">
      <w:p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ab/>
        <w:t xml:space="preserve"> </w:t>
      </w:r>
    </w:p>
    <w:p w:rsidR="00A370FF" w:rsidRPr="00563EF2" w:rsidRDefault="00A370FF" w:rsidP="00FD7676">
      <w:pPr>
        <w:autoSpaceDE w:val="0"/>
        <w:autoSpaceDN w:val="0"/>
        <w:adjustRightInd w:val="0"/>
        <w:rPr>
          <w:rFonts w:asciiTheme="minorHAnsi" w:hAnsiTheme="minorHAnsi" w:cs="Cambria"/>
          <w:sz w:val="22"/>
        </w:rPr>
      </w:pPr>
      <w:r w:rsidRPr="00563EF2">
        <w:rPr>
          <w:rFonts w:asciiTheme="minorHAnsi" w:hAnsiTheme="minorHAnsi"/>
          <w:i/>
          <w:iCs/>
          <w:color w:val="000000"/>
          <w:sz w:val="22"/>
        </w:rPr>
        <w:t>Strategia</w:t>
      </w:r>
      <w:r w:rsidRPr="00563EF2">
        <w:rPr>
          <w:rFonts w:asciiTheme="minorHAnsi" w:hAnsiTheme="minorHAnsi"/>
          <w:iCs/>
          <w:color w:val="000000"/>
          <w:sz w:val="22"/>
        </w:rPr>
        <w:t xml:space="preserve"> dość szeroko odnosi się do problematyki rozwoju miast i obszarów zurbanizowanych, nadając </w:t>
      </w:r>
      <w:r w:rsidRPr="00563EF2">
        <w:rPr>
          <w:rFonts w:asciiTheme="minorHAnsi" w:hAnsiTheme="minorHAnsi" w:cs="Cambria"/>
          <w:sz w:val="22"/>
        </w:rPr>
        <w:t>kluczowe znaczenie pełnionej przez nie roli węzłów sieci współpracy gospodarczej, społecznej, naukowej, kulturalnej i instytucjonalnej, a tym samym ich zdolności oddziaływania na rozwój całego regionu.</w:t>
      </w:r>
    </w:p>
    <w:p w:rsidR="00A370FF" w:rsidRPr="00563EF2" w:rsidRDefault="00A370FF" w:rsidP="00FD7676">
      <w:pPr>
        <w:autoSpaceDE w:val="0"/>
        <w:autoSpaceDN w:val="0"/>
        <w:adjustRightInd w:val="0"/>
        <w:rPr>
          <w:rFonts w:asciiTheme="minorHAnsi" w:hAnsiTheme="minorHAnsi" w:cs="Garamond"/>
          <w:sz w:val="22"/>
        </w:rPr>
      </w:pPr>
      <w:r w:rsidRPr="00563EF2">
        <w:rPr>
          <w:rFonts w:asciiTheme="minorHAnsi" w:hAnsiTheme="minorHAnsi"/>
          <w:iCs/>
          <w:color w:val="000000"/>
          <w:sz w:val="22"/>
        </w:rPr>
        <w:tab/>
      </w:r>
    </w:p>
    <w:p w:rsidR="00A370FF" w:rsidRPr="00563EF2" w:rsidRDefault="00A370FF" w:rsidP="00FD7676">
      <w:pPr>
        <w:autoSpaceDE w:val="0"/>
        <w:autoSpaceDN w:val="0"/>
        <w:adjustRightInd w:val="0"/>
        <w:rPr>
          <w:rFonts w:asciiTheme="minorHAnsi" w:hAnsiTheme="minorHAnsi" w:cs="Garamond"/>
          <w:sz w:val="22"/>
        </w:rPr>
      </w:pPr>
      <w:r w:rsidRPr="00563EF2">
        <w:rPr>
          <w:rFonts w:asciiTheme="minorHAnsi" w:hAnsiTheme="minorHAnsi" w:cs="Garamond"/>
          <w:i/>
          <w:sz w:val="22"/>
        </w:rPr>
        <w:t>KSRR 2010-2020</w:t>
      </w:r>
      <w:r w:rsidRPr="00563EF2">
        <w:rPr>
          <w:rFonts w:asciiTheme="minorHAnsi" w:hAnsiTheme="minorHAnsi" w:cs="Garamond"/>
          <w:sz w:val="22"/>
        </w:rPr>
        <w:t xml:space="preserve"> politykę regionalną w stosunku do miast o znaczeniu regionalnym i subregionalnym ukierunkowuje na zwiększenie znaczenia gospodarczego i społecznego tych miast (co doprowadzi do zwiększenia potencjału całego regionu), poprzez wsparcie w zakresie rozwijania i uzupełniania funkcji społecznych, gospodarczych, publicznych i komunikacyjnych. Działania te dadzą możliwość ugruntowania pozycji miast regionalnych i subregionalnych jako dostawcy lepszych miejsc pracy oraz usług  decydujących o możliwościach stymulowania rozwoju społeczeństw regionalnych, w tym zamieszkujących tereny wiejskie.</w:t>
      </w:r>
    </w:p>
    <w:p w:rsidR="00A370FF" w:rsidRPr="00563EF2" w:rsidRDefault="00A370FF" w:rsidP="00FD7676">
      <w:pPr>
        <w:autoSpaceDE w:val="0"/>
        <w:autoSpaceDN w:val="0"/>
        <w:adjustRightInd w:val="0"/>
        <w:rPr>
          <w:rFonts w:asciiTheme="minorHAnsi" w:hAnsiTheme="minorHAnsi" w:cs="Garamond"/>
          <w:sz w:val="22"/>
        </w:rPr>
      </w:pPr>
    </w:p>
    <w:p w:rsidR="00A370FF" w:rsidRPr="00563EF2" w:rsidRDefault="00A370FF" w:rsidP="00FD7676">
      <w:pPr>
        <w:autoSpaceDE w:val="0"/>
        <w:autoSpaceDN w:val="0"/>
        <w:adjustRightInd w:val="0"/>
        <w:rPr>
          <w:rFonts w:asciiTheme="minorHAnsi" w:hAnsiTheme="minorHAnsi" w:cs="Garamond"/>
          <w:sz w:val="22"/>
        </w:rPr>
      </w:pPr>
      <w:r w:rsidRPr="00563EF2">
        <w:rPr>
          <w:rFonts w:asciiTheme="minorHAnsi" w:hAnsiTheme="minorHAnsi" w:cs="Garamond"/>
          <w:sz w:val="22"/>
        </w:rPr>
        <w:t>Wyznaczenie miast subregionalnych o szczególnej roli bądź o szcz</w:t>
      </w:r>
      <w:r w:rsidR="00AF34E7">
        <w:rPr>
          <w:rFonts w:asciiTheme="minorHAnsi" w:hAnsiTheme="minorHAnsi" w:cs="Garamond"/>
          <w:sz w:val="22"/>
        </w:rPr>
        <w:t>ególnych potrzebach wsparcia wg </w:t>
      </w:r>
      <w:r w:rsidRPr="00563EF2">
        <w:rPr>
          <w:rFonts w:asciiTheme="minorHAnsi" w:hAnsiTheme="minorHAnsi" w:cs="Garamond"/>
          <w:i/>
          <w:sz w:val="22"/>
        </w:rPr>
        <w:t>KSRR</w:t>
      </w:r>
      <w:r w:rsidRPr="00563EF2">
        <w:rPr>
          <w:rFonts w:asciiTheme="minorHAnsi" w:hAnsiTheme="minorHAnsi" w:cs="Garamond"/>
          <w:sz w:val="22"/>
        </w:rPr>
        <w:t xml:space="preserve"> powinno odbywać się na poziomie regionalnym (wojewódzkim) w oparciu o wskaźniki dotyczące dynamiki rynku pracy, dochodów ludności czy koncentracji funkcji. </w:t>
      </w:r>
      <w:r w:rsidR="00AF34E7">
        <w:rPr>
          <w:rFonts w:asciiTheme="minorHAnsi" w:hAnsiTheme="minorHAnsi" w:cs="Garamond"/>
          <w:sz w:val="22"/>
        </w:rPr>
        <w:t>Indywidualna sytuacja i </w:t>
      </w:r>
      <w:r w:rsidRPr="00563EF2">
        <w:rPr>
          <w:rFonts w:asciiTheme="minorHAnsi" w:hAnsiTheme="minorHAnsi" w:cs="Garamond"/>
          <w:sz w:val="22"/>
        </w:rPr>
        <w:t>charakter każdego z miast subregionalnych powoduje, że wła</w:t>
      </w:r>
      <w:r w:rsidR="00AF34E7">
        <w:rPr>
          <w:rFonts w:asciiTheme="minorHAnsi" w:hAnsiTheme="minorHAnsi" w:cs="Garamond"/>
          <w:sz w:val="22"/>
        </w:rPr>
        <w:t>dze regionalne w partnerstwie z </w:t>
      </w:r>
      <w:r w:rsidRPr="00563EF2">
        <w:rPr>
          <w:rFonts w:asciiTheme="minorHAnsi" w:hAnsiTheme="minorHAnsi" w:cs="Garamond"/>
          <w:sz w:val="22"/>
        </w:rPr>
        <w:t>władzami miast, partnerami gospodarczymi i społecznymi określić powinny skoordynowane kierunki interwencji publicznej, której nadrzędnym celem będzie wzmacnianie roli, rozwijanie funkcji i zasięgu pozytywnego oddziaływania miast na ich otoczenie.</w:t>
      </w:r>
    </w:p>
    <w:p w:rsidR="00A370FF" w:rsidRPr="00563EF2" w:rsidRDefault="00A370FF" w:rsidP="00FD7676">
      <w:pPr>
        <w:autoSpaceDE w:val="0"/>
        <w:autoSpaceDN w:val="0"/>
        <w:adjustRightInd w:val="0"/>
        <w:rPr>
          <w:rFonts w:asciiTheme="minorHAnsi" w:hAnsiTheme="minorHAnsi" w:cs="Garamond"/>
          <w:sz w:val="22"/>
        </w:rPr>
      </w:pPr>
    </w:p>
    <w:p w:rsidR="00A370FF" w:rsidRPr="00563EF2" w:rsidRDefault="00A370FF" w:rsidP="00FD7676">
      <w:pPr>
        <w:autoSpaceDE w:val="0"/>
        <w:autoSpaceDN w:val="0"/>
        <w:adjustRightInd w:val="0"/>
        <w:rPr>
          <w:rFonts w:asciiTheme="minorHAnsi" w:hAnsiTheme="minorHAnsi" w:cs="Garamond"/>
          <w:sz w:val="22"/>
        </w:rPr>
      </w:pPr>
      <w:r w:rsidRPr="00563EF2">
        <w:rPr>
          <w:rFonts w:asciiTheme="minorHAnsi" w:hAnsiTheme="minorHAnsi" w:cs="Garamond"/>
          <w:sz w:val="22"/>
        </w:rPr>
        <w:t xml:space="preserve"> Ukierunkowane wsparcie terytorialne dotyczyć powinno w szczególności:</w:t>
      </w:r>
    </w:p>
    <w:p w:rsidR="00A370FF" w:rsidRPr="00563EF2" w:rsidRDefault="00A370FF" w:rsidP="00BC166D">
      <w:pPr>
        <w:pStyle w:val="Akapitzlist"/>
        <w:numPr>
          <w:ilvl w:val="0"/>
          <w:numId w:val="25"/>
        </w:numPr>
        <w:autoSpaceDE w:val="0"/>
        <w:autoSpaceDN w:val="0"/>
        <w:adjustRightInd w:val="0"/>
        <w:rPr>
          <w:rFonts w:asciiTheme="minorHAnsi" w:hAnsiTheme="minorHAnsi" w:cs="Garamond"/>
          <w:sz w:val="22"/>
        </w:rPr>
      </w:pPr>
      <w:r w:rsidRPr="00563EF2">
        <w:rPr>
          <w:rFonts w:asciiTheme="minorHAnsi" w:hAnsiTheme="minorHAnsi" w:cs="Garamond"/>
          <w:sz w:val="22"/>
        </w:rPr>
        <w:t>Projektów modernizacji i rozbudowy infrastruktury transportowej i systemów transportu zbiorowego prowadzących do integracji przestrzennej, społecznej i gospodarczej miast z ich otoczeniem</w:t>
      </w:r>
      <w:r w:rsidR="00AF34E7">
        <w:rPr>
          <w:rFonts w:asciiTheme="minorHAnsi" w:hAnsiTheme="minorHAnsi" w:cs="Garamond"/>
          <w:sz w:val="22"/>
        </w:rPr>
        <w:t>.</w:t>
      </w:r>
    </w:p>
    <w:p w:rsidR="00A370FF" w:rsidRPr="00563EF2" w:rsidRDefault="00A370FF" w:rsidP="00BC166D">
      <w:pPr>
        <w:pStyle w:val="Akapitzlist"/>
        <w:numPr>
          <w:ilvl w:val="0"/>
          <w:numId w:val="25"/>
        </w:numPr>
        <w:autoSpaceDE w:val="0"/>
        <w:autoSpaceDN w:val="0"/>
        <w:adjustRightInd w:val="0"/>
        <w:rPr>
          <w:rFonts w:asciiTheme="minorHAnsi" w:hAnsiTheme="minorHAnsi" w:cs="Garamond"/>
          <w:sz w:val="22"/>
        </w:rPr>
      </w:pPr>
      <w:r w:rsidRPr="00563EF2">
        <w:rPr>
          <w:rFonts w:asciiTheme="minorHAnsi" w:hAnsiTheme="minorHAnsi" w:cs="Garamond"/>
          <w:sz w:val="22"/>
        </w:rPr>
        <w:t xml:space="preserve">Kompleksowych planów lokalizacji, rozwoju i efektywności działania instytucji stymulujących: </w:t>
      </w:r>
    </w:p>
    <w:p w:rsidR="00A370FF" w:rsidRPr="00563EF2" w:rsidRDefault="00A370FF" w:rsidP="00BC166D">
      <w:pPr>
        <w:pStyle w:val="Akapitzlist"/>
        <w:numPr>
          <w:ilvl w:val="1"/>
          <w:numId w:val="25"/>
        </w:numPr>
        <w:autoSpaceDE w:val="0"/>
        <w:autoSpaceDN w:val="0"/>
        <w:adjustRightInd w:val="0"/>
        <w:rPr>
          <w:rFonts w:asciiTheme="minorHAnsi" w:hAnsiTheme="minorHAnsi" w:cs="Garamond"/>
          <w:sz w:val="22"/>
        </w:rPr>
      </w:pPr>
      <w:r w:rsidRPr="00563EF2">
        <w:rPr>
          <w:rFonts w:asciiTheme="minorHAnsi" w:hAnsiTheme="minorHAnsi" w:cs="Garamond"/>
          <w:sz w:val="22"/>
        </w:rPr>
        <w:t>Rynek pracy i rozwój kapitału ludzkiego oraz społecznego,</w:t>
      </w:r>
    </w:p>
    <w:p w:rsidR="00A370FF" w:rsidRPr="00563EF2" w:rsidRDefault="00A370FF" w:rsidP="00BC166D">
      <w:pPr>
        <w:pStyle w:val="Akapitzlist"/>
        <w:numPr>
          <w:ilvl w:val="1"/>
          <w:numId w:val="25"/>
        </w:numPr>
        <w:autoSpaceDE w:val="0"/>
        <w:autoSpaceDN w:val="0"/>
        <w:adjustRightInd w:val="0"/>
        <w:rPr>
          <w:rFonts w:asciiTheme="minorHAnsi" w:hAnsiTheme="minorHAnsi" w:cs="Garamond"/>
          <w:sz w:val="22"/>
        </w:rPr>
      </w:pPr>
      <w:r w:rsidRPr="00563EF2">
        <w:rPr>
          <w:rFonts w:asciiTheme="minorHAnsi" w:hAnsiTheme="minorHAnsi" w:cs="Garamond"/>
          <w:sz w:val="22"/>
        </w:rPr>
        <w:t>Zapewnienie finansowania działalności gospodarczej i funkcjonowania instytucji otoczenia biznesu,</w:t>
      </w:r>
    </w:p>
    <w:p w:rsidR="00A370FF" w:rsidRPr="00563EF2" w:rsidRDefault="00A370FF" w:rsidP="00BC166D">
      <w:pPr>
        <w:pStyle w:val="Akapitzlist"/>
        <w:numPr>
          <w:ilvl w:val="1"/>
          <w:numId w:val="25"/>
        </w:numPr>
        <w:autoSpaceDE w:val="0"/>
        <w:autoSpaceDN w:val="0"/>
        <w:adjustRightInd w:val="0"/>
        <w:rPr>
          <w:rFonts w:asciiTheme="minorHAnsi" w:hAnsiTheme="minorHAnsi" w:cs="Garamond"/>
          <w:sz w:val="22"/>
        </w:rPr>
      </w:pPr>
      <w:r w:rsidRPr="00563EF2">
        <w:rPr>
          <w:rFonts w:asciiTheme="minorHAnsi" w:hAnsiTheme="minorHAnsi" w:cs="Garamond"/>
          <w:sz w:val="22"/>
        </w:rPr>
        <w:t>Rozwój funkcji gospodarczych o znaczeniu ponadlokalnym, w tym m.in. administracyjnych, turystycznych i ekologicznych</w:t>
      </w:r>
      <w:r w:rsidR="00AF34E7">
        <w:rPr>
          <w:rFonts w:asciiTheme="minorHAnsi" w:hAnsiTheme="minorHAnsi" w:cs="Garamond"/>
          <w:sz w:val="22"/>
        </w:rPr>
        <w:t>.</w:t>
      </w:r>
    </w:p>
    <w:p w:rsidR="00A370FF" w:rsidRPr="00563EF2" w:rsidRDefault="00A370FF" w:rsidP="00BC166D">
      <w:pPr>
        <w:pStyle w:val="Akapitzlist"/>
        <w:numPr>
          <w:ilvl w:val="0"/>
          <w:numId w:val="25"/>
        </w:numPr>
        <w:autoSpaceDE w:val="0"/>
        <w:autoSpaceDN w:val="0"/>
        <w:adjustRightInd w:val="0"/>
        <w:rPr>
          <w:rFonts w:asciiTheme="minorHAnsi" w:hAnsiTheme="minorHAnsi" w:cs="Garamond"/>
          <w:sz w:val="22"/>
        </w:rPr>
      </w:pPr>
      <w:r w:rsidRPr="00563EF2">
        <w:rPr>
          <w:rFonts w:asciiTheme="minorHAnsi" w:hAnsiTheme="minorHAnsi" w:cs="Garamond"/>
          <w:sz w:val="22"/>
        </w:rPr>
        <w:t>Rozwijania i uzupełniania oferty usług publicznych w zakresie:</w:t>
      </w:r>
      <w:r w:rsidR="00EC0CEE">
        <w:rPr>
          <w:rFonts w:asciiTheme="minorHAnsi" w:hAnsiTheme="minorHAnsi" w:cs="Garamond"/>
          <w:sz w:val="22"/>
        </w:rPr>
        <w:t xml:space="preserve"> edukacji na poziomie średnim i </w:t>
      </w:r>
      <w:r w:rsidRPr="00563EF2">
        <w:rPr>
          <w:rFonts w:asciiTheme="minorHAnsi" w:hAnsiTheme="minorHAnsi" w:cs="Garamond"/>
          <w:sz w:val="22"/>
        </w:rPr>
        <w:t>wyższym zawodowym, ochrony zdrowia oraz kultury.</w:t>
      </w:r>
    </w:p>
    <w:p w:rsidR="00A370FF" w:rsidRPr="00563EF2" w:rsidRDefault="00A370FF" w:rsidP="00BC166D">
      <w:pPr>
        <w:pStyle w:val="Akapitzlist"/>
        <w:numPr>
          <w:ilvl w:val="0"/>
          <w:numId w:val="25"/>
        </w:numPr>
        <w:autoSpaceDE w:val="0"/>
        <w:autoSpaceDN w:val="0"/>
        <w:adjustRightInd w:val="0"/>
        <w:rPr>
          <w:rFonts w:asciiTheme="minorHAnsi" w:hAnsiTheme="minorHAnsi" w:cs="Garamond"/>
          <w:sz w:val="22"/>
        </w:rPr>
      </w:pPr>
      <w:r w:rsidRPr="00563EF2">
        <w:rPr>
          <w:rFonts w:asciiTheme="minorHAnsi" w:hAnsiTheme="minorHAnsi" w:cs="Garamond"/>
          <w:sz w:val="22"/>
        </w:rPr>
        <w:t>Budowy i modernizacji infrastruktury technicznej zapewniającej lokalizację przedsiębiorstw w sektorach wykorzystujących specyficzny, lokalny potencjał gospodarczy bazujący na zasobach ekologicznych, ludzkich, kulturowych czy innych.</w:t>
      </w:r>
    </w:p>
    <w:p w:rsidR="00A370FF" w:rsidRPr="00563EF2" w:rsidRDefault="00A370FF" w:rsidP="00FD7676">
      <w:pPr>
        <w:autoSpaceDE w:val="0"/>
        <w:autoSpaceDN w:val="0"/>
        <w:adjustRightInd w:val="0"/>
        <w:rPr>
          <w:rFonts w:asciiTheme="minorHAnsi" w:hAnsiTheme="minorHAnsi" w:cs="Garamond"/>
          <w:sz w:val="22"/>
        </w:rPr>
      </w:pPr>
    </w:p>
    <w:p w:rsidR="00A370FF" w:rsidRPr="00563EF2" w:rsidRDefault="00A370FF" w:rsidP="00FD7676">
      <w:p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 xml:space="preserve">Dokument </w:t>
      </w:r>
      <w:r w:rsidRPr="00843208">
        <w:rPr>
          <w:rFonts w:asciiTheme="minorHAnsi" w:hAnsiTheme="minorHAnsi"/>
          <w:i/>
          <w:iCs/>
          <w:color w:val="000000"/>
          <w:sz w:val="22"/>
        </w:rPr>
        <w:t>Krajowej Strategii Rozwoju Regionalnego</w:t>
      </w:r>
      <w:r w:rsidRPr="00563EF2">
        <w:rPr>
          <w:rFonts w:asciiTheme="minorHAnsi" w:hAnsiTheme="minorHAnsi"/>
          <w:iCs/>
          <w:color w:val="000000"/>
          <w:sz w:val="22"/>
        </w:rPr>
        <w:t xml:space="preserve"> wprowadza także</w:t>
      </w:r>
      <w:r w:rsidR="00AF34E7">
        <w:rPr>
          <w:rFonts w:asciiTheme="minorHAnsi" w:hAnsiTheme="minorHAnsi"/>
          <w:iCs/>
          <w:color w:val="000000"/>
          <w:sz w:val="22"/>
        </w:rPr>
        <w:t xml:space="preserve"> nową</w:t>
      </w:r>
      <w:r w:rsidRPr="00563EF2">
        <w:rPr>
          <w:rFonts w:asciiTheme="minorHAnsi" w:hAnsiTheme="minorHAnsi"/>
          <w:iCs/>
          <w:color w:val="000000"/>
          <w:sz w:val="22"/>
        </w:rPr>
        <w:t xml:space="preserve"> kategorię obszarów – tzw. obszary strategicznej interwencji (OSI), do których w szczególny sposób będzie adresowana polityka regionalna. Są to zarówno podstawowe obszary koncentracji procesów rozwoju społeczno-gospodarczego kraju i regionów, tj. główne ośrodki miejskie wraz z ich zapleczem funkcjonalnym oraz obszary poza bezpośrednim zasięgiem oddziaływania tych ośrodków. To właśnie te obszary wymagają wzmocnienia potencjałów do rozwoju i stworzenia lub poprawy warun</w:t>
      </w:r>
      <w:r w:rsidR="00AF34E7">
        <w:rPr>
          <w:rFonts w:asciiTheme="minorHAnsi" w:hAnsiTheme="minorHAnsi"/>
          <w:iCs/>
          <w:color w:val="000000"/>
          <w:sz w:val="22"/>
        </w:rPr>
        <w:t>ków dla zwiększenia absorpcji i </w:t>
      </w:r>
      <w:r w:rsidRPr="00563EF2">
        <w:rPr>
          <w:rFonts w:asciiTheme="minorHAnsi" w:hAnsiTheme="minorHAnsi"/>
          <w:iCs/>
          <w:color w:val="000000"/>
          <w:sz w:val="22"/>
        </w:rPr>
        <w:t xml:space="preserve">rozprzestrzeniania procesów rozwojowych, zogniskowanych w głównych ośrodkach miejskich. Wsparciu podlegać będą również obszary problemowe, czyli terytoria cechujące się największą koncentracją negatywnych zjawisk rozwojowych o zasięgu i znaczeniu krajowym, lub ponadregionalnym. </w:t>
      </w:r>
    </w:p>
    <w:p w:rsidR="002E2D3F" w:rsidRDefault="002E2D3F" w:rsidP="00FD7676">
      <w:pPr>
        <w:autoSpaceDE w:val="0"/>
        <w:autoSpaceDN w:val="0"/>
        <w:adjustRightInd w:val="0"/>
        <w:rPr>
          <w:rFonts w:asciiTheme="minorHAnsi" w:hAnsiTheme="minorHAnsi"/>
          <w:iCs/>
          <w:color w:val="000000"/>
          <w:sz w:val="22"/>
        </w:rPr>
      </w:pPr>
      <w:r>
        <w:rPr>
          <w:rFonts w:asciiTheme="minorHAnsi" w:hAnsiTheme="minorHAnsi"/>
          <w:iCs/>
          <w:color w:val="000000"/>
          <w:sz w:val="22"/>
        </w:rPr>
        <w:br w:type="page"/>
      </w:r>
    </w:p>
    <w:p w:rsidR="00A370FF" w:rsidRPr="00563EF2" w:rsidRDefault="00A370FF" w:rsidP="00FD7676">
      <w:p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Legnica określona została jako jeden z obszarów strategicznej interwencji na rzecz restruk</w:t>
      </w:r>
      <w:r w:rsidR="00AF34E7">
        <w:rPr>
          <w:rFonts w:asciiTheme="minorHAnsi" w:hAnsiTheme="minorHAnsi"/>
          <w:iCs/>
          <w:color w:val="000000"/>
          <w:sz w:val="22"/>
        </w:rPr>
        <w:t>turyzacji i </w:t>
      </w:r>
      <w:r w:rsidRPr="00563EF2">
        <w:rPr>
          <w:rFonts w:asciiTheme="minorHAnsi" w:hAnsiTheme="minorHAnsi"/>
          <w:iCs/>
          <w:color w:val="000000"/>
          <w:sz w:val="22"/>
        </w:rPr>
        <w:t>rewitalizacji miast tracących funkcje gospodarcze i społeczne, o zdiagnozowanym średnim natężeniu problemów. Interwencja na tych obszarach ma na celu zatrzymanie niekorzystnych tendencji i zmian społeczno-gospodarczych, powstałych na skutek upadku tradycyjnego przemysłu, gwałtownej zmiany koniunktury gospodarczej, degeneracji środowiska przyrodniczego, cz</w:t>
      </w:r>
      <w:r w:rsidR="00AF34E7">
        <w:rPr>
          <w:rFonts w:asciiTheme="minorHAnsi" w:hAnsiTheme="minorHAnsi"/>
          <w:iCs/>
          <w:color w:val="000000"/>
          <w:sz w:val="22"/>
        </w:rPr>
        <w:t>y degradacji infrastruktury (w </w:t>
      </w:r>
      <w:r w:rsidRPr="00563EF2">
        <w:rPr>
          <w:rFonts w:asciiTheme="minorHAnsi" w:hAnsiTheme="minorHAnsi"/>
          <w:iCs/>
          <w:color w:val="000000"/>
          <w:sz w:val="22"/>
        </w:rPr>
        <w:t>tym mieszkaniowej), które prowadzą do blokowania możliwości generowania miejsc pracy, wzrostu gospodarczego, a także prowadzą do wykluczenia społecznego i cywilizacyjnego części mieszkańców.</w:t>
      </w:r>
    </w:p>
    <w:p w:rsidR="00A370FF" w:rsidRDefault="00A370FF" w:rsidP="00FD7676">
      <w:pPr>
        <w:autoSpaceDE w:val="0"/>
        <w:autoSpaceDN w:val="0"/>
        <w:adjustRightInd w:val="0"/>
        <w:rPr>
          <w:rFonts w:asciiTheme="minorHAnsi" w:hAnsiTheme="minorHAnsi"/>
          <w:iCs/>
          <w:color w:val="000000"/>
          <w:sz w:val="22"/>
        </w:rPr>
      </w:pPr>
      <w:r w:rsidRPr="00563EF2">
        <w:rPr>
          <w:rFonts w:asciiTheme="minorHAnsi" w:hAnsiTheme="minorHAnsi"/>
          <w:iCs/>
          <w:color w:val="000000"/>
          <w:sz w:val="22"/>
        </w:rPr>
        <w:t>Wsparcie władz wojewódzkich w tym zakresie powinno być ukierunkowane na: wsparcie jakości kapitału ludzkiego, modernizację struktury gospodarczej, nadrabianie zaległości w zakresie infrastruktury technicznej, modernizację i rozwój obiektów użyteczności publicznej, wsparcie kompleksowych programów rewitalizacyjnych. Działania te prowadzone będą na podstawie opracowanych Lokalnych Programów Rewitalizacji.</w:t>
      </w:r>
    </w:p>
    <w:p w:rsidR="002E2D3F" w:rsidRPr="00563EF2" w:rsidRDefault="002E2D3F" w:rsidP="00FD7676">
      <w:pPr>
        <w:autoSpaceDE w:val="0"/>
        <w:autoSpaceDN w:val="0"/>
        <w:adjustRightInd w:val="0"/>
        <w:rPr>
          <w:rFonts w:asciiTheme="minorHAnsi" w:hAnsiTheme="minorHAnsi"/>
          <w:iCs/>
          <w:color w:val="000000"/>
          <w:sz w:val="22"/>
        </w:rPr>
      </w:pPr>
    </w:p>
    <w:p w:rsidR="00A370FF" w:rsidRDefault="00A370FF" w:rsidP="00FD7676">
      <w:pPr>
        <w:autoSpaceDE w:val="0"/>
        <w:autoSpaceDN w:val="0"/>
        <w:adjustRightInd w:val="0"/>
        <w:rPr>
          <w:rFonts w:asciiTheme="minorHAnsi" w:hAnsiTheme="minorHAnsi"/>
          <w:iCs/>
          <w:color w:val="000000"/>
          <w:sz w:val="22"/>
        </w:rPr>
      </w:pPr>
    </w:p>
    <w:p w:rsidR="002E2D3F" w:rsidRDefault="002E2D3F" w:rsidP="00EA630F">
      <w:pPr>
        <w:pStyle w:val="Nagwek3"/>
      </w:pPr>
      <w:r>
        <w:br w:type="page"/>
      </w:r>
    </w:p>
    <w:p w:rsidR="00697C2B" w:rsidRDefault="00697C2B" w:rsidP="00EA630F">
      <w:pPr>
        <w:pStyle w:val="Nagwek3"/>
      </w:pPr>
      <w:bookmarkStart w:id="7" w:name="_Toc399756296"/>
    </w:p>
    <w:p w:rsidR="00EA630F" w:rsidRDefault="00EA630F" w:rsidP="00EA630F">
      <w:pPr>
        <w:pStyle w:val="Nagwek3"/>
      </w:pPr>
      <w:r>
        <w:t>Krajowa Polityka Miejska</w:t>
      </w:r>
      <w:bookmarkEnd w:id="7"/>
    </w:p>
    <w:p w:rsidR="00EA630F" w:rsidRDefault="00EA630F" w:rsidP="00EA630F"/>
    <w:p w:rsidR="001F61D6" w:rsidRDefault="001F61D6" w:rsidP="001F61D6">
      <w:pPr>
        <w:autoSpaceDE w:val="0"/>
        <w:autoSpaceDN w:val="0"/>
        <w:adjustRightInd w:val="0"/>
        <w:rPr>
          <w:rFonts w:ascii="Calibri" w:hAnsi="Calibri" w:cs="Calibri"/>
          <w:sz w:val="22"/>
        </w:rPr>
      </w:pPr>
      <w:r>
        <w:rPr>
          <w:rFonts w:ascii="Calibri" w:hAnsi="Calibri" w:cs="Calibri"/>
          <w:sz w:val="22"/>
        </w:rPr>
        <w:t>Polityka miejska realizowana jest wg zasady integralności, stanowi bowiem element dwóch</w:t>
      </w:r>
      <w:r w:rsidR="00AF34E7">
        <w:rPr>
          <w:rFonts w:ascii="Calibri" w:hAnsi="Calibri" w:cs="Calibri"/>
          <w:sz w:val="22"/>
        </w:rPr>
        <w:t xml:space="preserve"> krajowych polityk: regionalnej oraz</w:t>
      </w:r>
      <w:r>
        <w:rPr>
          <w:rFonts w:ascii="Calibri" w:hAnsi="Calibri" w:cs="Calibri"/>
          <w:sz w:val="22"/>
        </w:rPr>
        <w:t xml:space="preserve"> przestrzennej. Jej cele, zadania i instrumenty są ściśle powiązane i podporządkowane celom polityki rozwoju sformułowanym w nadrzędnych dokumentach strategicznych rządu.</w:t>
      </w:r>
    </w:p>
    <w:p w:rsidR="001F61D6" w:rsidRPr="001F61D6" w:rsidRDefault="001F61D6" w:rsidP="001F61D6">
      <w:pPr>
        <w:autoSpaceDE w:val="0"/>
        <w:autoSpaceDN w:val="0"/>
        <w:adjustRightInd w:val="0"/>
        <w:rPr>
          <w:rFonts w:ascii="Calibri" w:hAnsi="Calibri" w:cs="Calibri"/>
          <w:sz w:val="22"/>
        </w:rPr>
      </w:pPr>
    </w:p>
    <w:p w:rsidR="00EA630F" w:rsidRPr="001F61D6" w:rsidRDefault="00EA630F" w:rsidP="001F61D6">
      <w:pPr>
        <w:autoSpaceDE w:val="0"/>
        <w:autoSpaceDN w:val="0"/>
        <w:adjustRightInd w:val="0"/>
        <w:rPr>
          <w:rFonts w:ascii="Calibri" w:hAnsi="Calibri" w:cs="Calibri"/>
          <w:sz w:val="22"/>
        </w:rPr>
      </w:pPr>
      <w:r w:rsidRPr="00EA630F">
        <w:rPr>
          <w:rFonts w:asciiTheme="minorHAnsi" w:hAnsiTheme="minorHAnsi"/>
          <w:iCs/>
          <w:color w:val="000000"/>
          <w:sz w:val="22"/>
        </w:rPr>
        <w:t>Podmiotem krajowej polityki miejskiej jest rząd oraz jednostki samorządu terytorialnego: województwa, powiaty i miasta na prawach powiatu, gminy miejskie, gminy miejsko-wiejskie oraz wiejskie na obszarach zurbanizowanych, wchodzące w skład obszarów funkcjonalnych miast.</w:t>
      </w:r>
      <w:r w:rsidR="00F63F87">
        <w:rPr>
          <w:rFonts w:asciiTheme="minorHAnsi" w:hAnsiTheme="minorHAnsi"/>
          <w:iCs/>
          <w:color w:val="000000"/>
          <w:sz w:val="22"/>
        </w:rPr>
        <w:t xml:space="preserve"> Zasada wielopoziomowego zarządzania mówi, iż osiąganie założonych celów powinno odbywać się przy ścisłej współpracy i koordynacji działań pomiędzy wszystkimi wymienionymi podmiotami.</w:t>
      </w:r>
      <w:r w:rsidR="001F61D6">
        <w:rPr>
          <w:rFonts w:asciiTheme="minorHAnsi" w:hAnsiTheme="minorHAnsi"/>
          <w:iCs/>
          <w:color w:val="000000"/>
          <w:sz w:val="22"/>
        </w:rPr>
        <w:t xml:space="preserve"> Zgodnie z</w:t>
      </w:r>
      <w:r w:rsidR="00F63F87">
        <w:rPr>
          <w:rFonts w:asciiTheme="minorHAnsi" w:hAnsiTheme="minorHAnsi"/>
          <w:iCs/>
          <w:color w:val="000000"/>
          <w:sz w:val="22"/>
        </w:rPr>
        <w:t xml:space="preserve"> zasadą zintegrowanego podejścia terytorialnego</w:t>
      </w:r>
      <w:r w:rsidRPr="00EA630F">
        <w:rPr>
          <w:rFonts w:asciiTheme="minorHAnsi" w:hAnsiTheme="minorHAnsi"/>
          <w:iCs/>
          <w:color w:val="000000"/>
          <w:sz w:val="22"/>
        </w:rPr>
        <w:t xml:space="preserve"> podmiotami polityki miejskiej mogą zostać także podmioty reprezentujące obszary funkcjonalne największych miast w formie związków jednostek samorządu terytorialnego, wchodzących w skład miejskich obszarów funkcjonalnych.</w:t>
      </w:r>
      <w:r w:rsidR="00AF34E7">
        <w:rPr>
          <w:rFonts w:asciiTheme="minorHAnsi" w:hAnsiTheme="minorHAnsi"/>
          <w:iCs/>
          <w:color w:val="000000"/>
          <w:sz w:val="22"/>
        </w:rPr>
        <w:t xml:space="preserve"> Podejście to wynika z </w:t>
      </w:r>
      <w:r w:rsidR="00F63F87">
        <w:rPr>
          <w:rFonts w:ascii="Calibri" w:hAnsi="Calibri" w:cs="Calibri"/>
          <w:sz w:val="22"/>
        </w:rPr>
        <w:t>obserwowanej potrzeby postrzegania terytoriów i planowania ich rozwoju przez pryzmat ich obszarów funkcjonalnych, a nie granic administracyjnych. Umożliwia to lepsze wykorzystanie ukrytych lub niewłaściwie dotychczas wykorzystanych, szeroko rozumianych, zasobów i specyficznych potencjałów oraz stwarza optymalne warunki dla realizacji tych celów rozwojowych obszarów miejskich, które mają znaczenie dla całego kraju.</w:t>
      </w:r>
      <w:r w:rsidR="001F61D6">
        <w:rPr>
          <w:rFonts w:ascii="Calibri" w:hAnsi="Calibri" w:cs="Calibri"/>
          <w:sz w:val="22"/>
        </w:rPr>
        <w:t xml:space="preserve"> </w:t>
      </w:r>
      <w:r w:rsidRPr="00EA630F">
        <w:rPr>
          <w:rFonts w:asciiTheme="minorHAnsi" w:hAnsiTheme="minorHAnsi"/>
          <w:iCs/>
          <w:color w:val="000000"/>
          <w:sz w:val="22"/>
        </w:rPr>
        <w:t xml:space="preserve">Polityka miejska odnosi się zatem do wszystkich typów miejskich obszarów funkcjonalnych, określonych w </w:t>
      </w:r>
      <w:r w:rsidRPr="00843208">
        <w:rPr>
          <w:rFonts w:asciiTheme="minorHAnsi" w:hAnsiTheme="minorHAnsi"/>
          <w:i/>
          <w:iCs/>
          <w:color w:val="000000"/>
          <w:sz w:val="22"/>
        </w:rPr>
        <w:t>Koncepcji Przestrzennego Zagospodarowania Kraju 2030:</w:t>
      </w:r>
    </w:p>
    <w:p w:rsidR="00EA630F" w:rsidRPr="00EA630F" w:rsidRDefault="00EA630F" w:rsidP="000B36CA">
      <w:pPr>
        <w:numPr>
          <w:ilvl w:val="0"/>
          <w:numId w:val="50"/>
        </w:numPr>
        <w:autoSpaceDE w:val="0"/>
        <w:autoSpaceDN w:val="0"/>
        <w:adjustRightInd w:val="0"/>
        <w:rPr>
          <w:rFonts w:asciiTheme="minorHAnsi" w:hAnsiTheme="minorHAnsi"/>
          <w:iCs/>
          <w:color w:val="000000"/>
          <w:sz w:val="22"/>
        </w:rPr>
      </w:pPr>
      <w:r w:rsidRPr="00EA630F">
        <w:rPr>
          <w:rFonts w:asciiTheme="minorHAnsi" w:hAnsiTheme="minorHAnsi"/>
          <w:iCs/>
          <w:color w:val="000000"/>
          <w:sz w:val="22"/>
        </w:rPr>
        <w:t xml:space="preserve">ośrodków wojewódzkich (w tym do ośrodków metropolitalnych), </w:t>
      </w:r>
    </w:p>
    <w:p w:rsidR="00EA630F" w:rsidRPr="00EA630F" w:rsidRDefault="00EA630F" w:rsidP="000B36CA">
      <w:pPr>
        <w:numPr>
          <w:ilvl w:val="0"/>
          <w:numId w:val="50"/>
        </w:numPr>
        <w:autoSpaceDE w:val="0"/>
        <w:autoSpaceDN w:val="0"/>
        <w:adjustRightInd w:val="0"/>
        <w:rPr>
          <w:rFonts w:asciiTheme="minorHAnsi" w:hAnsiTheme="minorHAnsi"/>
          <w:iCs/>
          <w:color w:val="000000"/>
          <w:sz w:val="22"/>
        </w:rPr>
      </w:pPr>
      <w:r w:rsidRPr="00EA630F">
        <w:rPr>
          <w:rFonts w:asciiTheme="minorHAnsi" w:hAnsiTheme="minorHAnsi"/>
          <w:iCs/>
          <w:color w:val="000000"/>
          <w:sz w:val="22"/>
        </w:rPr>
        <w:t xml:space="preserve">ośrodków regionalnych, </w:t>
      </w:r>
    </w:p>
    <w:p w:rsidR="00EA630F" w:rsidRPr="00EA630F" w:rsidRDefault="00EA630F" w:rsidP="000B36CA">
      <w:pPr>
        <w:numPr>
          <w:ilvl w:val="0"/>
          <w:numId w:val="50"/>
        </w:numPr>
        <w:autoSpaceDE w:val="0"/>
        <w:autoSpaceDN w:val="0"/>
        <w:adjustRightInd w:val="0"/>
        <w:rPr>
          <w:rFonts w:asciiTheme="minorHAnsi" w:hAnsiTheme="minorHAnsi"/>
          <w:iCs/>
          <w:color w:val="000000"/>
          <w:sz w:val="22"/>
        </w:rPr>
      </w:pPr>
      <w:r w:rsidRPr="00EA630F">
        <w:rPr>
          <w:rFonts w:asciiTheme="minorHAnsi" w:hAnsiTheme="minorHAnsi"/>
          <w:iCs/>
          <w:color w:val="000000"/>
          <w:sz w:val="22"/>
        </w:rPr>
        <w:t xml:space="preserve">ośrodków subregionalnych, </w:t>
      </w:r>
    </w:p>
    <w:p w:rsidR="00EA630F" w:rsidRPr="00EA630F" w:rsidRDefault="00EA630F" w:rsidP="000B36CA">
      <w:pPr>
        <w:numPr>
          <w:ilvl w:val="0"/>
          <w:numId w:val="50"/>
        </w:numPr>
        <w:autoSpaceDE w:val="0"/>
        <w:autoSpaceDN w:val="0"/>
        <w:adjustRightInd w:val="0"/>
        <w:rPr>
          <w:rFonts w:asciiTheme="minorHAnsi" w:hAnsiTheme="minorHAnsi"/>
          <w:iCs/>
          <w:color w:val="000000"/>
          <w:sz w:val="22"/>
        </w:rPr>
      </w:pPr>
      <w:r w:rsidRPr="00EA630F">
        <w:rPr>
          <w:rFonts w:asciiTheme="minorHAnsi" w:hAnsiTheme="minorHAnsi"/>
          <w:iCs/>
          <w:color w:val="000000"/>
          <w:sz w:val="22"/>
        </w:rPr>
        <w:t xml:space="preserve">ośrodków lokalnych. </w:t>
      </w:r>
    </w:p>
    <w:p w:rsidR="00F63F87" w:rsidRDefault="00EA630F" w:rsidP="001F61D6">
      <w:pPr>
        <w:autoSpaceDE w:val="0"/>
        <w:autoSpaceDN w:val="0"/>
        <w:adjustRightInd w:val="0"/>
        <w:rPr>
          <w:rFonts w:asciiTheme="minorHAnsi" w:hAnsiTheme="minorHAnsi"/>
          <w:iCs/>
          <w:color w:val="000000"/>
          <w:sz w:val="22"/>
        </w:rPr>
      </w:pPr>
      <w:r w:rsidRPr="00EA630F">
        <w:rPr>
          <w:rFonts w:asciiTheme="minorHAnsi" w:hAnsiTheme="minorHAnsi"/>
          <w:iCs/>
          <w:color w:val="000000"/>
          <w:sz w:val="22"/>
        </w:rPr>
        <w:t xml:space="preserve">Instrumenty oraz działania podejmowane wobec poszczególnych typów obszarów funkcjonalnych zgodnie z zasadą terytorialnego, zintegrowanego podejścia są różnicowane tak, aby uwzględnić specyficzne ich potrzeby, a także potencjał rozwojowy. Krajowa polityka miejska realizowana jest za pomocą zestawu instrumentów planistycznych, instytucjonalnych oraz prawnych. Zasadniczym instrumentem rozwoju będą Zintegrowane Inwestycje Terytorialne (ZIT), realizowane na obszarach miejskich w ramach środków unijnych. Realizacja działań związanych ze zrównoważonym rozwojem miast, wspieranych środkami polityki spójności za pośrednictwem ZIT, będzie zależna od spełnienia odpowiednich warunków przez funkcjonalne obszary miejskie. </w:t>
      </w:r>
    </w:p>
    <w:p w:rsidR="001F61D6" w:rsidRPr="00EA630F" w:rsidRDefault="001F61D6" w:rsidP="001F61D6">
      <w:pPr>
        <w:autoSpaceDE w:val="0"/>
        <w:autoSpaceDN w:val="0"/>
        <w:adjustRightInd w:val="0"/>
        <w:rPr>
          <w:rFonts w:asciiTheme="minorHAnsi" w:hAnsiTheme="minorHAnsi"/>
          <w:iCs/>
          <w:color w:val="000000"/>
          <w:sz w:val="22"/>
        </w:rPr>
      </w:pPr>
    </w:p>
    <w:p w:rsidR="00EA630F" w:rsidRPr="00EA630F" w:rsidRDefault="00EA630F" w:rsidP="00C2787D">
      <w:pPr>
        <w:pStyle w:val="Akapitzlist"/>
        <w:ind w:left="0"/>
        <w:rPr>
          <w:rFonts w:asciiTheme="minorHAnsi" w:hAnsiTheme="minorHAnsi"/>
          <w:iCs/>
          <w:color w:val="000000"/>
          <w:sz w:val="22"/>
        </w:rPr>
      </w:pPr>
      <w:r w:rsidRPr="00EA630F">
        <w:rPr>
          <w:rFonts w:asciiTheme="minorHAnsi" w:hAnsiTheme="minorHAnsi"/>
          <w:iCs/>
          <w:color w:val="000000"/>
          <w:sz w:val="22"/>
        </w:rPr>
        <w:t xml:space="preserve">Strategicznym celem krajowej polityki miejskiej jest </w:t>
      </w:r>
      <w:r w:rsidRPr="001F61D6">
        <w:rPr>
          <w:rFonts w:asciiTheme="minorHAnsi" w:hAnsiTheme="minorHAnsi"/>
          <w:b/>
          <w:iCs/>
          <w:color w:val="000000"/>
          <w:sz w:val="22"/>
        </w:rPr>
        <w:t>„wzmocnienie zdolności miast do kreowania wzrostu gospodarczego i tworzenia wartościowych miejsc pracy oraz poprawa jakości życia ich mieszkańców”</w:t>
      </w:r>
      <w:r w:rsidRPr="00EA630F">
        <w:rPr>
          <w:rFonts w:asciiTheme="minorHAnsi" w:hAnsiTheme="minorHAnsi"/>
          <w:iCs/>
          <w:color w:val="000000"/>
          <w:sz w:val="22"/>
        </w:rPr>
        <w:t>. Do roku 2020 dokument proponuje następujące cele krajowej polityki miejskiej:</w:t>
      </w:r>
    </w:p>
    <w:p w:rsidR="008A3AF7" w:rsidRDefault="00EA630F" w:rsidP="000B36CA">
      <w:pPr>
        <w:pStyle w:val="Akapitzlist"/>
        <w:numPr>
          <w:ilvl w:val="0"/>
          <w:numId w:val="51"/>
        </w:numPr>
        <w:autoSpaceDE w:val="0"/>
        <w:autoSpaceDN w:val="0"/>
        <w:adjustRightInd w:val="0"/>
        <w:rPr>
          <w:rFonts w:ascii="Calibri" w:hAnsi="Calibri" w:cs="Calibri"/>
          <w:sz w:val="22"/>
        </w:rPr>
      </w:pPr>
      <w:r w:rsidRPr="008A3AF7">
        <w:rPr>
          <w:rFonts w:asciiTheme="minorHAnsi" w:hAnsiTheme="minorHAnsi"/>
          <w:i/>
          <w:iCs/>
          <w:color w:val="000000"/>
          <w:sz w:val="22"/>
        </w:rPr>
        <w:t>Podwyższenie zdolności miast do kreowania rozwoju, wzrostu i zatrudnienia,</w:t>
      </w:r>
      <w:r w:rsidR="008A3AF7" w:rsidRPr="008A3AF7">
        <w:rPr>
          <w:rFonts w:asciiTheme="minorHAnsi" w:hAnsiTheme="minorHAnsi"/>
          <w:i/>
          <w:iCs/>
          <w:color w:val="000000"/>
          <w:sz w:val="22"/>
        </w:rPr>
        <w:t xml:space="preserve">- </w:t>
      </w:r>
      <w:r w:rsidR="008A3AF7" w:rsidRPr="008A3AF7">
        <w:rPr>
          <w:rFonts w:ascii="Calibri" w:hAnsi="Calibri" w:cs="Calibri"/>
          <w:sz w:val="22"/>
        </w:rPr>
        <w:t>celem polityki miejskiej w tym zakresie jest  pełne wykorzystanie potencjału miast wojewódzkich, zarówno dla zwiększenia konkurencyjności międzynarodowej (europejskiej i globalnej), jak i dla wzmacniania siły gospodarczej regionów.</w:t>
      </w:r>
    </w:p>
    <w:p w:rsidR="008A3AF7" w:rsidRDefault="00EA630F" w:rsidP="000B36CA">
      <w:pPr>
        <w:pStyle w:val="Akapitzlist"/>
        <w:numPr>
          <w:ilvl w:val="0"/>
          <w:numId w:val="51"/>
        </w:numPr>
        <w:autoSpaceDE w:val="0"/>
        <w:autoSpaceDN w:val="0"/>
        <w:adjustRightInd w:val="0"/>
        <w:rPr>
          <w:rFonts w:ascii="Calibri" w:hAnsi="Calibri" w:cs="Calibri"/>
          <w:sz w:val="22"/>
        </w:rPr>
      </w:pPr>
      <w:r w:rsidRPr="008A3AF7">
        <w:rPr>
          <w:rFonts w:asciiTheme="minorHAnsi" w:hAnsiTheme="minorHAnsi"/>
          <w:i/>
          <w:iCs/>
          <w:color w:val="000000"/>
          <w:sz w:val="22"/>
        </w:rPr>
        <w:t xml:space="preserve">Wspomaganie rozwoju obszarów problemowych (w tym niektórych obszarów wiejskich) polityki regionalnej poprzez wzmacnianie funkcji miast małych i średnich oraz przeciwdziałanie upadkowi ekonomicznemu miast, </w:t>
      </w:r>
      <w:r w:rsidR="00913F38" w:rsidRPr="008A3AF7">
        <w:rPr>
          <w:rFonts w:asciiTheme="minorHAnsi" w:hAnsiTheme="minorHAnsi"/>
          <w:i/>
          <w:iCs/>
          <w:color w:val="000000"/>
          <w:sz w:val="22"/>
        </w:rPr>
        <w:t xml:space="preserve">- </w:t>
      </w:r>
      <w:r w:rsidR="00913F38" w:rsidRPr="008A3AF7">
        <w:rPr>
          <w:rFonts w:asciiTheme="minorHAnsi" w:hAnsiTheme="minorHAnsi"/>
          <w:iCs/>
          <w:color w:val="000000"/>
          <w:sz w:val="22"/>
        </w:rPr>
        <w:t>osiągnięci</w:t>
      </w:r>
      <w:r w:rsidR="008A3AF7" w:rsidRPr="008A3AF7">
        <w:rPr>
          <w:rFonts w:asciiTheme="minorHAnsi" w:hAnsiTheme="minorHAnsi"/>
          <w:iCs/>
          <w:color w:val="000000"/>
          <w:sz w:val="22"/>
        </w:rPr>
        <w:t>u celu w wymiarze gospodarczym mają</w:t>
      </w:r>
      <w:r w:rsidR="00913F38" w:rsidRPr="008A3AF7">
        <w:rPr>
          <w:rFonts w:asciiTheme="minorHAnsi" w:hAnsiTheme="minorHAnsi"/>
          <w:iCs/>
          <w:color w:val="000000"/>
          <w:sz w:val="22"/>
        </w:rPr>
        <w:t xml:space="preserve"> służyć</w:t>
      </w:r>
      <w:r w:rsidR="008A3AF7" w:rsidRPr="008A3AF7">
        <w:rPr>
          <w:rFonts w:asciiTheme="minorHAnsi" w:hAnsiTheme="minorHAnsi"/>
          <w:iCs/>
          <w:color w:val="000000"/>
          <w:sz w:val="22"/>
        </w:rPr>
        <w:t xml:space="preserve"> działania ukierunkowane na</w:t>
      </w:r>
      <w:r w:rsidR="00913F38" w:rsidRPr="008A3AF7">
        <w:rPr>
          <w:rFonts w:asciiTheme="minorHAnsi" w:hAnsiTheme="minorHAnsi"/>
          <w:i/>
          <w:iCs/>
          <w:color w:val="000000"/>
          <w:sz w:val="22"/>
        </w:rPr>
        <w:t xml:space="preserve"> </w:t>
      </w:r>
      <w:r w:rsidR="00913F38" w:rsidRPr="008A3AF7">
        <w:rPr>
          <w:rFonts w:ascii="Calibri" w:hAnsi="Calibri" w:cs="Calibri"/>
          <w:sz w:val="22"/>
        </w:rPr>
        <w:t>maksy</w:t>
      </w:r>
      <w:r w:rsidR="008A3AF7" w:rsidRPr="008A3AF7">
        <w:rPr>
          <w:rFonts w:ascii="Calibri" w:hAnsi="Calibri" w:cs="Calibri"/>
          <w:sz w:val="22"/>
        </w:rPr>
        <w:t xml:space="preserve">malne wykorzystanie lokalnych </w:t>
      </w:r>
      <w:r w:rsidR="00913F38" w:rsidRPr="008A3AF7">
        <w:rPr>
          <w:rFonts w:ascii="Calibri" w:hAnsi="Calibri" w:cs="Calibri"/>
          <w:sz w:val="22"/>
        </w:rPr>
        <w:t>potencjałów (wynikających z zasobów, położenia, atrakcyjności turystycznej, tradycji przemysł</w:t>
      </w:r>
      <w:r w:rsidR="006475D9">
        <w:rPr>
          <w:rFonts w:ascii="Calibri" w:hAnsi="Calibri" w:cs="Calibri"/>
          <w:sz w:val="22"/>
        </w:rPr>
        <w:t>owych itd.), rozwijanie i </w:t>
      </w:r>
      <w:r w:rsidR="008A3AF7" w:rsidRPr="008A3AF7">
        <w:rPr>
          <w:rFonts w:ascii="Calibri" w:hAnsi="Calibri" w:cs="Calibri"/>
          <w:sz w:val="22"/>
        </w:rPr>
        <w:t>absorpcję</w:t>
      </w:r>
      <w:r w:rsidR="00913F38" w:rsidRPr="008A3AF7">
        <w:rPr>
          <w:rFonts w:ascii="Calibri" w:hAnsi="Calibri" w:cs="Calibri"/>
          <w:sz w:val="22"/>
        </w:rPr>
        <w:t xml:space="preserve"> innowacji nie tylko w nowych branżach, ale takż</w:t>
      </w:r>
      <w:r w:rsidR="008A3AF7" w:rsidRPr="008A3AF7">
        <w:rPr>
          <w:rFonts w:ascii="Calibri" w:hAnsi="Calibri" w:cs="Calibri"/>
          <w:sz w:val="22"/>
        </w:rPr>
        <w:t xml:space="preserve">e w tradycyjnie </w:t>
      </w:r>
      <w:r w:rsidR="00913F38" w:rsidRPr="008A3AF7">
        <w:rPr>
          <w:rFonts w:ascii="Calibri" w:hAnsi="Calibri" w:cs="Calibri"/>
          <w:sz w:val="22"/>
        </w:rPr>
        <w:t>wiodących na poziomie lokalnym gałęzi przemysłu i usług. W zakresie rozwoju kapitału ludzkiego, celem miejskiego wymiaru hor</w:t>
      </w:r>
      <w:r w:rsidR="008A3AF7" w:rsidRPr="008A3AF7">
        <w:rPr>
          <w:rFonts w:ascii="Calibri" w:hAnsi="Calibri" w:cs="Calibri"/>
          <w:sz w:val="22"/>
        </w:rPr>
        <w:t xml:space="preserve">yzontalnych polityk publicznych </w:t>
      </w:r>
      <w:r w:rsidR="00913F38" w:rsidRPr="008A3AF7">
        <w:rPr>
          <w:rFonts w:ascii="Calibri" w:hAnsi="Calibri" w:cs="Calibri"/>
          <w:sz w:val="22"/>
        </w:rPr>
        <w:t>jest odpowiedź na wy</w:t>
      </w:r>
      <w:r w:rsidR="00757102">
        <w:rPr>
          <w:rFonts w:ascii="Calibri" w:hAnsi="Calibri" w:cs="Calibri"/>
          <w:sz w:val="22"/>
        </w:rPr>
        <w:t>zwania demograficzne, polegające</w:t>
      </w:r>
      <w:r w:rsidR="00913F38" w:rsidRPr="008A3AF7">
        <w:rPr>
          <w:rFonts w:ascii="Calibri" w:hAnsi="Calibri" w:cs="Calibri"/>
          <w:sz w:val="22"/>
        </w:rPr>
        <w:t xml:space="preserve"> na przeciwdziałaniu depopulacji ś</w:t>
      </w:r>
      <w:r w:rsidR="008A3AF7" w:rsidRPr="008A3AF7">
        <w:rPr>
          <w:rFonts w:ascii="Calibri" w:hAnsi="Calibri" w:cs="Calibri"/>
          <w:sz w:val="22"/>
        </w:rPr>
        <w:t xml:space="preserve">rednich </w:t>
      </w:r>
      <w:r w:rsidR="006475D9">
        <w:rPr>
          <w:rFonts w:ascii="Calibri" w:hAnsi="Calibri" w:cs="Calibri"/>
          <w:sz w:val="22"/>
        </w:rPr>
        <w:t>i małych miast. W </w:t>
      </w:r>
      <w:r w:rsidR="00913F38" w:rsidRPr="008A3AF7">
        <w:rPr>
          <w:rFonts w:ascii="Calibri" w:hAnsi="Calibri" w:cs="Calibri"/>
          <w:sz w:val="22"/>
        </w:rPr>
        <w:t>związku z tym polityka miejska wskazuje na potrzebę zapewniania dostę</w:t>
      </w:r>
      <w:r w:rsidR="008A3AF7" w:rsidRPr="008A3AF7">
        <w:rPr>
          <w:rFonts w:ascii="Calibri" w:hAnsi="Calibri" w:cs="Calibri"/>
          <w:sz w:val="22"/>
        </w:rPr>
        <w:t xml:space="preserve">pnych, </w:t>
      </w:r>
      <w:r w:rsidR="00913F38" w:rsidRPr="008A3AF7">
        <w:rPr>
          <w:rFonts w:ascii="Calibri" w:hAnsi="Calibri" w:cs="Calibri"/>
          <w:sz w:val="22"/>
        </w:rPr>
        <w:t>wysokiej jakości usług publicznych we wszystkich miastach Polski, tak aby był</w:t>
      </w:r>
      <w:r w:rsidR="008A3AF7" w:rsidRPr="008A3AF7">
        <w:rPr>
          <w:rFonts w:ascii="Calibri" w:hAnsi="Calibri" w:cs="Calibri"/>
          <w:sz w:val="22"/>
        </w:rPr>
        <w:t xml:space="preserve">y coraz atrakcyjniejszymi </w:t>
      </w:r>
      <w:r w:rsidR="00913F38" w:rsidRPr="008A3AF7">
        <w:rPr>
          <w:rFonts w:ascii="Calibri" w:hAnsi="Calibri" w:cs="Calibri"/>
          <w:sz w:val="22"/>
        </w:rPr>
        <w:t>miejscami zamieszkania</w:t>
      </w:r>
      <w:r w:rsidR="008A3AF7" w:rsidRPr="008A3AF7">
        <w:rPr>
          <w:rFonts w:ascii="Calibri" w:hAnsi="Calibri" w:cs="Calibri"/>
          <w:sz w:val="22"/>
        </w:rPr>
        <w:t xml:space="preserve"> oraz stanowiły zaplecze infrastrukturalne i usługowe dla obszarów wiejskich. Pomocne w tym obszarze będą</w:t>
      </w:r>
      <w:r w:rsidR="00913F38" w:rsidRPr="008A3AF7">
        <w:rPr>
          <w:rFonts w:ascii="Calibri" w:hAnsi="Calibri" w:cs="Calibri"/>
          <w:sz w:val="22"/>
        </w:rPr>
        <w:t xml:space="preserve"> </w:t>
      </w:r>
      <w:r w:rsidR="008A3AF7" w:rsidRPr="008A3AF7">
        <w:rPr>
          <w:rFonts w:ascii="Calibri" w:hAnsi="Calibri" w:cs="Calibri"/>
          <w:sz w:val="22"/>
        </w:rPr>
        <w:t>d</w:t>
      </w:r>
      <w:r w:rsidR="00913F38" w:rsidRPr="008A3AF7">
        <w:rPr>
          <w:rFonts w:ascii="Calibri" w:hAnsi="Calibri" w:cs="Calibri"/>
          <w:sz w:val="22"/>
        </w:rPr>
        <w:t>ział</w:t>
      </w:r>
      <w:r w:rsidR="008A3AF7" w:rsidRPr="008A3AF7">
        <w:rPr>
          <w:rFonts w:ascii="Calibri" w:hAnsi="Calibri" w:cs="Calibri"/>
          <w:sz w:val="22"/>
        </w:rPr>
        <w:t xml:space="preserve">ania w zakresie wspólnego </w:t>
      </w:r>
      <w:r w:rsidR="00913F38" w:rsidRPr="008A3AF7">
        <w:rPr>
          <w:rFonts w:ascii="Calibri" w:hAnsi="Calibri" w:cs="Calibri"/>
          <w:sz w:val="22"/>
        </w:rPr>
        <w:t>określania i realizacji wizji rozwoju przestrzeni miasta i jego otoczenia</w:t>
      </w:r>
      <w:r w:rsidR="008A3AF7" w:rsidRPr="008A3AF7">
        <w:rPr>
          <w:rFonts w:ascii="Calibri" w:hAnsi="Calibri" w:cs="Calibri"/>
          <w:sz w:val="22"/>
        </w:rPr>
        <w:t xml:space="preserve"> w ramach miejskich obszarów funkcjonalnych. P</w:t>
      </w:r>
      <w:r w:rsidR="00913F38" w:rsidRPr="008A3AF7">
        <w:rPr>
          <w:rFonts w:ascii="Calibri" w:hAnsi="Calibri" w:cs="Calibri"/>
          <w:sz w:val="22"/>
        </w:rPr>
        <w:t>rzyczyniać się będą</w:t>
      </w:r>
      <w:r w:rsidR="008A3AF7" w:rsidRPr="008A3AF7">
        <w:rPr>
          <w:rFonts w:ascii="Calibri" w:hAnsi="Calibri" w:cs="Calibri"/>
          <w:sz w:val="22"/>
        </w:rPr>
        <w:t xml:space="preserve"> bowiem do lepszego </w:t>
      </w:r>
      <w:r w:rsidR="00913F38" w:rsidRPr="008A3AF7">
        <w:rPr>
          <w:rFonts w:ascii="Calibri" w:hAnsi="Calibri" w:cs="Calibri"/>
          <w:sz w:val="22"/>
        </w:rPr>
        <w:t>gospodarowania zasobami, ale także – co ważne szczególnie dla samorządów borykających się z</w:t>
      </w:r>
      <w:r w:rsidR="008A3AF7" w:rsidRPr="008A3AF7">
        <w:rPr>
          <w:rFonts w:ascii="Calibri" w:hAnsi="Calibri" w:cs="Calibri"/>
          <w:sz w:val="22"/>
        </w:rPr>
        <w:t xml:space="preserve"> </w:t>
      </w:r>
      <w:r w:rsidR="00913F38" w:rsidRPr="008A3AF7">
        <w:rPr>
          <w:rFonts w:ascii="Calibri" w:hAnsi="Calibri" w:cs="Calibri"/>
          <w:sz w:val="22"/>
        </w:rPr>
        <w:t>problemami finansowymi – pozwalać będą efektywniej zapewniać infrastrukturę i usługi publiczne</w:t>
      </w:r>
      <w:r w:rsidR="008A3AF7" w:rsidRPr="008A3AF7">
        <w:rPr>
          <w:rFonts w:ascii="Calibri" w:hAnsi="Calibri" w:cs="Calibri"/>
          <w:sz w:val="22"/>
        </w:rPr>
        <w:t>.</w:t>
      </w:r>
      <w:r w:rsidR="008A3AF7">
        <w:rPr>
          <w:rFonts w:ascii="Calibri" w:hAnsi="Calibri" w:cs="Calibri"/>
          <w:sz w:val="22"/>
        </w:rPr>
        <w:t xml:space="preserve"> Priorytetow</w:t>
      </w:r>
      <w:r w:rsidR="00C2787D">
        <w:rPr>
          <w:rFonts w:ascii="Calibri" w:hAnsi="Calibri" w:cs="Calibri"/>
          <w:sz w:val="22"/>
        </w:rPr>
        <w:t>e działania p</w:t>
      </w:r>
      <w:r w:rsidR="008A3AF7">
        <w:rPr>
          <w:rFonts w:ascii="Calibri" w:hAnsi="Calibri" w:cs="Calibri"/>
          <w:sz w:val="22"/>
        </w:rPr>
        <w:t>odejmowan</w:t>
      </w:r>
      <w:r w:rsidR="00C2787D">
        <w:rPr>
          <w:rFonts w:ascii="Calibri" w:hAnsi="Calibri" w:cs="Calibri"/>
          <w:sz w:val="22"/>
        </w:rPr>
        <w:t>e</w:t>
      </w:r>
      <w:r w:rsidR="008A3AF7">
        <w:rPr>
          <w:rFonts w:ascii="Calibri" w:hAnsi="Calibri" w:cs="Calibri"/>
          <w:sz w:val="22"/>
        </w:rPr>
        <w:t xml:space="preserve"> w ramach miejskich obsz</w:t>
      </w:r>
      <w:r w:rsidR="00C2787D">
        <w:rPr>
          <w:rFonts w:ascii="Calibri" w:hAnsi="Calibri" w:cs="Calibri"/>
          <w:sz w:val="22"/>
        </w:rPr>
        <w:t>arów funkcjonalnych powinny dotyczyć: integracji przestrzennej, adaptacji do zmian klimatu, rozwiązań niskoemisyjnych i poprawy dostępności komunikacyjnej.</w:t>
      </w:r>
    </w:p>
    <w:p w:rsidR="008A3AF7" w:rsidRDefault="00EA630F" w:rsidP="000B36CA">
      <w:pPr>
        <w:pStyle w:val="Akapitzlist"/>
        <w:numPr>
          <w:ilvl w:val="0"/>
          <w:numId w:val="51"/>
        </w:numPr>
        <w:autoSpaceDE w:val="0"/>
        <w:autoSpaceDN w:val="0"/>
        <w:adjustRightInd w:val="0"/>
        <w:rPr>
          <w:rFonts w:ascii="Calibri" w:hAnsi="Calibri" w:cs="Calibri"/>
          <w:sz w:val="22"/>
        </w:rPr>
      </w:pPr>
      <w:r w:rsidRPr="008A3AF7">
        <w:rPr>
          <w:rFonts w:asciiTheme="minorHAnsi" w:hAnsiTheme="minorHAnsi"/>
          <w:i/>
          <w:iCs/>
          <w:color w:val="000000"/>
          <w:sz w:val="22"/>
        </w:rPr>
        <w:t>Odbudowa zdolności do rozwoju poprzez rewitaliz</w:t>
      </w:r>
      <w:r w:rsidR="008A3AF7">
        <w:rPr>
          <w:rFonts w:asciiTheme="minorHAnsi" w:hAnsiTheme="minorHAnsi"/>
          <w:i/>
          <w:iCs/>
          <w:color w:val="000000"/>
          <w:sz w:val="22"/>
        </w:rPr>
        <w:t xml:space="preserve">ację zdegradowanych społecznie, </w:t>
      </w:r>
      <w:r w:rsidRPr="008A3AF7">
        <w:rPr>
          <w:rFonts w:asciiTheme="minorHAnsi" w:hAnsiTheme="minorHAnsi"/>
          <w:i/>
          <w:iCs/>
          <w:color w:val="000000"/>
          <w:sz w:val="22"/>
        </w:rPr>
        <w:t>ekonomicznie i fizycznie obszarów miejskich,</w:t>
      </w:r>
      <w:r w:rsidR="000B06A6" w:rsidRPr="008A3AF7">
        <w:rPr>
          <w:rFonts w:asciiTheme="minorHAnsi" w:hAnsiTheme="minorHAnsi"/>
          <w:i/>
          <w:iCs/>
          <w:color w:val="000000"/>
          <w:sz w:val="22"/>
        </w:rPr>
        <w:t xml:space="preserve"> </w:t>
      </w:r>
      <w:r w:rsidR="000B06A6" w:rsidRPr="008A3AF7">
        <w:rPr>
          <w:rFonts w:asciiTheme="minorHAnsi" w:hAnsiTheme="minorHAnsi"/>
          <w:iCs/>
          <w:color w:val="000000"/>
          <w:sz w:val="22"/>
        </w:rPr>
        <w:t>-</w:t>
      </w:r>
      <w:r w:rsidR="00C50592" w:rsidRPr="008A3AF7">
        <w:rPr>
          <w:rFonts w:asciiTheme="minorHAnsi" w:hAnsiTheme="minorHAnsi"/>
          <w:iCs/>
          <w:color w:val="000000"/>
          <w:sz w:val="22"/>
        </w:rPr>
        <w:t xml:space="preserve"> </w:t>
      </w:r>
      <w:r w:rsidR="00C50592" w:rsidRPr="008A3AF7">
        <w:rPr>
          <w:rFonts w:ascii="Calibri" w:hAnsi="Calibri" w:cs="Calibri"/>
          <w:sz w:val="22"/>
        </w:rPr>
        <w:t>cel związany z odbudową zdolności miast i ich zdegradowanych dzielnic do rozwoju ukierunkowany jest na to, by wyprowadzać ze stanów kryzysowych dzielnice miast i inne obszary zdegradowane</w:t>
      </w:r>
      <w:r w:rsidR="006475D9">
        <w:rPr>
          <w:rFonts w:ascii="Calibri" w:hAnsi="Calibri" w:cs="Calibri"/>
          <w:sz w:val="22"/>
        </w:rPr>
        <w:t xml:space="preserve"> (np. wymagające rekultywacji i </w:t>
      </w:r>
      <w:r w:rsidR="00C50592" w:rsidRPr="008A3AF7">
        <w:rPr>
          <w:rFonts w:ascii="Calibri" w:hAnsi="Calibri" w:cs="Calibri"/>
          <w:sz w:val="22"/>
        </w:rPr>
        <w:t>remediacji) w sposób skoncentrowany i efektywny, przy czym powinna być to nie tylko poprawa jakości życia i walorów estetycznych, ale przede wszystkim przywrócenie na nim aktywności gospodarczej i społecznej</w:t>
      </w:r>
      <w:r w:rsidR="00757102">
        <w:rPr>
          <w:rFonts w:ascii="Calibri" w:hAnsi="Calibri" w:cs="Calibri"/>
          <w:sz w:val="22"/>
        </w:rPr>
        <w:t>.</w:t>
      </w:r>
      <w:r w:rsidR="00C50592" w:rsidRPr="008A3AF7">
        <w:rPr>
          <w:rFonts w:ascii="Calibri" w:hAnsi="Calibri" w:cs="Calibri"/>
          <w:sz w:val="22"/>
        </w:rPr>
        <w:t xml:space="preserve"> Dodatkowym</w:t>
      </w:r>
      <w:r w:rsidR="000B06A6" w:rsidRPr="008A3AF7">
        <w:rPr>
          <w:rFonts w:asciiTheme="minorHAnsi" w:hAnsiTheme="minorHAnsi"/>
          <w:iCs/>
          <w:color w:val="000000"/>
          <w:sz w:val="22"/>
        </w:rPr>
        <w:t xml:space="preserve"> </w:t>
      </w:r>
      <w:r w:rsidR="00C50592" w:rsidRPr="008A3AF7">
        <w:rPr>
          <w:rFonts w:ascii="Calibri" w:hAnsi="Calibri" w:cs="Calibri"/>
          <w:sz w:val="22"/>
        </w:rPr>
        <w:t>c</w:t>
      </w:r>
      <w:r w:rsidR="000B06A6" w:rsidRPr="008A3AF7">
        <w:rPr>
          <w:rFonts w:ascii="Calibri" w:hAnsi="Calibri" w:cs="Calibri"/>
          <w:sz w:val="22"/>
        </w:rPr>
        <w:t>elem polityki miejskiej jest określenie narodowego programu rewitalizacji, który będzie określał m.in. z</w:t>
      </w:r>
      <w:r w:rsidR="006475D9">
        <w:rPr>
          <w:rFonts w:ascii="Calibri" w:hAnsi="Calibri" w:cs="Calibri"/>
          <w:sz w:val="22"/>
        </w:rPr>
        <w:t>asady i sposób realizacji i </w:t>
      </w:r>
      <w:r w:rsidR="000B06A6" w:rsidRPr="008A3AF7">
        <w:rPr>
          <w:rFonts w:ascii="Calibri" w:hAnsi="Calibri" w:cs="Calibri"/>
          <w:sz w:val="22"/>
        </w:rPr>
        <w:t>integrowania przedsięwzięć, zadania poszczególnych podmiotów oraz sposoby i źródła finansowania rewitalizacji.</w:t>
      </w:r>
    </w:p>
    <w:p w:rsidR="008A3AF7" w:rsidRDefault="00EA630F" w:rsidP="000B36CA">
      <w:pPr>
        <w:pStyle w:val="Akapitzlist"/>
        <w:numPr>
          <w:ilvl w:val="0"/>
          <w:numId w:val="51"/>
        </w:numPr>
        <w:autoSpaceDE w:val="0"/>
        <w:autoSpaceDN w:val="0"/>
        <w:adjustRightInd w:val="0"/>
        <w:rPr>
          <w:rFonts w:ascii="Calibri" w:hAnsi="Calibri" w:cs="Calibri"/>
          <w:sz w:val="22"/>
        </w:rPr>
      </w:pPr>
      <w:r w:rsidRPr="008A3AF7">
        <w:rPr>
          <w:rFonts w:asciiTheme="minorHAnsi" w:hAnsiTheme="minorHAnsi"/>
          <w:i/>
          <w:iCs/>
          <w:color w:val="000000"/>
          <w:sz w:val="22"/>
        </w:rPr>
        <w:t>Wspieranie zrównoważonego rozwoju ośrodków miejskich, w tym przeciwdziałanie zjawiskom suburbanizacji,</w:t>
      </w:r>
      <w:r w:rsidR="00913F38" w:rsidRPr="008A3AF7">
        <w:rPr>
          <w:rFonts w:asciiTheme="minorHAnsi" w:hAnsiTheme="minorHAnsi"/>
          <w:i/>
          <w:iCs/>
          <w:color w:val="000000"/>
          <w:sz w:val="22"/>
        </w:rPr>
        <w:t xml:space="preserve"> - </w:t>
      </w:r>
      <w:r w:rsidR="00913F38" w:rsidRPr="008A3AF7">
        <w:rPr>
          <w:rFonts w:ascii="Calibri" w:hAnsi="Calibri" w:cs="Calibri"/>
          <w:sz w:val="22"/>
        </w:rPr>
        <w:t>Celem działań ukierunkowanych</w:t>
      </w:r>
      <w:r w:rsidR="006475D9">
        <w:rPr>
          <w:rFonts w:ascii="Calibri" w:hAnsi="Calibri" w:cs="Calibri"/>
          <w:sz w:val="22"/>
        </w:rPr>
        <w:t xml:space="preserve"> na zrównoważony rozwój miast i </w:t>
      </w:r>
      <w:r w:rsidR="00913F38" w:rsidRPr="008A3AF7">
        <w:rPr>
          <w:rFonts w:ascii="Calibri" w:hAnsi="Calibri" w:cs="Calibri"/>
          <w:sz w:val="22"/>
        </w:rPr>
        <w:t xml:space="preserve">otaczających je obszarów jest umożliwianie miastom jednoczesnego, skoordynowanego </w:t>
      </w:r>
      <w:r w:rsidR="00757102">
        <w:rPr>
          <w:rFonts w:ascii="Calibri" w:hAnsi="Calibri" w:cs="Calibri"/>
          <w:sz w:val="22"/>
        </w:rPr>
        <w:t>dążenia do ładu przestrzennego,</w:t>
      </w:r>
      <w:r w:rsidR="00913F38" w:rsidRPr="008A3AF7">
        <w:rPr>
          <w:rFonts w:ascii="Calibri" w:hAnsi="Calibri" w:cs="Calibri"/>
          <w:sz w:val="22"/>
        </w:rPr>
        <w:t xml:space="preserve"> zapobieżenie żywiołowego, chaotycznego rozwoju rozproszonej zabudowy i zjawisk suburbanizacji oraz dezurbanizacji, przejścia do gospodarki niskoemisyjnej, ochrony środowiska, a także adaptacji do zmian klimatu.</w:t>
      </w:r>
    </w:p>
    <w:p w:rsidR="00EA630F" w:rsidRPr="008A3AF7" w:rsidRDefault="00EA630F" w:rsidP="000B36CA">
      <w:pPr>
        <w:pStyle w:val="Akapitzlist"/>
        <w:numPr>
          <w:ilvl w:val="0"/>
          <w:numId w:val="51"/>
        </w:numPr>
        <w:autoSpaceDE w:val="0"/>
        <w:autoSpaceDN w:val="0"/>
        <w:adjustRightInd w:val="0"/>
        <w:rPr>
          <w:rFonts w:ascii="Calibri" w:hAnsi="Calibri" w:cs="Calibri"/>
          <w:sz w:val="22"/>
        </w:rPr>
      </w:pPr>
      <w:r w:rsidRPr="008A3AF7">
        <w:rPr>
          <w:rFonts w:asciiTheme="minorHAnsi" w:hAnsiTheme="minorHAnsi"/>
          <w:i/>
          <w:iCs/>
          <w:color w:val="000000"/>
          <w:sz w:val="22"/>
        </w:rPr>
        <w:t>Stworzenie warunków dla skutecznego, efektywnego i partnerskiego zarządzania rozwojem na obszarach miejskich, w tym w szczególnośc</w:t>
      </w:r>
      <w:r w:rsidR="00C50592" w:rsidRPr="008A3AF7">
        <w:rPr>
          <w:rFonts w:asciiTheme="minorHAnsi" w:hAnsiTheme="minorHAnsi"/>
          <w:i/>
          <w:iCs/>
          <w:color w:val="000000"/>
          <w:sz w:val="22"/>
        </w:rPr>
        <w:t xml:space="preserve">i na obszarach metropolitalnych - </w:t>
      </w:r>
      <w:r w:rsidR="00913F38" w:rsidRPr="008A3AF7">
        <w:rPr>
          <w:rFonts w:asciiTheme="minorHAnsi" w:hAnsiTheme="minorHAnsi"/>
          <w:iCs/>
          <w:color w:val="000000"/>
          <w:sz w:val="22"/>
        </w:rPr>
        <w:t>c</w:t>
      </w:r>
      <w:r w:rsidR="00C50592" w:rsidRPr="008A3AF7">
        <w:rPr>
          <w:rFonts w:ascii="Calibri" w:hAnsi="Calibri" w:cs="Calibri"/>
          <w:sz w:val="22"/>
        </w:rPr>
        <w:t xml:space="preserve">elem polityki miejskiej </w:t>
      </w:r>
      <w:r w:rsidR="00913F38" w:rsidRPr="008A3AF7">
        <w:rPr>
          <w:rFonts w:ascii="Calibri" w:hAnsi="Calibri" w:cs="Calibri"/>
          <w:sz w:val="22"/>
        </w:rPr>
        <w:t xml:space="preserve">w tym zakresie </w:t>
      </w:r>
      <w:r w:rsidR="00C50592" w:rsidRPr="008A3AF7">
        <w:rPr>
          <w:rFonts w:ascii="Calibri" w:hAnsi="Calibri" w:cs="Calibri"/>
          <w:sz w:val="22"/>
        </w:rPr>
        <w:t>jest tworzenie instytucjonalnych (organizacyjnych) i prawnych warunków dla</w:t>
      </w:r>
      <w:r w:rsidR="00913F38" w:rsidRPr="008A3AF7">
        <w:rPr>
          <w:rFonts w:ascii="Calibri" w:hAnsi="Calibri" w:cs="Calibri"/>
          <w:sz w:val="22"/>
        </w:rPr>
        <w:t xml:space="preserve"> </w:t>
      </w:r>
      <w:r w:rsidR="00C50592" w:rsidRPr="008A3AF7">
        <w:rPr>
          <w:rFonts w:ascii="Calibri" w:hAnsi="Calibri" w:cs="Calibri"/>
          <w:sz w:val="22"/>
        </w:rPr>
        <w:t>efektywnego i skutecznego prowadzenia polityki rozwoju miast</w:t>
      </w:r>
      <w:r w:rsidR="00913F38" w:rsidRPr="008A3AF7">
        <w:rPr>
          <w:rFonts w:ascii="Calibri" w:hAnsi="Calibri" w:cs="Calibri"/>
          <w:sz w:val="22"/>
        </w:rPr>
        <w:t xml:space="preserve"> oraz ich obszarów funkcjonalnych. W</w:t>
      </w:r>
      <w:r w:rsidR="00C50592" w:rsidRPr="008A3AF7">
        <w:rPr>
          <w:rFonts w:ascii="Calibri" w:hAnsi="Calibri" w:cs="Calibri"/>
          <w:sz w:val="22"/>
        </w:rPr>
        <w:t xml:space="preserve">ażnym </w:t>
      </w:r>
      <w:r w:rsidR="00913F38" w:rsidRPr="008A3AF7">
        <w:rPr>
          <w:rFonts w:ascii="Calibri" w:hAnsi="Calibri" w:cs="Calibri"/>
          <w:sz w:val="22"/>
        </w:rPr>
        <w:t>działaniem</w:t>
      </w:r>
      <w:r w:rsidR="00C50592" w:rsidRPr="008A3AF7">
        <w:rPr>
          <w:rFonts w:ascii="Calibri" w:hAnsi="Calibri" w:cs="Calibri"/>
          <w:sz w:val="22"/>
        </w:rPr>
        <w:t xml:space="preserve"> ukierunkowanym na zwiększanie jakości zarządzania miastem jest wspieranie i rozwijanie mechanizmów partycypacji społecznej we wszystkich aspektach funkcjonowania miasta, w</w:t>
      </w:r>
      <w:r w:rsidR="00913F38" w:rsidRPr="008A3AF7">
        <w:rPr>
          <w:rFonts w:ascii="Calibri" w:hAnsi="Calibri" w:cs="Calibri"/>
          <w:sz w:val="22"/>
        </w:rPr>
        <w:t xml:space="preserve"> </w:t>
      </w:r>
      <w:r w:rsidR="00C50592" w:rsidRPr="008A3AF7">
        <w:rPr>
          <w:rFonts w:ascii="Calibri" w:hAnsi="Calibri" w:cs="Calibri"/>
          <w:sz w:val="22"/>
        </w:rPr>
        <w:t>kierunku przejścia od formalnych konsultacji społecznych do realnego, możliwie powszechnego,</w:t>
      </w:r>
      <w:r w:rsidR="00913F38" w:rsidRPr="008A3AF7">
        <w:rPr>
          <w:rFonts w:ascii="Calibri" w:hAnsi="Calibri" w:cs="Calibri"/>
          <w:sz w:val="22"/>
        </w:rPr>
        <w:t xml:space="preserve"> </w:t>
      </w:r>
      <w:r w:rsidR="00C50592" w:rsidRPr="008A3AF7">
        <w:rPr>
          <w:rFonts w:ascii="Calibri" w:hAnsi="Calibri" w:cs="Calibri"/>
          <w:sz w:val="22"/>
        </w:rPr>
        <w:t>partne</w:t>
      </w:r>
      <w:r w:rsidR="006475D9">
        <w:rPr>
          <w:rFonts w:ascii="Calibri" w:hAnsi="Calibri" w:cs="Calibri"/>
          <w:sz w:val="22"/>
        </w:rPr>
        <w:t>rskiego udziału społeczeństwa w </w:t>
      </w:r>
      <w:r w:rsidR="00C50592" w:rsidRPr="008A3AF7">
        <w:rPr>
          <w:rFonts w:ascii="Calibri" w:hAnsi="Calibri" w:cs="Calibri"/>
          <w:sz w:val="22"/>
        </w:rPr>
        <w:t>określaniu wizji rozwoju miasta, planowaniu jego rozwoju oraz realizacji poszczególnych działań w mieście.</w:t>
      </w:r>
    </w:p>
    <w:p w:rsidR="00EA630F" w:rsidRPr="00EA630F" w:rsidRDefault="00EA630F" w:rsidP="00EA630F">
      <w:pPr>
        <w:rPr>
          <w:rFonts w:asciiTheme="minorHAnsi" w:hAnsiTheme="minorHAnsi"/>
          <w:iCs/>
          <w:color w:val="000000"/>
          <w:sz w:val="22"/>
        </w:rPr>
      </w:pPr>
    </w:p>
    <w:p w:rsidR="00196476" w:rsidRDefault="00196476" w:rsidP="00196476">
      <w:pPr>
        <w:pStyle w:val="Nagwek3"/>
      </w:pPr>
      <w:bookmarkStart w:id="8" w:name="_Toc399756297"/>
      <w:r>
        <w:t>Strategia Rozwoju Polski Zachodniej 2020</w:t>
      </w:r>
      <w:bookmarkEnd w:id="8"/>
    </w:p>
    <w:p w:rsidR="00196476" w:rsidRDefault="00196476" w:rsidP="00196476">
      <w:pPr>
        <w:rPr>
          <w:rFonts w:asciiTheme="minorHAnsi" w:hAnsiTheme="minorHAnsi"/>
          <w:sz w:val="22"/>
        </w:rPr>
      </w:pPr>
    </w:p>
    <w:p w:rsidR="00196476" w:rsidRDefault="009D440C" w:rsidP="00843208">
      <w:pPr>
        <w:autoSpaceDE w:val="0"/>
        <w:autoSpaceDN w:val="0"/>
        <w:adjustRightInd w:val="0"/>
        <w:rPr>
          <w:rFonts w:ascii="Calibri" w:hAnsi="Calibri" w:cs="Calibri"/>
          <w:sz w:val="22"/>
        </w:rPr>
      </w:pPr>
      <w:r w:rsidRPr="00843208">
        <w:rPr>
          <w:rFonts w:asciiTheme="minorHAnsi" w:hAnsiTheme="minorHAnsi"/>
          <w:i/>
          <w:sz w:val="22"/>
        </w:rPr>
        <w:t>Strategia Rozwoju Polski Zachodniej</w:t>
      </w:r>
      <w:r>
        <w:rPr>
          <w:rFonts w:asciiTheme="minorHAnsi" w:hAnsiTheme="minorHAnsi"/>
          <w:sz w:val="22"/>
        </w:rPr>
        <w:t xml:space="preserve"> stanowi pośredni szczebel procesu planowania strategicznego, pomiędzy krajowym, a regionalnym szczeblem interwencji. Odpowiada na wyzwania dotyczące obszaru</w:t>
      </w:r>
      <w:r w:rsidR="00121676">
        <w:rPr>
          <w:rFonts w:asciiTheme="minorHAnsi" w:hAnsiTheme="minorHAnsi"/>
          <w:sz w:val="22"/>
        </w:rPr>
        <w:t xml:space="preserve"> o charakterze ponadregionalnym -</w:t>
      </w:r>
      <w:r w:rsidR="00196476">
        <w:rPr>
          <w:rFonts w:asciiTheme="minorHAnsi" w:hAnsiTheme="minorHAnsi"/>
          <w:sz w:val="22"/>
        </w:rPr>
        <w:t xml:space="preserve"> makroregionu Polski Zachodniej</w:t>
      </w:r>
      <w:r>
        <w:rPr>
          <w:rFonts w:asciiTheme="minorHAnsi" w:hAnsiTheme="minorHAnsi"/>
          <w:sz w:val="22"/>
        </w:rPr>
        <w:t xml:space="preserve"> uwarunkowanego geograficznie położeniem w dorzeczu Odry oraz obszar</w:t>
      </w:r>
      <w:r w:rsidR="00121676">
        <w:rPr>
          <w:rFonts w:asciiTheme="minorHAnsi" w:hAnsiTheme="minorHAnsi"/>
          <w:sz w:val="22"/>
        </w:rPr>
        <w:t>ze zachodniego pogranicza kraju. Makroregion Polska Zachodnia utworzony został</w:t>
      </w:r>
      <w:r w:rsidR="00196476">
        <w:rPr>
          <w:rFonts w:asciiTheme="minorHAnsi" w:hAnsiTheme="minorHAnsi"/>
          <w:sz w:val="22"/>
        </w:rPr>
        <w:t xml:space="preserve"> na mocy porozumienia przez pięć województw: </w:t>
      </w:r>
      <w:r w:rsidR="00121676">
        <w:rPr>
          <w:rFonts w:asciiTheme="minorHAnsi" w:hAnsiTheme="minorHAnsi"/>
          <w:sz w:val="22"/>
        </w:rPr>
        <w:t xml:space="preserve">woj. </w:t>
      </w:r>
      <w:r w:rsidR="00196476">
        <w:rPr>
          <w:rFonts w:asciiTheme="minorHAnsi" w:hAnsiTheme="minorHAnsi"/>
          <w:sz w:val="22"/>
        </w:rPr>
        <w:t xml:space="preserve">opolskie, </w:t>
      </w:r>
      <w:r w:rsidR="006475D9">
        <w:rPr>
          <w:rFonts w:asciiTheme="minorHAnsi" w:hAnsiTheme="minorHAnsi"/>
          <w:sz w:val="22"/>
        </w:rPr>
        <w:t>woj. </w:t>
      </w:r>
      <w:r w:rsidR="00196476">
        <w:rPr>
          <w:rFonts w:asciiTheme="minorHAnsi" w:hAnsiTheme="minorHAnsi"/>
          <w:sz w:val="22"/>
        </w:rPr>
        <w:t>dolnośląskie,</w:t>
      </w:r>
      <w:r w:rsidR="00121676">
        <w:rPr>
          <w:rFonts w:asciiTheme="minorHAnsi" w:hAnsiTheme="minorHAnsi"/>
          <w:sz w:val="22"/>
        </w:rPr>
        <w:t xml:space="preserve"> woj.</w:t>
      </w:r>
      <w:r w:rsidR="00196476">
        <w:rPr>
          <w:rFonts w:asciiTheme="minorHAnsi" w:hAnsiTheme="minorHAnsi"/>
          <w:sz w:val="22"/>
        </w:rPr>
        <w:t xml:space="preserve"> lubuskie,</w:t>
      </w:r>
      <w:r w:rsidR="00121676">
        <w:rPr>
          <w:rFonts w:asciiTheme="minorHAnsi" w:hAnsiTheme="minorHAnsi"/>
          <w:sz w:val="22"/>
        </w:rPr>
        <w:t xml:space="preserve"> woj.</w:t>
      </w:r>
      <w:r w:rsidR="00196476">
        <w:rPr>
          <w:rFonts w:asciiTheme="minorHAnsi" w:hAnsiTheme="minorHAnsi"/>
          <w:sz w:val="22"/>
        </w:rPr>
        <w:t xml:space="preserve"> wielkopolskie i </w:t>
      </w:r>
      <w:r w:rsidR="00121676">
        <w:rPr>
          <w:rFonts w:asciiTheme="minorHAnsi" w:hAnsiTheme="minorHAnsi"/>
          <w:sz w:val="22"/>
        </w:rPr>
        <w:t xml:space="preserve">woj. </w:t>
      </w:r>
      <w:r w:rsidR="00196476">
        <w:rPr>
          <w:rFonts w:asciiTheme="minorHAnsi" w:hAnsiTheme="minorHAnsi"/>
          <w:sz w:val="22"/>
        </w:rPr>
        <w:t>zachodniopomorskie</w:t>
      </w:r>
      <w:r w:rsidR="00BA266B">
        <w:rPr>
          <w:rFonts w:asciiTheme="minorHAnsi" w:hAnsiTheme="minorHAnsi"/>
          <w:sz w:val="22"/>
        </w:rPr>
        <w:t>. Głównym kierunkiem rozwoju</w:t>
      </w:r>
      <w:r w:rsidR="00121676">
        <w:rPr>
          <w:rFonts w:asciiTheme="minorHAnsi" w:hAnsiTheme="minorHAnsi"/>
          <w:sz w:val="22"/>
        </w:rPr>
        <w:t xml:space="preserve"> postulowanym w dokumencie </w:t>
      </w:r>
      <w:r w:rsidR="00121676" w:rsidRPr="00121676">
        <w:rPr>
          <w:rFonts w:asciiTheme="minorHAnsi" w:hAnsiTheme="minorHAnsi"/>
          <w:i/>
          <w:sz w:val="22"/>
        </w:rPr>
        <w:t>SRPZ 2020</w:t>
      </w:r>
      <w:r w:rsidR="00BA266B">
        <w:rPr>
          <w:rFonts w:asciiTheme="minorHAnsi" w:hAnsiTheme="minorHAnsi"/>
          <w:sz w:val="22"/>
        </w:rPr>
        <w:t xml:space="preserve"> jest zwiększanie </w:t>
      </w:r>
      <w:r w:rsidR="006475D9">
        <w:rPr>
          <w:rFonts w:asciiTheme="minorHAnsi" w:hAnsiTheme="minorHAnsi"/>
          <w:sz w:val="22"/>
        </w:rPr>
        <w:t>konkurencyjności makroregionu w </w:t>
      </w:r>
      <w:r w:rsidR="00BA266B">
        <w:rPr>
          <w:rFonts w:asciiTheme="minorHAnsi" w:hAnsiTheme="minorHAnsi"/>
          <w:sz w:val="22"/>
        </w:rPr>
        <w:t xml:space="preserve">warunkach europejskich w oparciu o czynniki rozwojowe w postaci </w:t>
      </w:r>
      <w:r w:rsidR="00BA266B">
        <w:rPr>
          <w:rFonts w:ascii="Calibri" w:hAnsi="Calibri" w:cs="Calibri"/>
          <w:sz w:val="22"/>
        </w:rPr>
        <w:t>bardzo korzystnego położenia, pozytywnie wpływającego na atrakcyjność</w:t>
      </w:r>
      <w:r w:rsidR="006475D9">
        <w:rPr>
          <w:rFonts w:ascii="Calibri" w:hAnsi="Calibri" w:cs="Calibri"/>
          <w:sz w:val="22"/>
        </w:rPr>
        <w:t xml:space="preserve"> inwestycyjną oraz posiadanego </w:t>
      </w:r>
      <w:r w:rsidR="00BA266B">
        <w:rPr>
          <w:rFonts w:ascii="Calibri" w:hAnsi="Calibri" w:cs="Calibri"/>
          <w:sz w:val="22"/>
        </w:rPr>
        <w:t>potencjału dla rozwoju gospodarki opartej na wiedzy.</w:t>
      </w:r>
      <w:r w:rsidR="006475D9">
        <w:rPr>
          <w:rFonts w:ascii="Calibri" w:hAnsi="Calibri" w:cs="Calibri"/>
          <w:sz w:val="22"/>
        </w:rPr>
        <w:t xml:space="preserve"> Za kluczowe wyzwania Polski Z</w:t>
      </w:r>
      <w:r w:rsidR="00121676">
        <w:rPr>
          <w:rFonts w:ascii="Calibri" w:hAnsi="Calibri" w:cs="Calibri"/>
          <w:sz w:val="22"/>
        </w:rPr>
        <w:t xml:space="preserve">achodniej </w:t>
      </w:r>
      <w:r w:rsidR="000E2926">
        <w:rPr>
          <w:rFonts w:ascii="Calibri" w:hAnsi="Calibri" w:cs="Calibri"/>
          <w:sz w:val="22"/>
        </w:rPr>
        <w:t>w perspektywie 202</w:t>
      </w:r>
      <w:r w:rsidR="00121676">
        <w:rPr>
          <w:rFonts w:ascii="Calibri" w:hAnsi="Calibri" w:cs="Calibri"/>
          <w:sz w:val="22"/>
        </w:rPr>
        <w:t xml:space="preserve">0 roku </w:t>
      </w:r>
      <w:r w:rsidR="000E2926">
        <w:rPr>
          <w:rFonts w:ascii="Calibri" w:hAnsi="Calibri" w:cs="Calibri"/>
          <w:sz w:val="22"/>
        </w:rPr>
        <w:t xml:space="preserve"> przyjęto:</w:t>
      </w:r>
    </w:p>
    <w:p w:rsidR="000E2926"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intensyfikację</w:t>
      </w:r>
      <w:r w:rsidR="000E2926">
        <w:rPr>
          <w:rFonts w:ascii="Calibri" w:hAnsi="Calibri" w:cs="Calibri"/>
          <w:sz w:val="22"/>
        </w:rPr>
        <w:t xml:space="preserve"> działań w kierunku zwiększenia współpracy międzyregionalnej i trans</w:t>
      </w:r>
      <w:r w:rsidR="00DC0EF7">
        <w:rPr>
          <w:rFonts w:ascii="Calibri" w:hAnsi="Calibri" w:cs="Calibri"/>
          <w:sz w:val="22"/>
        </w:rPr>
        <w:t>granicznej</w:t>
      </w:r>
      <w:r w:rsidR="000E2926">
        <w:rPr>
          <w:rFonts w:ascii="Calibri" w:hAnsi="Calibri" w:cs="Calibri"/>
          <w:sz w:val="22"/>
        </w:rPr>
        <w:t xml:space="preserve">, które posłużą inicjowaniu i skutecznemu wdrażaniu przedsięwzięć </w:t>
      </w:r>
      <w:r>
        <w:rPr>
          <w:rFonts w:ascii="Calibri" w:hAnsi="Calibri" w:cs="Calibri"/>
          <w:sz w:val="22"/>
        </w:rPr>
        <w:t>rozwojowych o znaczeniu ponadregionalnym,</w:t>
      </w:r>
    </w:p>
    <w:p w:rsidR="000E2926"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poprawę dostępności zewnętrznej i spójności wewnętrznej makroregionu,</w:t>
      </w:r>
    </w:p>
    <w:p w:rsidR="00F5322B"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zwiększenie efektywności energetycznej,</w:t>
      </w:r>
    </w:p>
    <w:p w:rsidR="00F5322B"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pełniejsze wykorzystanie posiadanych walorów krajobrazowych i kulturowych,</w:t>
      </w:r>
    </w:p>
    <w:p w:rsidR="00F5322B"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zwiększenie potencjału dla tworzenia i absorpcji innowacji,</w:t>
      </w:r>
    </w:p>
    <w:p w:rsidR="00F5322B" w:rsidRDefault="00F5322B" w:rsidP="00843208">
      <w:pPr>
        <w:pStyle w:val="Akapitzlist"/>
        <w:numPr>
          <w:ilvl w:val="0"/>
          <w:numId w:val="40"/>
        </w:numPr>
        <w:autoSpaceDE w:val="0"/>
        <w:autoSpaceDN w:val="0"/>
        <w:adjustRightInd w:val="0"/>
        <w:rPr>
          <w:rFonts w:ascii="Calibri" w:hAnsi="Calibri" w:cs="Calibri"/>
          <w:sz w:val="22"/>
        </w:rPr>
      </w:pPr>
      <w:r>
        <w:rPr>
          <w:rFonts w:ascii="Calibri" w:hAnsi="Calibri" w:cs="Calibri"/>
          <w:sz w:val="22"/>
        </w:rPr>
        <w:t>wzmacnianie zdolności instytucjonalnej do zarządzania rozwojem na poziomie ponadregionalnym.</w:t>
      </w:r>
    </w:p>
    <w:p w:rsidR="001F61D6" w:rsidRDefault="001F61D6" w:rsidP="00843208">
      <w:pPr>
        <w:pStyle w:val="Akapitzlist"/>
        <w:autoSpaceDE w:val="0"/>
        <w:autoSpaceDN w:val="0"/>
        <w:adjustRightInd w:val="0"/>
        <w:rPr>
          <w:rFonts w:ascii="Calibri" w:hAnsi="Calibri" w:cs="Calibri"/>
          <w:sz w:val="22"/>
        </w:rPr>
      </w:pPr>
    </w:p>
    <w:p w:rsidR="00E82D59" w:rsidRDefault="00F5322B" w:rsidP="00843208">
      <w:pPr>
        <w:autoSpaceDE w:val="0"/>
        <w:autoSpaceDN w:val="0"/>
        <w:adjustRightInd w:val="0"/>
        <w:rPr>
          <w:rFonts w:ascii="Calibri" w:hAnsi="Calibri" w:cs="Calibri"/>
          <w:sz w:val="22"/>
        </w:rPr>
      </w:pPr>
      <w:r>
        <w:rPr>
          <w:rFonts w:ascii="Calibri" w:hAnsi="Calibri" w:cs="Calibri"/>
          <w:sz w:val="22"/>
        </w:rPr>
        <w:t>Wyzwania te w oparciu o wzmocnienie silnych stron i wykorzys</w:t>
      </w:r>
      <w:r w:rsidR="006475D9">
        <w:rPr>
          <w:rFonts w:ascii="Calibri" w:hAnsi="Calibri" w:cs="Calibri"/>
          <w:sz w:val="22"/>
        </w:rPr>
        <w:t>tanie nadarzających się szans w </w:t>
      </w:r>
      <w:r>
        <w:rPr>
          <w:rFonts w:ascii="Calibri" w:hAnsi="Calibri" w:cs="Calibri"/>
          <w:sz w:val="22"/>
        </w:rPr>
        <w:t>otoczeniu mają przyczynić się do osiągnięcia</w:t>
      </w:r>
      <w:r w:rsidR="00E82D59">
        <w:rPr>
          <w:rFonts w:ascii="Calibri" w:hAnsi="Calibri" w:cs="Calibri"/>
          <w:sz w:val="22"/>
        </w:rPr>
        <w:t xml:space="preserve"> postulowanej</w:t>
      </w:r>
      <w:r>
        <w:rPr>
          <w:rFonts w:ascii="Calibri" w:hAnsi="Calibri" w:cs="Calibri"/>
          <w:sz w:val="22"/>
        </w:rPr>
        <w:t xml:space="preserve"> wizji makroregionu, która brzmi następująco: „Polska Zachodnia – region dorzecza Odry… współpracujący, kreatywny, atrakcyjny, mobilizujący, otwarty”.</w:t>
      </w:r>
    </w:p>
    <w:p w:rsidR="00E82D59" w:rsidRDefault="00E82D59" w:rsidP="00843208">
      <w:pPr>
        <w:autoSpaceDE w:val="0"/>
        <w:autoSpaceDN w:val="0"/>
        <w:adjustRightInd w:val="0"/>
        <w:rPr>
          <w:rFonts w:ascii="Calibri" w:hAnsi="Calibri" w:cs="Calibri"/>
          <w:sz w:val="22"/>
        </w:rPr>
      </w:pPr>
    </w:p>
    <w:p w:rsidR="00F5322B" w:rsidRDefault="00F5322B" w:rsidP="00843208">
      <w:pPr>
        <w:autoSpaceDE w:val="0"/>
        <w:autoSpaceDN w:val="0"/>
        <w:adjustRightInd w:val="0"/>
        <w:rPr>
          <w:rFonts w:ascii="Calibri" w:hAnsi="Calibri" w:cs="Calibri"/>
          <w:sz w:val="22"/>
        </w:rPr>
      </w:pPr>
      <w:r>
        <w:rPr>
          <w:rFonts w:ascii="Calibri" w:hAnsi="Calibri" w:cs="Calibri"/>
          <w:sz w:val="22"/>
        </w:rPr>
        <w:t xml:space="preserve"> Z tak określonej wizji wynika bezpośrednio cel główny </w:t>
      </w:r>
      <w:r w:rsidRPr="00F5322B">
        <w:rPr>
          <w:rFonts w:ascii="Calibri" w:hAnsi="Calibri" w:cs="Calibri"/>
          <w:i/>
          <w:sz w:val="22"/>
        </w:rPr>
        <w:t>Strategii Rozwoju Polski Zachodniej</w:t>
      </w:r>
      <w:r>
        <w:rPr>
          <w:rFonts w:ascii="Calibri" w:hAnsi="Calibri" w:cs="Calibri"/>
          <w:sz w:val="22"/>
        </w:rPr>
        <w:t xml:space="preserve"> </w:t>
      </w:r>
      <w:r w:rsidR="00E82D59">
        <w:rPr>
          <w:rFonts w:ascii="Calibri" w:hAnsi="Calibri" w:cs="Calibri"/>
          <w:i/>
          <w:sz w:val="22"/>
        </w:rPr>
        <w:t>2020, tj.</w:t>
      </w:r>
      <w:r>
        <w:rPr>
          <w:rFonts w:ascii="Calibri" w:hAnsi="Calibri" w:cs="Calibri"/>
          <w:i/>
          <w:sz w:val="22"/>
        </w:rPr>
        <w:t xml:space="preserve"> </w:t>
      </w:r>
      <w:r w:rsidRPr="00F5322B">
        <w:rPr>
          <w:rFonts w:ascii="Calibri" w:hAnsi="Calibri" w:cs="Calibri"/>
          <w:sz w:val="22"/>
        </w:rPr>
        <w:t>„wzrost konkurencyjności Polski Zachodniej poprzez efektywne wykorzystanie potencjałów makroregionu</w:t>
      </w:r>
      <w:r>
        <w:rPr>
          <w:rFonts w:ascii="Calibri" w:hAnsi="Calibri" w:cs="Calibri"/>
          <w:sz w:val="22"/>
        </w:rPr>
        <w:t xml:space="preserve">” </w:t>
      </w:r>
      <w:r w:rsidR="00121676">
        <w:rPr>
          <w:rFonts w:ascii="Calibri" w:hAnsi="Calibri" w:cs="Calibri"/>
          <w:sz w:val="22"/>
        </w:rPr>
        <w:t>oraz trzy cele szczegółowe:</w:t>
      </w:r>
    </w:p>
    <w:p w:rsidR="00121676" w:rsidRDefault="00121676" w:rsidP="00843208">
      <w:pPr>
        <w:pStyle w:val="Akapitzlist"/>
        <w:numPr>
          <w:ilvl w:val="0"/>
          <w:numId w:val="41"/>
        </w:numPr>
        <w:autoSpaceDE w:val="0"/>
        <w:autoSpaceDN w:val="0"/>
        <w:adjustRightInd w:val="0"/>
        <w:rPr>
          <w:rFonts w:ascii="Calibri" w:hAnsi="Calibri" w:cs="Calibri"/>
          <w:sz w:val="22"/>
        </w:rPr>
      </w:pPr>
      <w:r>
        <w:rPr>
          <w:rFonts w:ascii="Calibri" w:hAnsi="Calibri" w:cs="Calibri"/>
          <w:sz w:val="22"/>
        </w:rPr>
        <w:t>integracja przestrzenna i funkcjonalna makroregionu,</w:t>
      </w:r>
    </w:p>
    <w:p w:rsidR="00121676" w:rsidRDefault="00121676" w:rsidP="00843208">
      <w:pPr>
        <w:pStyle w:val="Akapitzlist"/>
        <w:numPr>
          <w:ilvl w:val="0"/>
          <w:numId w:val="41"/>
        </w:numPr>
        <w:autoSpaceDE w:val="0"/>
        <w:autoSpaceDN w:val="0"/>
        <w:adjustRightInd w:val="0"/>
        <w:rPr>
          <w:rFonts w:ascii="Calibri" w:hAnsi="Calibri" w:cs="Calibri"/>
          <w:sz w:val="22"/>
        </w:rPr>
      </w:pPr>
      <w:r>
        <w:rPr>
          <w:rFonts w:ascii="Calibri" w:hAnsi="Calibri" w:cs="Calibri"/>
          <w:sz w:val="22"/>
        </w:rPr>
        <w:t>budowa oferty gospodarczej makroregionu,</w:t>
      </w:r>
    </w:p>
    <w:p w:rsidR="00121676" w:rsidRPr="00121676" w:rsidRDefault="00121676" w:rsidP="00843208">
      <w:pPr>
        <w:pStyle w:val="Akapitzlist"/>
        <w:numPr>
          <w:ilvl w:val="0"/>
          <w:numId w:val="41"/>
        </w:numPr>
        <w:autoSpaceDE w:val="0"/>
        <w:autoSpaceDN w:val="0"/>
        <w:adjustRightInd w:val="0"/>
        <w:rPr>
          <w:rFonts w:ascii="Calibri" w:hAnsi="Calibri" w:cs="Calibri"/>
          <w:sz w:val="22"/>
        </w:rPr>
      </w:pPr>
      <w:r>
        <w:rPr>
          <w:rFonts w:ascii="Calibri" w:hAnsi="Calibri" w:cs="Calibri"/>
          <w:sz w:val="22"/>
        </w:rPr>
        <w:t>wzmacnianie potencjału naukowo-badawczego makroregionu.</w:t>
      </w:r>
    </w:p>
    <w:p w:rsidR="00A370FF" w:rsidRPr="00EC5484" w:rsidRDefault="00A370FF" w:rsidP="00EC5484">
      <w:pPr>
        <w:pStyle w:val="Nagwek3"/>
      </w:pPr>
      <w:bookmarkStart w:id="9" w:name="_Toc399756298"/>
      <w:r w:rsidRPr="00EC5484">
        <w:t>Koncepcja Przestrzennego Zagospodarowania Kraju 2030</w:t>
      </w:r>
      <w:bookmarkEnd w:id="9"/>
    </w:p>
    <w:p w:rsidR="00A370FF" w:rsidRPr="00563EF2" w:rsidRDefault="00A370FF" w:rsidP="00FD7676">
      <w:pPr>
        <w:autoSpaceDE w:val="0"/>
        <w:autoSpaceDN w:val="0"/>
        <w:adjustRightInd w:val="0"/>
        <w:rPr>
          <w:rFonts w:asciiTheme="minorHAnsi" w:hAnsiTheme="minorHAnsi"/>
          <w:iCs/>
          <w:color w:val="000000"/>
          <w:sz w:val="22"/>
        </w:rPr>
      </w:pPr>
    </w:p>
    <w:p w:rsidR="00A370FF" w:rsidRPr="00563EF2" w:rsidRDefault="00A370FF" w:rsidP="00FD7676">
      <w:pPr>
        <w:rPr>
          <w:rFonts w:asciiTheme="minorHAnsi" w:hAnsiTheme="minorHAnsi" w:cs="Arial"/>
          <w:sz w:val="22"/>
        </w:rPr>
      </w:pPr>
      <w:r w:rsidRPr="00563EF2">
        <w:rPr>
          <w:rFonts w:asciiTheme="minorHAnsi" w:hAnsiTheme="minorHAnsi" w:cs="Arial"/>
          <w:sz w:val="22"/>
        </w:rPr>
        <w:t xml:space="preserve">W </w:t>
      </w:r>
      <w:r w:rsidRPr="00563EF2">
        <w:rPr>
          <w:rFonts w:asciiTheme="minorHAnsi" w:hAnsiTheme="minorHAnsi" w:cs="Arial"/>
          <w:i/>
          <w:sz w:val="22"/>
        </w:rPr>
        <w:t>Koncepcji Przestrzennego Zagospodarowania Kraju</w:t>
      </w:r>
      <w:r w:rsidRPr="00563EF2">
        <w:rPr>
          <w:rFonts w:asciiTheme="minorHAnsi" w:hAnsiTheme="minorHAnsi" w:cs="Arial"/>
          <w:sz w:val="22"/>
        </w:rPr>
        <w:t xml:space="preserve"> 2030 Legnic</w:t>
      </w:r>
      <w:r w:rsidR="006475D9">
        <w:rPr>
          <w:rFonts w:asciiTheme="minorHAnsi" w:hAnsiTheme="minorHAnsi" w:cs="Arial"/>
          <w:sz w:val="22"/>
        </w:rPr>
        <w:t>a została wskazana jako jeden z </w:t>
      </w:r>
      <w:r w:rsidRPr="00563EF2">
        <w:rPr>
          <w:rFonts w:asciiTheme="minorHAnsi" w:hAnsiTheme="minorHAnsi" w:cs="Arial"/>
          <w:sz w:val="22"/>
        </w:rPr>
        <w:t xml:space="preserve">ośrodków regionalnych wg typologii miejskich obszarów funkcjonalnych. Obszary funkcjonalne  ośrodków regionalnych tworzone są wokół ośrodków liczących między 100, a 300 tysiącami mieszkańców, niepełniących funkcji ośrodków wojewódzkich, ale mających duży potencjał i duże znaczenie dla rozwoju kraju z punktu widzenia celów polityki przestrzennego zagospodarowania kraju. Są to miasta pełniące ważne role administracyjne, społeczne i gospodarcze, koncentrujące niektóre funkcje metropolitalne, ale o skali oddziaływania znacznie mniejszej (przeważnie regionalnej) niż ośrodki metropolitalne czy wojewódzkie. </w:t>
      </w:r>
    </w:p>
    <w:p w:rsidR="00A370FF" w:rsidRPr="00563EF2" w:rsidRDefault="00A370FF" w:rsidP="00FD7676">
      <w:pPr>
        <w:rPr>
          <w:rFonts w:asciiTheme="minorHAnsi" w:hAnsiTheme="minorHAnsi" w:cs="Arial"/>
          <w:sz w:val="22"/>
        </w:rPr>
      </w:pPr>
    </w:p>
    <w:p w:rsidR="00A370FF" w:rsidRPr="00563EF2" w:rsidRDefault="00A370FF" w:rsidP="00FD7676">
      <w:pPr>
        <w:rPr>
          <w:rFonts w:asciiTheme="minorHAnsi" w:hAnsiTheme="minorHAnsi" w:cs="Arial"/>
          <w:sz w:val="22"/>
        </w:rPr>
      </w:pPr>
      <w:r w:rsidRPr="00563EF2">
        <w:rPr>
          <w:rFonts w:asciiTheme="minorHAnsi" w:hAnsiTheme="minorHAnsi" w:cs="Arial"/>
          <w:sz w:val="22"/>
        </w:rPr>
        <w:t>Ośrodki regionalne współtworzą podstawową sieć osadniczą skoncentrowaną wokół policentrycznie rozmieszczonych ośrodków metropolitalnych i wojewódzkich, równoważąc w ten sposób równomierny rozwój kraju. Nadaje to Legnicy wyjątkowy charakter miasta nadrzędnego, wyznaczającego kierunki rozwoju i odpowiedzialnego za prawidłowe funkcjonowanie, nie tylko sąsiednich gmin, ale całego regionu.</w:t>
      </w:r>
    </w:p>
    <w:p w:rsidR="00A370FF" w:rsidRDefault="00A370FF" w:rsidP="00FD7676">
      <w:pPr>
        <w:rPr>
          <w:rFonts w:asciiTheme="minorHAnsi" w:hAnsiTheme="minorHAnsi"/>
          <w:sz w:val="22"/>
        </w:rPr>
      </w:pPr>
    </w:p>
    <w:p w:rsidR="00A370FF" w:rsidRPr="00EC5484" w:rsidRDefault="00A370FF" w:rsidP="00EC5484">
      <w:pPr>
        <w:pStyle w:val="Nagwek3"/>
      </w:pPr>
      <w:bookmarkStart w:id="10" w:name="_Toc399756299"/>
      <w:r w:rsidRPr="00EC5484">
        <w:t>Strategia Województwa Dolnośląskiego 2020</w:t>
      </w:r>
      <w:bookmarkEnd w:id="10"/>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i/>
          <w:sz w:val="22"/>
        </w:rPr>
        <w:t>Strategia</w:t>
      </w:r>
      <w:r w:rsidRPr="00563EF2">
        <w:rPr>
          <w:rFonts w:asciiTheme="minorHAnsi" w:hAnsiTheme="minorHAnsi"/>
          <w:sz w:val="22"/>
        </w:rPr>
        <w:t xml:space="preserve"> jest narzędziem stymulowania i projektowania rozwoju województwa, które kierunkuje działania władz oraz wskazuje obszary wymagające regulacji i finansowania. Jej celem jest określenie specyfiki każdej części regionu dolnośląskiego i próba wskazania indywidualnego rozwiązania dla każdego miejsca, odpowiedniego do jego charakterystyki, wyzwań i potrzeb. Przesłanie to widoczne jest w zapisach jej wizji oraz celu głównego oraz celów strategicznych.</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Wizja Województwa Dolnośląskiego określona w jego </w:t>
      </w:r>
      <w:r w:rsidRPr="00563EF2">
        <w:rPr>
          <w:rFonts w:asciiTheme="minorHAnsi" w:hAnsiTheme="minorHAnsi"/>
          <w:i/>
          <w:sz w:val="22"/>
        </w:rPr>
        <w:t xml:space="preserve">Strategii </w:t>
      </w:r>
      <w:r w:rsidRPr="00563EF2">
        <w:rPr>
          <w:rFonts w:asciiTheme="minorHAnsi" w:hAnsiTheme="minorHAnsi"/>
          <w:sz w:val="22"/>
        </w:rPr>
        <w:t>brzmi: „Blisko sieb</w:t>
      </w:r>
      <w:r w:rsidR="00DC0EF7">
        <w:rPr>
          <w:rFonts w:asciiTheme="minorHAnsi" w:hAnsiTheme="minorHAnsi"/>
          <w:sz w:val="22"/>
        </w:rPr>
        <w:t>ie – Blisko Europy: Dolny Śląsk</w:t>
      </w:r>
      <w:r w:rsidRPr="00563EF2">
        <w:rPr>
          <w:rFonts w:asciiTheme="minorHAnsi" w:hAnsiTheme="minorHAnsi"/>
          <w:sz w:val="22"/>
        </w:rPr>
        <w:t xml:space="preserve"> 2020 jako zintegrowana wspólnota regionalna, region konkurencyjny, spójny, otwarty, dynamiczny…”, a jej celem głównym jest: „Nowoczesna gos</w:t>
      </w:r>
      <w:r w:rsidR="006475D9">
        <w:rPr>
          <w:rFonts w:asciiTheme="minorHAnsi" w:hAnsiTheme="minorHAnsi"/>
          <w:sz w:val="22"/>
        </w:rPr>
        <w:t>podarka i wysoka jakość życia w </w:t>
      </w:r>
      <w:r w:rsidRPr="00563EF2">
        <w:rPr>
          <w:rFonts w:asciiTheme="minorHAnsi" w:hAnsiTheme="minorHAnsi"/>
          <w:sz w:val="22"/>
        </w:rPr>
        <w:t xml:space="preserve">atrakcyjnym środowisku: Dolny Śląsk regionem koncentracji innowacyjnych podmiotów produkcyjnych i usługowych współpracujących z rozwiniętym sektorem badawczym oraz intensywnego rozwoju nowoczesnej turystyki opartej o współpracę międzyregionalną i transgraniczną, tworzących razem atrakcyjne miejsce do życia dla mieszkańców o </w:t>
      </w:r>
      <w:r w:rsidR="006475D9">
        <w:rPr>
          <w:rFonts w:asciiTheme="minorHAnsi" w:hAnsiTheme="minorHAnsi"/>
          <w:sz w:val="22"/>
        </w:rPr>
        <w:t>coraz wyższych kwalifikacjach i </w:t>
      </w:r>
      <w:r w:rsidRPr="00563EF2">
        <w:rPr>
          <w:rFonts w:asciiTheme="minorHAnsi" w:hAnsiTheme="minorHAnsi"/>
          <w:sz w:val="22"/>
        </w:rPr>
        <w:t xml:space="preserve">rozwiniętej kulturze obywatelskiej”. </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Realizacja celu głównego ma być zapewniona dzięki osiągnięciu ośmiu celów szczegółowych, tj.:</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1 – Rozwój gospodarki opartej na wiedzy;</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2 – Zrównoważony transport i poprawa dostępności transportowej;</w:t>
      </w:r>
    </w:p>
    <w:p w:rsidR="00DC0EF7" w:rsidRDefault="00A370FF" w:rsidP="00DC0EF7">
      <w:pPr>
        <w:pStyle w:val="Akapitzlist"/>
        <w:numPr>
          <w:ilvl w:val="0"/>
          <w:numId w:val="28"/>
        </w:numPr>
        <w:rPr>
          <w:rFonts w:asciiTheme="minorHAnsi" w:hAnsiTheme="minorHAnsi"/>
          <w:sz w:val="22"/>
        </w:rPr>
      </w:pPr>
      <w:r w:rsidRPr="00563EF2">
        <w:rPr>
          <w:rFonts w:asciiTheme="minorHAnsi" w:hAnsiTheme="minorHAnsi"/>
          <w:sz w:val="22"/>
        </w:rPr>
        <w:t>Celu 3 – Wzrost konkurencyjności przedsiębiorstw, zwłaszcza MŚP;</w:t>
      </w:r>
    </w:p>
    <w:p w:rsidR="00A370FF" w:rsidRPr="00DC0EF7" w:rsidRDefault="00DC0EF7" w:rsidP="00DC0EF7">
      <w:pPr>
        <w:pStyle w:val="Akapitzlist"/>
        <w:numPr>
          <w:ilvl w:val="0"/>
          <w:numId w:val="28"/>
        </w:numPr>
        <w:rPr>
          <w:rFonts w:asciiTheme="minorHAnsi" w:hAnsiTheme="minorHAnsi"/>
          <w:sz w:val="22"/>
        </w:rPr>
      </w:pPr>
      <w:r w:rsidRPr="00DC0EF7">
        <w:rPr>
          <w:rFonts w:asciiTheme="minorHAnsi" w:hAnsiTheme="minorHAnsi"/>
          <w:sz w:val="22"/>
        </w:rPr>
        <w:t>Celu</w:t>
      </w:r>
      <w:r>
        <w:rPr>
          <w:rFonts w:asciiTheme="minorHAnsi" w:hAnsiTheme="minorHAnsi"/>
          <w:sz w:val="22"/>
        </w:rPr>
        <w:t xml:space="preserve"> 4 </w:t>
      </w:r>
      <w:r w:rsidR="00A370FF" w:rsidRPr="00DC0EF7">
        <w:rPr>
          <w:rFonts w:asciiTheme="minorHAnsi" w:hAnsiTheme="minorHAnsi"/>
          <w:sz w:val="22"/>
        </w:rPr>
        <w:t>– Ochrona środowiska naturalnego, efekt</w:t>
      </w:r>
      <w:r>
        <w:rPr>
          <w:rFonts w:asciiTheme="minorHAnsi" w:hAnsiTheme="minorHAnsi"/>
          <w:sz w:val="22"/>
        </w:rPr>
        <w:t xml:space="preserve">ywne wykorzystanie zasobów oraz </w:t>
      </w:r>
      <w:r w:rsidR="00A370FF" w:rsidRPr="00DC0EF7">
        <w:rPr>
          <w:rFonts w:asciiTheme="minorHAnsi" w:hAnsiTheme="minorHAnsi"/>
          <w:sz w:val="22"/>
        </w:rPr>
        <w:t>dostosowanie do zmian klimatu i poprawa poziomu bezpieczeństwa;</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5 – Zwiększenie dostępności technologii komunikacyjno-infromacyjnych;</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6 – Wzrost zatrudnienia i mobilności pracowników;</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7 – Włączenie społeczne, podnoszenie poziomu i jakości życia;</w:t>
      </w:r>
    </w:p>
    <w:p w:rsidR="00A370FF" w:rsidRPr="00563EF2" w:rsidRDefault="00A370FF" w:rsidP="00BC166D">
      <w:pPr>
        <w:pStyle w:val="Akapitzlist"/>
        <w:numPr>
          <w:ilvl w:val="0"/>
          <w:numId w:val="28"/>
        </w:numPr>
        <w:rPr>
          <w:rFonts w:asciiTheme="minorHAnsi" w:hAnsiTheme="minorHAnsi"/>
          <w:sz w:val="22"/>
        </w:rPr>
      </w:pPr>
      <w:r w:rsidRPr="00563EF2">
        <w:rPr>
          <w:rFonts w:asciiTheme="minorHAnsi" w:hAnsiTheme="minorHAnsi"/>
          <w:sz w:val="22"/>
        </w:rPr>
        <w:t>Celu 8 – Podniesienie poziomu edukacji, kształcenie ustawiczne.</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Realizacja celów </w:t>
      </w:r>
      <w:r w:rsidRPr="00563EF2">
        <w:rPr>
          <w:rFonts w:asciiTheme="minorHAnsi" w:hAnsiTheme="minorHAnsi"/>
          <w:i/>
          <w:sz w:val="22"/>
        </w:rPr>
        <w:t>SRWD</w:t>
      </w:r>
      <w:r w:rsidRPr="00563EF2">
        <w:rPr>
          <w:rFonts w:asciiTheme="minorHAnsi" w:hAnsiTheme="minorHAnsi"/>
          <w:sz w:val="22"/>
        </w:rPr>
        <w:t xml:space="preserve"> przy jednoczesnym zachowaniu zrównoważonego terytorialnego wymiaru rozwoju województwa oraz spójności z nadrzędnymi dokumentami planistyczno-strategicznymi na szczeblu centralnym i regionalnym zapewniona została dzięki określeniu w ramach </w:t>
      </w:r>
      <w:r w:rsidRPr="00563EF2">
        <w:rPr>
          <w:rFonts w:asciiTheme="minorHAnsi" w:hAnsiTheme="minorHAnsi"/>
          <w:i/>
          <w:sz w:val="22"/>
        </w:rPr>
        <w:t xml:space="preserve">Strategii </w:t>
      </w:r>
      <w:r w:rsidRPr="00563EF2">
        <w:rPr>
          <w:rFonts w:asciiTheme="minorHAnsi" w:hAnsiTheme="minorHAnsi"/>
          <w:sz w:val="22"/>
        </w:rPr>
        <w:t>dwóch typów obszarów problemowych: Obszarów Integracji oraz Obszarów Interwencji</w:t>
      </w:r>
      <w:r w:rsidR="00DC0EF7">
        <w:rPr>
          <w:rFonts w:asciiTheme="minorHAnsi" w:hAnsiTheme="minorHAnsi"/>
          <w:sz w:val="22"/>
        </w:rPr>
        <w:t>.</w:t>
      </w:r>
    </w:p>
    <w:p w:rsidR="00A370FF" w:rsidRPr="00563EF2" w:rsidRDefault="00A370FF" w:rsidP="00FD7676">
      <w:pPr>
        <w:rPr>
          <w:rFonts w:asciiTheme="minorHAnsi" w:hAnsiTheme="minorHAnsi"/>
          <w:sz w:val="22"/>
        </w:rPr>
      </w:pPr>
    </w:p>
    <w:p w:rsidR="00A370FF" w:rsidRPr="00563EF2" w:rsidRDefault="002E2D3F" w:rsidP="00FD7676">
      <w:pPr>
        <w:rPr>
          <w:rFonts w:asciiTheme="minorHAnsi" w:hAnsiTheme="minorHAnsi"/>
          <w:b/>
          <w:sz w:val="22"/>
        </w:rPr>
      </w:pPr>
      <w:r>
        <w:rPr>
          <w:rFonts w:asciiTheme="minorHAnsi" w:hAnsiTheme="minorHAnsi"/>
          <w:sz w:val="22"/>
        </w:rPr>
        <w:br w:type="page"/>
      </w:r>
      <w:r w:rsidR="00A370FF" w:rsidRPr="00563EF2">
        <w:rPr>
          <w:rFonts w:asciiTheme="minorHAnsi" w:hAnsiTheme="minorHAnsi"/>
          <w:sz w:val="22"/>
        </w:rPr>
        <w:t>Dokument</w:t>
      </w:r>
      <w:r w:rsidR="00A370FF" w:rsidRPr="00563EF2">
        <w:rPr>
          <w:rFonts w:asciiTheme="minorHAnsi" w:hAnsiTheme="minorHAnsi"/>
          <w:b/>
          <w:sz w:val="22"/>
        </w:rPr>
        <w:t xml:space="preserve"> </w:t>
      </w:r>
      <w:r w:rsidR="00A370FF" w:rsidRPr="00563EF2">
        <w:rPr>
          <w:rFonts w:asciiTheme="minorHAnsi" w:hAnsiTheme="minorHAnsi"/>
          <w:i/>
          <w:sz w:val="22"/>
        </w:rPr>
        <w:t>Strategii Województwa Dolnośląskiego 2020</w:t>
      </w:r>
      <w:r w:rsidR="00A370FF" w:rsidRPr="00563EF2">
        <w:rPr>
          <w:rFonts w:asciiTheme="minorHAnsi" w:hAnsiTheme="minorHAnsi"/>
          <w:sz w:val="22"/>
        </w:rPr>
        <w:t xml:space="preserve"> umiejscawia Legnicę w jednym z czterech Obszarów Integracji. Obszary Integracji są to </w:t>
      </w:r>
      <w:r w:rsidR="00A370FF" w:rsidRPr="00563EF2">
        <w:rPr>
          <w:rFonts w:asciiTheme="minorHAnsi" w:hAnsiTheme="minorHAnsi"/>
          <w:bCs/>
          <w:sz w:val="22"/>
        </w:rPr>
        <w:t>podstawowe obszary województwa, charakteryzujące się</w:t>
      </w:r>
      <w:r w:rsidR="00A370FF" w:rsidRPr="00563EF2">
        <w:rPr>
          <w:rFonts w:asciiTheme="minorHAnsi" w:hAnsiTheme="minorHAnsi"/>
          <w:b/>
          <w:bCs/>
          <w:sz w:val="22"/>
        </w:rPr>
        <w:t xml:space="preserve"> </w:t>
      </w:r>
      <w:r w:rsidR="00A370FF" w:rsidRPr="00563EF2">
        <w:rPr>
          <w:rFonts w:asciiTheme="minorHAnsi" w:hAnsiTheme="minorHAnsi"/>
          <w:sz w:val="22"/>
        </w:rPr>
        <w:t xml:space="preserve">zróżnicowanymi uwarunkowaniami rozwoju, wynikającymi z warunków geograficznych, sytuacji społeczno-gospodarczej i zaszłości historycznej. Na ich terenie realizowane są wszystkie cele </w:t>
      </w:r>
      <w:r w:rsidR="00A370FF" w:rsidRPr="00843208">
        <w:rPr>
          <w:rFonts w:asciiTheme="minorHAnsi" w:hAnsiTheme="minorHAnsi"/>
          <w:i/>
          <w:sz w:val="22"/>
        </w:rPr>
        <w:t>Strategii</w:t>
      </w:r>
      <w:r w:rsidR="00A370FF" w:rsidRPr="00563EF2">
        <w:rPr>
          <w:rFonts w:asciiTheme="minorHAnsi" w:hAnsiTheme="minorHAnsi"/>
          <w:sz w:val="22"/>
        </w:rPr>
        <w:t>, a samorząd województwa pełni w nich rolę koordynatora w zakre</w:t>
      </w:r>
      <w:r w:rsidR="006475D9">
        <w:rPr>
          <w:rFonts w:asciiTheme="minorHAnsi" w:hAnsiTheme="minorHAnsi"/>
          <w:sz w:val="22"/>
        </w:rPr>
        <w:t>sie planowania strategicznego i </w:t>
      </w:r>
      <w:r w:rsidR="00A370FF" w:rsidRPr="00563EF2">
        <w:rPr>
          <w:rFonts w:asciiTheme="minorHAnsi" w:hAnsiTheme="minorHAnsi"/>
          <w:sz w:val="22"/>
        </w:rPr>
        <w:t>przestrzennego</w:t>
      </w:r>
      <w:r w:rsidR="00A370FF" w:rsidRPr="00563EF2">
        <w:rPr>
          <w:rFonts w:asciiTheme="minorHAnsi" w:hAnsiTheme="minorHAnsi"/>
          <w:b/>
          <w:sz w:val="22"/>
        </w:rPr>
        <w:t>.</w:t>
      </w:r>
    </w:p>
    <w:p w:rsidR="00A370FF" w:rsidRPr="00563EF2" w:rsidRDefault="00A370FF" w:rsidP="00FD7676">
      <w:pPr>
        <w:rPr>
          <w:rFonts w:asciiTheme="minorHAnsi" w:hAnsiTheme="minorHAnsi"/>
          <w:b/>
          <w:sz w:val="22"/>
        </w:rPr>
      </w:pPr>
    </w:p>
    <w:p w:rsidR="00A370FF" w:rsidRPr="00563EF2" w:rsidRDefault="00A370FF" w:rsidP="00FD7676">
      <w:pPr>
        <w:pStyle w:val="Default"/>
        <w:spacing w:line="276" w:lineRule="auto"/>
        <w:jc w:val="both"/>
        <w:rPr>
          <w:rFonts w:asciiTheme="minorHAnsi" w:hAnsiTheme="minorHAnsi"/>
          <w:sz w:val="22"/>
          <w:szCs w:val="22"/>
        </w:rPr>
      </w:pPr>
      <w:r w:rsidRPr="00563EF2">
        <w:rPr>
          <w:rFonts w:asciiTheme="minorHAnsi" w:hAnsiTheme="minorHAnsi"/>
          <w:sz w:val="22"/>
          <w:szCs w:val="22"/>
        </w:rPr>
        <w:t>Legnicko-Głogowski Obszar Integracji obejmuje obszar zagłębia miedziowego oraz jego zaplecza, którego rozwój jest silnie związany z przemysłem górniczym. Nadrzędnym celem dla tego Obszaru Integracji jest zapewnienie odpowiednich warunków dla rozwoju wydobycia i przetwórstwa miedzi, przy jednoczesnym zwiększeniu dywersyfikacji działalności gospodarczej, a więc i niezależności gospodarczej od przemysłu górniczo-hutniczego  na wypadek wystąp</w:t>
      </w:r>
      <w:r w:rsidR="00A8787F">
        <w:rPr>
          <w:rFonts w:asciiTheme="minorHAnsi" w:hAnsiTheme="minorHAnsi"/>
          <w:sz w:val="22"/>
          <w:szCs w:val="22"/>
        </w:rPr>
        <w:t>ienia możliwego spadku popytu i </w:t>
      </w:r>
      <w:r w:rsidRPr="00563EF2">
        <w:rPr>
          <w:rFonts w:asciiTheme="minorHAnsi" w:hAnsiTheme="minorHAnsi"/>
          <w:sz w:val="22"/>
          <w:szCs w:val="22"/>
        </w:rPr>
        <w:t xml:space="preserve">cen miedzi na rynkach światowych. </w:t>
      </w:r>
    </w:p>
    <w:p w:rsidR="00A370FF" w:rsidRPr="00563EF2" w:rsidRDefault="00A370FF" w:rsidP="00FD7676">
      <w:pPr>
        <w:pStyle w:val="Default"/>
        <w:spacing w:line="276" w:lineRule="auto"/>
        <w:jc w:val="both"/>
        <w:rPr>
          <w:rFonts w:asciiTheme="minorHAnsi" w:hAnsiTheme="minorHAnsi"/>
          <w:sz w:val="22"/>
          <w:szCs w:val="22"/>
        </w:rPr>
      </w:pPr>
    </w:p>
    <w:p w:rsidR="00A370FF" w:rsidRPr="00563EF2" w:rsidRDefault="00A370FF" w:rsidP="00FD7676">
      <w:pPr>
        <w:pStyle w:val="Default"/>
        <w:spacing w:line="276" w:lineRule="auto"/>
        <w:jc w:val="both"/>
        <w:rPr>
          <w:rFonts w:asciiTheme="minorHAnsi" w:hAnsiTheme="minorHAnsi"/>
          <w:sz w:val="22"/>
          <w:szCs w:val="22"/>
        </w:rPr>
      </w:pPr>
      <w:r w:rsidRPr="00563EF2">
        <w:rPr>
          <w:rFonts w:asciiTheme="minorHAnsi" w:hAnsiTheme="minorHAnsi"/>
          <w:sz w:val="22"/>
          <w:szCs w:val="22"/>
        </w:rPr>
        <w:t>Legnica i powiat legnicki zostały również ujęte w trzech spośród dw</w:t>
      </w:r>
      <w:r w:rsidR="00A8787F">
        <w:rPr>
          <w:rFonts w:asciiTheme="minorHAnsi" w:hAnsiTheme="minorHAnsi"/>
          <w:sz w:val="22"/>
          <w:szCs w:val="22"/>
        </w:rPr>
        <w:t>unastu Obszarów Interwencji. Są </w:t>
      </w:r>
      <w:r w:rsidRPr="00563EF2">
        <w:rPr>
          <w:rFonts w:asciiTheme="minorHAnsi" w:hAnsiTheme="minorHAnsi"/>
          <w:sz w:val="22"/>
          <w:szCs w:val="22"/>
        </w:rPr>
        <w:t xml:space="preserve">to strefy występowania szczególnych zjawisk lub specyficznych procesów, związanych </w:t>
      </w:r>
      <w:r w:rsidR="00A8787F">
        <w:rPr>
          <w:rFonts w:asciiTheme="minorHAnsi" w:hAnsiTheme="minorHAnsi"/>
          <w:sz w:val="22"/>
          <w:szCs w:val="22"/>
        </w:rPr>
        <w:t>często także z </w:t>
      </w:r>
      <w:r w:rsidRPr="00563EF2">
        <w:rPr>
          <w:rFonts w:asciiTheme="minorHAnsi" w:hAnsiTheme="minorHAnsi"/>
          <w:sz w:val="22"/>
          <w:szCs w:val="22"/>
        </w:rPr>
        <w:t xml:space="preserve">konfliktami przestrzennymi. Wobec obszarów tych samorząd województwa ma możliwość podejmowania działań interwencyjnych, mających na celu rozwiązywanie sytuacji konfliktowej, pobudzenie rozwoju oraz pomoc w sferach jednoznacznie wymagających pomocy publicznej. </w:t>
      </w:r>
    </w:p>
    <w:p w:rsidR="00A370FF" w:rsidRPr="00563EF2" w:rsidRDefault="00A370FF" w:rsidP="00FD7676">
      <w:pPr>
        <w:pStyle w:val="Default"/>
        <w:spacing w:line="276" w:lineRule="auto"/>
        <w:jc w:val="both"/>
        <w:rPr>
          <w:rFonts w:asciiTheme="minorHAnsi" w:hAnsiTheme="minorHAnsi"/>
          <w:sz w:val="22"/>
          <w:szCs w:val="22"/>
        </w:rPr>
      </w:pPr>
    </w:p>
    <w:p w:rsidR="00A370FF" w:rsidRPr="00563EF2" w:rsidRDefault="00A370FF" w:rsidP="00FD7676">
      <w:pPr>
        <w:pStyle w:val="Default"/>
        <w:spacing w:line="276" w:lineRule="auto"/>
        <w:jc w:val="both"/>
        <w:rPr>
          <w:rFonts w:asciiTheme="minorHAnsi" w:hAnsiTheme="minorHAnsi"/>
          <w:sz w:val="22"/>
          <w:szCs w:val="22"/>
        </w:rPr>
      </w:pPr>
      <w:r w:rsidRPr="00563EF2">
        <w:rPr>
          <w:rFonts w:asciiTheme="minorHAnsi" w:hAnsiTheme="minorHAnsi"/>
          <w:sz w:val="22"/>
          <w:szCs w:val="22"/>
        </w:rPr>
        <w:t>Obszarami Interwencji w jakich znalazła się Legnica są:</w:t>
      </w:r>
    </w:p>
    <w:p w:rsidR="00A370FF" w:rsidRPr="00563EF2" w:rsidRDefault="00A370FF" w:rsidP="00FD7676">
      <w:pPr>
        <w:pStyle w:val="Default"/>
        <w:spacing w:line="276" w:lineRule="auto"/>
        <w:jc w:val="both"/>
        <w:rPr>
          <w:rFonts w:asciiTheme="minorHAnsi" w:hAnsiTheme="minorHAnsi"/>
          <w:sz w:val="22"/>
          <w:szCs w:val="22"/>
        </w:rPr>
      </w:pPr>
    </w:p>
    <w:p w:rsidR="00A370FF" w:rsidRPr="00563EF2" w:rsidRDefault="00A370FF" w:rsidP="00FD7676">
      <w:pPr>
        <w:pStyle w:val="Default"/>
        <w:numPr>
          <w:ilvl w:val="0"/>
          <w:numId w:val="15"/>
        </w:numPr>
        <w:spacing w:line="276" w:lineRule="auto"/>
        <w:jc w:val="both"/>
        <w:rPr>
          <w:rFonts w:asciiTheme="minorHAnsi" w:hAnsiTheme="minorHAnsi"/>
          <w:sz w:val="22"/>
          <w:szCs w:val="22"/>
        </w:rPr>
      </w:pPr>
      <w:r w:rsidRPr="00563EF2">
        <w:rPr>
          <w:rFonts w:asciiTheme="minorHAnsi" w:hAnsiTheme="minorHAnsi"/>
          <w:b/>
          <w:sz w:val="22"/>
          <w:szCs w:val="22"/>
        </w:rPr>
        <w:t>Legnicko-Głogowski Okręg Przemysłowy</w:t>
      </w:r>
      <w:r w:rsidRPr="00563EF2">
        <w:rPr>
          <w:rFonts w:asciiTheme="minorHAnsi" w:hAnsiTheme="minorHAnsi"/>
          <w:sz w:val="22"/>
          <w:szCs w:val="22"/>
        </w:rPr>
        <w:t>, określony jako monokulturowy, okręg gospodarczy oparty na wydobyciu i przetwórstwie miedzi, o dużym stopniu urbanizacji i postępującymi przekształceniami środowiska.</w:t>
      </w:r>
    </w:p>
    <w:p w:rsidR="00A370FF" w:rsidRPr="00563EF2" w:rsidRDefault="00AE744B" w:rsidP="00FD7676">
      <w:pPr>
        <w:pStyle w:val="Default"/>
        <w:spacing w:line="276" w:lineRule="auto"/>
        <w:ind w:left="753"/>
        <w:jc w:val="both"/>
        <w:rPr>
          <w:rFonts w:asciiTheme="minorHAnsi" w:hAnsiTheme="minorHAnsi"/>
          <w:sz w:val="22"/>
          <w:szCs w:val="22"/>
        </w:rPr>
      </w:pPr>
      <w:r>
        <w:rPr>
          <w:rFonts w:asciiTheme="minorHAnsi" w:hAnsiTheme="minorHAnsi"/>
          <w:noProof/>
          <w:sz w:val="22"/>
          <w:szCs w:val="22"/>
          <w:lang w:eastAsia="pl-PL"/>
        </w:rPr>
        <w:drawing>
          <wp:inline distT="0" distB="0" distL="0" distR="0" wp14:anchorId="7EF70E4D" wp14:editId="66EC9B3A">
            <wp:extent cx="4048125" cy="3724275"/>
            <wp:effectExtent l="0" t="0" r="9525" b="952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13.jpg"/>
                    <pic:cNvPicPr/>
                  </pic:nvPicPr>
                  <pic:blipFill>
                    <a:blip r:embed="rId16">
                      <a:extLst>
                        <a:ext uri="{28A0092B-C50C-407E-A947-70E740481C1C}">
                          <a14:useLocalDpi xmlns:a14="http://schemas.microsoft.com/office/drawing/2010/main" val="0"/>
                        </a:ext>
                      </a:extLst>
                    </a:blip>
                    <a:stretch>
                      <a:fillRect/>
                    </a:stretch>
                  </pic:blipFill>
                  <pic:spPr>
                    <a:xfrm>
                      <a:off x="0" y="0"/>
                      <a:ext cx="4048125" cy="3724275"/>
                    </a:xfrm>
                    <a:prstGeom prst="rect">
                      <a:avLst/>
                    </a:prstGeom>
                  </pic:spPr>
                </pic:pic>
              </a:graphicData>
            </a:graphic>
          </wp:inline>
        </w:drawing>
      </w:r>
    </w:p>
    <w:p w:rsidR="00A370FF" w:rsidRDefault="00A370FF" w:rsidP="00FD7676">
      <w:pPr>
        <w:pStyle w:val="Default"/>
        <w:numPr>
          <w:ilvl w:val="0"/>
          <w:numId w:val="15"/>
        </w:numPr>
        <w:spacing w:line="276" w:lineRule="auto"/>
        <w:jc w:val="both"/>
        <w:rPr>
          <w:rFonts w:asciiTheme="minorHAnsi" w:hAnsiTheme="minorHAnsi"/>
          <w:sz w:val="22"/>
          <w:szCs w:val="22"/>
        </w:rPr>
      </w:pPr>
      <w:r w:rsidRPr="00563EF2">
        <w:rPr>
          <w:rFonts w:asciiTheme="minorHAnsi" w:hAnsiTheme="minorHAnsi"/>
          <w:b/>
          <w:sz w:val="22"/>
          <w:szCs w:val="22"/>
        </w:rPr>
        <w:t>Autostrada Nowej Gospodarki</w:t>
      </w:r>
      <w:r w:rsidRPr="00563EF2">
        <w:rPr>
          <w:rFonts w:asciiTheme="minorHAnsi" w:hAnsiTheme="minorHAnsi"/>
          <w:sz w:val="22"/>
          <w:szCs w:val="22"/>
        </w:rPr>
        <w:t xml:space="preserve"> – obszar o docelowo najwyższej dostępności transportowej w regionie, dzięki rozwiniętej</w:t>
      </w:r>
      <w:r w:rsidR="00DC0EF7">
        <w:rPr>
          <w:rFonts w:asciiTheme="minorHAnsi" w:hAnsiTheme="minorHAnsi"/>
          <w:sz w:val="22"/>
          <w:szCs w:val="22"/>
        </w:rPr>
        <w:t>,</w:t>
      </w:r>
      <w:r w:rsidRPr="00563EF2">
        <w:rPr>
          <w:rFonts w:asciiTheme="minorHAnsi" w:hAnsiTheme="minorHAnsi"/>
          <w:sz w:val="22"/>
          <w:szCs w:val="22"/>
        </w:rPr>
        <w:t xml:space="preserve"> istniejącej i planowanej sieci autostrad, dróg szybkiego ruchu oraz transportowi wodnemu i kolejowemu. Obszar ten obejmuje najsilniejsze gospodarczo ośrod</w:t>
      </w:r>
      <w:r w:rsidR="00DC0EF7">
        <w:rPr>
          <w:rFonts w:asciiTheme="minorHAnsi" w:hAnsiTheme="minorHAnsi"/>
          <w:sz w:val="22"/>
          <w:szCs w:val="22"/>
        </w:rPr>
        <w:t>ki miejski</w:t>
      </w:r>
      <w:r w:rsidRPr="00563EF2">
        <w:rPr>
          <w:rFonts w:asciiTheme="minorHAnsi" w:hAnsiTheme="minorHAnsi"/>
          <w:sz w:val="22"/>
          <w:szCs w:val="22"/>
        </w:rPr>
        <w:t>e Województwa Dolnośląskiego, które poprzez rewitalizację i odpowiednie uzbrojenie w infrastrukturę techniczną i teleinformatyczną oraz aktywną obsługę prawną i planistyczną mają szansę na przyciągnięcie kolejnych inwestorów i umocnienie swojej pozycji konkurencyjnej w nowoczesnej gospodarce.</w:t>
      </w:r>
    </w:p>
    <w:p w:rsidR="00AE744B" w:rsidRDefault="00AE744B" w:rsidP="00AE744B">
      <w:pPr>
        <w:pStyle w:val="Akapitzlist"/>
        <w:rPr>
          <w:rFonts w:asciiTheme="minorHAnsi" w:hAnsiTheme="minorHAnsi"/>
          <w:sz w:val="22"/>
        </w:rPr>
      </w:pPr>
    </w:p>
    <w:p w:rsidR="00AE744B" w:rsidRPr="00563EF2" w:rsidRDefault="00AE744B" w:rsidP="00AE744B">
      <w:pPr>
        <w:pStyle w:val="Default"/>
        <w:spacing w:line="276" w:lineRule="auto"/>
        <w:ind w:left="753"/>
        <w:jc w:val="both"/>
        <w:rPr>
          <w:rFonts w:asciiTheme="minorHAnsi" w:hAnsiTheme="minorHAnsi"/>
          <w:sz w:val="22"/>
          <w:szCs w:val="22"/>
        </w:rPr>
      </w:pPr>
      <w:r>
        <w:rPr>
          <w:rFonts w:asciiTheme="minorHAnsi" w:hAnsiTheme="minorHAnsi"/>
          <w:noProof/>
          <w:sz w:val="22"/>
          <w:szCs w:val="22"/>
          <w:lang w:eastAsia="pl-PL"/>
        </w:rPr>
        <w:drawing>
          <wp:inline distT="0" distB="0" distL="0" distR="0" wp14:anchorId="1E0BF8A2" wp14:editId="4C4E1C4B">
            <wp:extent cx="4514850" cy="451485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14.jpg"/>
                    <pic:cNvPicPr/>
                  </pic:nvPicPr>
                  <pic:blipFill>
                    <a:blip r:embed="rId17">
                      <a:extLst>
                        <a:ext uri="{28A0092B-C50C-407E-A947-70E740481C1C}">
                          <a14:useLocalDpi xmlns:a14="http://schemas.microsoft.com/office/drawing/2010/main" val="0"/>
                        </a:ext>
                      </a:extLst>
                    </a:blip>
                    <a:stretch>
                      <a:fillRect/>
                    </a:stretch>
                  </pic:blipFill>
                  <pic:spPr>
                    <a:xfrm>
                      <a:off x="0" y="0"/>
                      <a:ext cx="4514850" cy="4514850"/>
                    </a:xfrm>
                    <a:prstGeom prst="rect">
                      <a:avLst/>
                    </a:prstGeom>
                  </pic:spPr>
                </pic:pic>
              </a:graphicData>
            </a:graphic>
          </wp:inline>
        </w:drawing>
      </w:r>
    </w:p>
    <w:p w:rsidR="00A370FF" w:rsidRPr="00563EF2" w:rsidRDefault="00A370FF" w:rsidP="00FD7676">
      <w:pPr>
        <w:pStyle w:val="Default"/>
        <w:spacing w:line="276" w:lineRule="auto"/>
        <w:jc w:val="both"/>
        <w:rPr>
          <w:rFonts w:asciiTheme="minorHAnsi" w:hAnsiTheme="minorHAnsi"/>
          <w:sz w:val="22"/>
          <w:szCs w:val="22"/>
        </w:rPr>
      </w:pPr>
    </w:p>
    <w:p w:rsidR="00A370FF" w:rsidRDefault="00A370FF" w:rsidP="00FD7676">
      <w:pPr>
        <w:pStyle w:val="Default"/>
        <w:numPr>
          <w:ilvl w:val="0"/>
          <w:numId w:val="15"/>
        </w:numPr>
        <w:spacing w:line="276" w:lineRule="auto"/>
        <w:jc w:val="both"/>
        <w:rPr>
          <w:rFonts w:asciiTheme="minorHAnsi" w:hAnsiTheme="minorHAnsi"/>
          <w:sz w:val="22"/>
          <w:szCs w:val="22"/>
        </w:rPr>
      </w:pPr>
      <w:r w:rsidRPr="00563EF2">
        <w:rPr>
          <w:rFonts w:asciiTheme="minorHAnsi" w:hAnsiTheme="minorHAnsi"/>
          <w:b/>
          <w:bCs/>
          <w:sz w:val="22"/>
          <w:szCs w:val="22"/>
        </w:rPr>
        <w:t xml:space="preserve">Obszar rolniczy </w:t>
      </w:r>
      <w:r w:rsidRPr="00563EF2">
        <w:rPr>
          <w:rFonts w:asciiTheme="minorHAnsi" w:hAnsiTheme="minorHAnsi"/>
          <w:sz w:val="22"/>
          <w:szCs w:val="22"/>
        </w:rPr>
        <w:t>– obejmujący głównie Nizinę Śląską i Przedgórze Sudeckie i charakteryzujący się najlepszymi w kraju warunkami dla produkcji rolnej, tzn. najwyższym wskaźnikiem waloryzacji rolniczej przestrzeni produkcyjnej (najwyższa jakość gleb + najdłuższy okres wegetacyjny). Obszar ten wymaga ochrony i wsparcia poprzez aktywizację przemysłu przetwórstwa rolno-spożywczego w celu pełnego wykorzystania naturalnych pre</w:t>
      </w:r>
      <w:r w:rsidR="00A8787F">
        <w:rPr>
          <w:rFonts w:asciiTheme="minorHAnsi" w:hAnsiTheme="minorHAnsi"/>
          <w:sz w:val="22"/>
          <w:szCs w:val="22"/>
        </w:rPr>
        <w:t>dyspozycji i </w:t>
      </w:r>
      <w:r w:rsidRPr="00563EF2">
        <w:rPr>
          <w:rFonts w:asciiTheme="minorHAnsi" w:hAnsiTheme="minorHAnsi"/>
          <w:sz w:val="22"/>
          <w:szCs w:val="22"/>
        </w:rPr>
        <w:t>ukierunkowanie rozwoju produkcji żywności na koo</w:t>
      </w:r>
      <w:r w:rsidR="00A8787F">
        <w:rPr>
          <w:rFonts w:asciiTheme="minorHAnsi" w:hAnsiTheme="minorHAnsi"/>
          <w:sz w:val="22"/>
          <w:szCs w:val="22"/>
        </w:rPr>
        <w:t>perację przemysłu spożywczego z </w:t>
      </w:r>
      <w:r w:rsidRPr="00563EF2">
        <w:rPr>
          <w:rFonts w:asciiTheme="minorHAnsi" w:hAnsiTheme="minorHAnsi"/>
          <w:sz w:val="22"/>
          <w:szCs w:val="22"/>
        </w:rPr>
        <w:t>partnerami zagranicznymi .</w:t>
      </w:r>
    </w:p>
    <w:p w:rsidR="00FA4CA4" w:rsidRDefault="00FA4CA4" w:rsidP="00FA4CA4">
      <w:pPr>
        <w:pStyle w:val="Akapitzlist"/>
        <w:rPr>
          <w:rFonts w:asciiTheme="minorHAnsi" w:hAnsiTheme="minorHAnsi"/>
          <w:sz w:val="22"/>
        </w:rPr>
      </w:pPr>
    </w:p>
    <w:p w:rsidR="00FA4CA4" w:rsidRPr="00563EF2" w:rsidRDefault="00FA4CA4" w:rsidP="00FA4CA4">
      <w:pPr>
        <w:pStyle w:val="Default"/>
        <w:spacing w:line="276" w:lineRule="auto"/>
        <w:ind w:left="753"/>
        <w:jc w:val="both"/>
        <w:rPr>
          <w:rFonts w:asciiTheme="minorHAnsi" w:hAnsiTheme="minorHAnsi"/>
          <w:sz w:val="22"/>
          <w:szCs w:val="22"/>
        </w:rPr>
      </w:pPr>
    </w:p>
    <w:p w:rsidR="00A370FF" w:rsidRDefault="00A370FF" w:rsidP="00FD7676">
      <w:pPr>
        <w:pStyle w:val="Default"/>
        <w:spacing w:line="276" w:lineRule="auto"/>
        <w:ind w:left="753"/>
        <w:jc w:val="both"/>
        <w:rPr>
          <w:rFonts w:asciiTheme="minorHAnsi" w:hAnsiTheme="minorHAnsi"/>
          <w:noProof/>
          <w:sz w:val="22"/>
          <w:szCs w:val="22"/>
          <w:lang w:eastAsia="pl-PL"/>
        </w:rPr>
      </w:pPr>
    </w:p>
    <w:p w:rsidR="006E1FB9" w:rsidRPr="00563EF2" w:rsidRDefault="006E1FB9" w:rsidP="00FD7676">
      <w:pPr>
        <w:pStyle w:val="Default"/>
        <w:spacing w:line="276" w:lineRule="auto"/>
        <w:ind w:left="753"/>
        <w:jc w:val="both"/>
        <w:rPr>
          <w:rFonts w:asciiTheme="minorHAnsi" w:hAnsiTheme="minorHAnsi"/>
          <w:sz w:val="22"/>
          <w:szCs w:val="22"/>
        </w:rPr>
      </w:pPr>
    </w:p>
    <w:p w:rsidR="00A370FF" w:rsidRPr="00EC5484" w:rsidRDefault="00A370FF" w:rsidP="00EC5484">
      <w:pPr>
        <w:pStyle w:val="Nagwek3"/>
      </w:pPr>
      <w:bookmarkStart w:id="11" w:name="_Toc399756300"/>
      <w:r w:rsidRPr="00EC5484">
        <w:t>Plan Zagospodarowania Przestrzennego Województwa Dolnośląskiego – Perspektywa 2020</w:t>
      </w:r>
      <w:bookmarkEnd w:id="11"/>
    </w:p>
    <w:p w:rsidR="00A370FF" w:rsidRPr="00DC0EF7" w:rsidRDefault="00A370FF" w:rsidP="00FD7676">
      <w:pPr>
        <w:rPr>
          <w:rFonts w:asciiTheme="minorHAnsi" w:hAnsiTheme="minorHAnsi"/>
          <w:i/>
          <w:sz w:val="22"/>
        </w:rPr>
      </w:pPr>
    </w:p>
    <w:p w:rsidR="00A370FF" w:rsidRPr="00563EF2" w:rsidRDefault="00DC0EF7" w:rsidP="00FD7676">
      <w:pPr>
        <w:pStyle w:val="Default"/>
        <w:spacing w:line="276" w:lineRule="auto"/>
        <w:jc w:val="both"/>
        <w:rPr>
          <w:rFonts w:asciiTheme="minorHAnsi" w:hAnsiTheme="minorHAnsi"/>
          <w:sz w:val="22"/>
          <w:szCs w:val="22"/>
        </w:rPr>
      </w:pPr>
      <w:r w:rsidRPr="00DC0EF7">
        <w:rPr>
          <w:rFonts w:asciiTheme="minorHAnsi" w:hAnsiTheme="minorHAnsi"/>
          <w:i/>
          <w:sz w:val="22"/>
          <w:szCs w:val="22"/>
        </w:rPr>
        <w:t>Plan Zagospodarowania Przestrzennego W</w:t>
      </w:r>
      <w:r w:rsidR="00A370FF" w:rsidRPr="00DC0EF7">
        <w:rPr>
          <w:rFonts w:asciiTheme="minorHAnsi" w:hAnsiTheme="minorHAnsi"/>
          <w:i/>
          <w:sz w:val="22"/>
          <w:szCs w:val="22"/>
        </w:rPr>
        <w:t>ojewództwa</w:t>
      </w:r>
      <w:r>
        <w:rPr>
          <w:rFonts w:asciiTheme="minorHAnsi" w:hAnsiTheme="minorHAnsi"/>
          <w:i/>
          <w:sz w:val="22"/>
          <w:szCs w:val="22"/>
        </w:rPr>
        <w:t xml:space="preserve"> Dolnośląskiego</w:t>
      </w:r>
      <w:r w:rsidR="00A370FF" w:rsidRPr="00563EF2">
        <w:rPr>
          <w:rFonts w:asciiTheme="minorHAnsi" w:hAnsiTheme="minorHAnsi"/>
          <w:sz w:val="22"/>
          <w:szCs w:val="22"/>
        </w:rPr>
        <w:t xml:space="preserve"> stanowi podstawowe narzędzie dla kształtowania przez samorząd wojewódzki regionalnej polityki przestrzennej.</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W ramach ustaleń </w:t>
      </w:r>
      <w:r w:rsidRPr="00843208">
        <w:rPr>
          <w:rFonts w:asciiTheme="minorHAnsi" w:hAnsiTheme="minorHAnsi"/>
          <w:i/>
          <w:sz w:val="22"/>
        </w:rPr>
        <w:t>KPZK 2030</w:t>
      </w:r>
      <w:r w:rsidRPr="00563EF2">
        <w:rPr>
          <w:rFonts w:asciiTheme="minorHAnsi" w:hAnsiTheme="minorHAnsi"/>
          <w:sz w:val="22"/>
        </w:rPr>
        <w:t xml:space="preserve"> jak i </w:t>
      </w:r>
      <w:r w:rsidRPr="009E1742">
        <w:rPr>
          <w:rFonts w:asciiTheme="minorHAnsi" w:hAnsiTheme="minorHAnsi"/>
          <w:i/>
          <w:sz w:val="22"/>
        </w:rPr>
        <w:t>PZPWD</w:t>
      </w:r>
      <w:r w:rsidRPr="00563EF2">
        <w:rPr>
          <w:rFonts w:asciiTheme="minorHAnsi" w:hAnsiTheme="minorHAnsi"/>
          <w:sz w:val="22"/>
        </w:rPr>
        <w:t xml:space="preserve"> Legnica została wskazana, obok Wałbrzycha i Jeleniej Góry, jako jeden z miejskich ośrodków regionalnych</w:t>
      </w:r>
      <w:r w:rsidR="00DC0EF7">
        <w:rPr>
          <w:rFonts w:asciiTheme="minorHAnsi" w:hAnsiTheme="minorHAnsi"/>
          <w:sz w:val="22"/>
        </w:rPr>
        <w:t>,</w:t>
      </w:r>
      <w:r w:rsidRPr="00563EF2">
        <w:rPr>
          <w:rFonts w:asciiTheme="minorHAnsi" w:hAnsiTheme="minorHAnsi"/>
          <w:sz w:val="22"/>
        </w:rPr>
        <w:t xml:space="preserve"> dla których zaleca się określenie miejskich obszarów funkcjonalnych. Miejskie ośrodki regionalne posiadają potenc</w:t>
      </w:r>
      <w:r w:rsidR="00A8787F">
        <w:rPr>
          <w:rFonts w:asciiTheme="minorHAnsi" w:hAnsiTheme="minorHAnsi"/>
          <w:sz w:val="22"/>
        </w:rPr>
        <w:t>jał demograficzno-produkcyjny o </w:t>
      </w:r>
      <w:r w:rsidRPr="00563EF2">
        <w:rPr>
          <w:rFonts w:asciiTheme="minorHAnsi" w:hAnsiTheme="minorHAnsi"/>
          <w:sz w:val="22"/>
        </w:rPr>
        <w:t>zasadniczym znaczeniu dla rozwoju społeczno-gospodarczego i przestrzennego regionu, a także dla obsługi jego mieszkańców, a wzmocnienie tego potencjału leży w interesie zarówno województwa, jak i całego kraju.</w:t>
      </w:r>
    </w:p>
    <w:p w:rsidR="00A370FF" w:rsidRPr="00563EF2" w:rsidRDefault="00A370FF" w:rsidP="00FD7676">
      <w:pPr>
        <w:pStyle w:val="Default"/>
        <w:spacing w:line="276" w:lineRule="auto"/>
        <w:jc w:val="both"/>
        <w:rPr>
          <w:rFonts w:asciiTheme="minorHAnsi" w:hAnsiTheme="minorHAnsi"/>
          <w:sz w:val="22"/>
          <w:szCs w:val="22"/>
        </w:rPr>
      </w:pPr>
    </w:p>
    <w:p w:rsidR="00A370FF" w:rsidRPr="00563EF2" w:rsidRDefault="00A370FF" w:rsidP="00FD7676">
      <w:pPr>
        <w:pStyle w:val="Default"/>
        <w:spacing w:line="276" w:lineRule="auto"/>
        <w:jc w:val="both"/>
        <w:rPr>
          <w:rFonts w:asciiTheme="minorHAnsi" w:hAnsiTheme="minorHAnsi" w:cs="Calibri"/>
          <w:sz w:val="22"/>
          <w:szCs w:val="22"/>
        </w:rPr>
      </w:pPr>
      <w:r w:rsidRPr="00563EF2">
        <w:rPr>
          <w:rFonts w:asciiTheme="minorHAnsi" w:hAnsiTheme="minorHAnsi"/>
          <w:sz w:val="22"/>
          <w:szCs w:val="22"/>
        </w:rPr>
        <w:t xml:space="preserve">Dokument </w:t>
      </w:r>
      <w:r w:rsidRPr="009E1742">
        <w:rPr>
          <w:rFonts w:asciiTheme="minorHAnsi" w:hAnsiTheme="minorHAnsi"/>
          <w:i/>
          <w:sz w:val="22"/>
          <w:szCs w:val="22"/>
        </w:rPr>
        <w:t>PZPWD</w:t>
      </w:r>
      <w:r w:rsidRPr="00563EF2">
        <w:rPr>
          <w:rFonts w:asciiTheme="minorHAnsi" w:hAnsiTheme="minorHAnsi"/>
          <w:sz w:val="22"/>
          <w:szCs w:val="22"/>
        </w:rPr>
        <w:t xml:space="preserve"> określił wstępną delimitację miejskiego obszaru funkcjonalnego ośrodka regionalnego, którego rdzeniem jest Legnica. </w:t>
      </w:r>
      <w:r w:rsidRPr="00563EF2">
        <w:rPr>
          <w:rFonts w:asciiTheme="minorHAnsi" w:hAnsiTheme="minorHAnsi" w:cs="Calibri"/>
          <w:sz w:val="22"/>
          <w:szCs w:val="22"/>
        </w:rPr>
        <w:t xml:space="preserve"> Obszar funkcjonalny ośrodka regionalnego Legnicy został poszerzony o ośrodki subregionalne: Głogowa, Lubina i Polkowic tworząc  tym samym aglomerację funkcjonalną LGOP</w:t>
      </w:r>
      <w:r w:rsidRPr="00563EF2">
        <w:rPr>
          <w:rFonts w:asciiTheme="minorHAnsi" w:hAnsiTheme="minorHAnsi"/>
          <w:sz w:val="22"/>
          <w:szCs w:val="22"/>
        </w:rPr>
        <w:t>,  w której skład weszło 5 gmin miejskich, 27 gmin wiejskich oraz 5 gmin miejsko-wiejskich.</w:t>
      </w:r>
    </w:p>
    <w:p w:rsidR="00A370FF" w:rsidRPr="00563EF2" w:rsidRDefault="00A370FF" w:rsidP="00FD7676">
      <w:pPr>
        <w:rPr>
          <w:rFonts w:asciiTheme="minorHAnsi" w:hAnsiTheme="minorHAnsi"/>
          <w:sz w:val="22"/>
        </w:rPr>
      </w:pPr>
    </w:p>
    <w:p w:rsidR="00A370FF" w:rsidRPr="007F6382" w:rsidRDefault="00A370FF"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Mapa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Mapa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w:t>
      </w:r>
      <w:r w:rsidR="00017794" w:rsidRPr="007F6382">
        <w:rPr>
          <w:rFonts w:asciiTheme="minorHAnsi" w:hAnsiTheme="minorHAnsi"/>
          <w:sz w:val="20"/>
          <w:szCs w:val="22"/>
        </w:rPr>
        <w:fldChar w:fldCharType="end"/>
      </w:r>
      <w:r w:rsidRPr="007F6382">
        <w:rPr>
          <w:rFonts w:asciiTheme="minorHAnsi" w:hAnsiTheme="minorHAnsi"/>
          <w:sz w:val="20"/>
          <w:szCs w:val="22"/>
        </w:rPr>
        <w:t>. Wstępna delimitacja zasięgu W</w:t>
      </w:r>
      <w:r w:rsidR="00576C54">
        <w:rPr>
          <w:rFonts w:asciiTheme="minorHAnsi" w:hAnsiTheme="minorHAnsi"/>
          <w:sz w:val="20"/>
          <w:szCs w:val="22"/>
        </w:rPr>
        <w:t>rocławskiego Obszar Funkcjonalnego</w:t>
      </w:r>
      <w:r w:rsidRPr="007F6382">
        <w:rPr>
          <w:rFonts w:asciiTheme="minorHAnsi" w:hAnsiTheme="minorHAnsi"/>
          <w:sz w:val="20"/>
          <w:szCs w:val="22"/>
        </w:rPr>
        <w:t xml:space="preserve"> i miejskich obszarów funkcjonalnych ośrodków regionalnych</w:t>
      </w:r>
      <w:r w:rsidR="00A84816">
        <w:rPr>
          <w:rFonts w:asciiTheme="minorHAnsi" w:hAnsiTheme="minorHAnsi"/>
          <w:sz w:val="20"/>
          <w:szCs w:val="22"/>
        </w:rPr>
        <w:t xml:space="preserve"> w województwie dolnośląs</w:t>
      </w:r>
      <w:r w:rsidR="00576C54">
        <w:rPr>
          <w:rFonts w:asciiTheme="minorHAnsi" w:hAnsiTheme="minorHAnsi"/>
          <w:sz w:val="20"/>
          <w:szCs w:val="22"/>
        </w:rPr>
        <w:t>kim</w:t>
      </w:r>
      <w:r w:rsidRPr="007F6382">
        <w:rPr>
          <w:rFonts w:asciiTheme="minorHAnsi" w:hAnsiTheme="minorHAnsi"/>
          <w:sz w:val="20"/>
          <w:szCs w:val="22"/>
        </w:rPr>
        <w:t>.</w:t>
      </w:r>
    </w:p>
    <w:p w:rsidR="00A370FF" w:rsidRPr="00563EF2" w:rsidRDefault="00A370FF" w:rsidP="00FD7676">
      <w:pPr>
        <w:rPr>
          <w:rFonts w:asciiTheme="minorHAnsi" w:hAnsiTheme="minorHAnsi"/>
          <w:b/>
          <w:sz w:val="22"/>
        </w:rPr>
      </w:pPr>
      <w:r w:rsidRPr="00563EF2">
        <w:rPr>
          <w:rFonts w:asciiTheme="minorHAnsi" w:hAnsiTheme="minorHAnsi"/>
          <w:b/>
          <w:noProof/>
          <w:sz w:val="22"/>
          <w:lang w:eastAsia="pl-PL"/>
        </w:rPr>
        <w:drawing>
          <wp:inline distT="0" distB="0" distL="0" distR="0" wp14:anchorId="6BA040FC" wp14:editId="7DE9F848">
            <wp:extent cx="6298469" cy="3908425"/>
            <wp:effectExtent l="0" t="0" r="7620" b="0"/>
            <wp:docPr id="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22259" cy="3923188"/>
                    </a:xfrm>
                    <a:prstGeom prst="rect">
                      <a:avLst/>
                    </a:prstGeom>
                    <a:noFill/>
                    <a:ln w="9525">
                      <a:noFill/>
                      <a:miter lim="800000"/>
                      <a:headEnd/>
                      <a:tailEnd/>
                    </a:ln>
                  </pic:spPr>
                </pic:pic>
              </a:graphicData>
            </a:graphic>
          </wp:inline>
        </w:drawing>
      </w:r>
    </w:p>
    <w:p w:rsidR="00A370FF" w:rsidRPr="002E2D3F" w:rsidRDefault="00A370FF" w:rsidP="00FD7676">
      <w:pPr>
        <w:rPr>
          <w:rFonts w:asciiTheme="minorHAnsi" w:hAnsiTheme="minorHAnsi"/>
          <w:sz w:val="20"/>
        </w:rPr>
      </w:pPr>
      <w:r w:rsidRPr="002E2D3F">
        <w:rPr>
          <w:rFonts w:asciiTheme="minorHAnsi" w:hAnsiTheme="minorHAnsi"/>
          <w:sz w:val="20"/>
        </w:rPr>
        <w:t xml:space="preserve">Źródło: </w:t>
      </w:r>
      <w:r w:rsidRPr="002E2D3F">
        <w:rPr>
          <w:rFonts w:asciiTheme="minorHAnsi" w:hAnsiTheme="minorHAnsi"/>
          <w:i/>
          <w:sz w:val="20"/>
        </w:rPr>
        <w:t xml:space="preserve">Plan Zagospodarowania Przestrzennego Województwa Dolnośląskiego – Perspektywa 2020, </w:t>
      </w:r>
      <w:r w:rsidRPr="002E2D3F">
        <w:rPr>
          <w:rFonts w:asciiTheme="minorHAnsi" w:hAnsiTheme="minorHAnsi"/>
          <w:sz w:val="20"/>
        </w:rPr>
        <w:t>Urząd Marszałkowski Województwa Dolnośląskiego, 2014 r.</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i/>
          <w:sz w:val="22"/>
        </w:rPr>
        <w:t>Plan Zagospodarowania Przestrzennego Województwa Dolnośląskiego</w:t>
      </w:r>
      <w:r w:rsidR="00DC0EF7">
        <w:rPr>
          <w:rFonts w:asciiTheme="minorHAnsi" w:hAnsiTheme="minorHAnsi"/>
          <w:sz w:val="22"/>
        </w:rPr>
        <w:t xml:space="preserve"> określił ponadto następujące</w:t>
      </w:r>
      <w:r w:rsidRPr="00563EF2">
        <w:rPr>
          <w:rFonts w:asciiTheme="minorHAnsi" w:hAnsiTheme="minorHAnsi"/>
          <w:sz w:val="22"/>
        </w:rPr>
        <w:t xml:space="preserve"> działania i zadania, służące realizacji przyjętych kierunków i zasad zagospodarowania przestrzennego odnoszące się bezpośrednio do Legnicy:</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Ochrona i wzmocnienie roli dolin rzecznych jako ważnych korytarzy ekologicznych – dolina Kaczawy;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Wprowadzenie ochrony wybranych obiektów architektury współczesnej (w zakresie utrzymania ich form i ukształtowania) – dom handlowy </w:t>
      </w:r>
      <w:r w:rsidR="00DC0EF7">
        <w:rPr>
          <w:rFonts w:asciiTheme="minorHAnsi" w:hAnsiTheme="minorHAnsi" w:cs="Calibri"/>
          <w:color w:val="000000"/>
          <w:sz w:val="22"/>
        </w:rPr>
        <w:t>przy ul. Najświętszej Maryi Panny w </w:t>
      </w:r>
      <w:r w:rsidRPr="00563EF2">
        <w:rPr>
          <w:rFonts w:asciiTheme="minorHAnsi" w:hAnsiTheme="minorHAnsi" w:cs="Calibri"/>
          <w:color w:val="000000"/>
          <w:sz w:val="22"/>
        </w:rPr>
        <w:t>Legnicy</w:t>
      </w:r>
      <w:r w:rsidR="00DC0EF7">
        <w:rPr>
          <w:rFonts w:asciiTheme="minorHAnsi" w:hAnsiTheme="minorHAnsi" w:cs="Calibri"/>
          <w:color w:val="000000"/>
          <w:sz w:val="22"/>
        </w:rPr>
        <w:t>;</w:t>
      </w:r>
      <w:r w:rsidRPr="00563EF2">
        <w:rPr>
          <w:rFonts w:asciiTheme="minorHAnsi" w:hAnsiTheme="minorHAnsi" w:cs="Calibri"/>
          <w:color w:val="000000"/>
          <w:sz w:val="22"/>
        </w:rPr>
        <w:t xml:space="preserve">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Uwzględnianie lokalizacji udokumentowanych i niezagospodarowanych złóż kopalin węgla brunatnego - </w:t>
      </w:r>
      <w:r w:rsidRPr="00563EF2">
        <w:rPr>
          <w:rFonts w:asciiTheme="minorHAnsi" w:hAnsiTheme="minorHAnsi" w:cs="Calibri"/>
          <w:sz w:val="22"/>
        </w:rPr>
        <w:t>złoża węgla brunatnego w rejonie Legnicy</w:t>
      </w:r>
      <w:r w:rsidR="00DC0EF7">
        <w:rPr>
          <w:rFonts w:asciiTheme="minorHAnsi" w:hAnsiTheme="minorHAnsi" w:cs="Calibri"/>
          <w:sz w:val="22"/>
        </w:rPr>
        <w:t>;</w:t>
      </w:r>
      <w:r w:rsidRPr="00563EF2">
        <w:rPr>
          <w:rFonts w:asciiTheme="minorHAnsi" w:hAnsiTheme="minorHAnsi" w:cs="Calibri"/>
          <w:sz w:val="22"/>
        </w:rPr>
        <w:t xml:space="preserve">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Wprowadzenie ochrony obszarów zasilania Głównych Zbiorników Wód Podziemnych (GZWP) zgodnie z planem gospodarowania wodami w obszarze Odry – zbiornik (nr 318) Słup </w:t>
      </w:r>
      <w:r w:rsidR="00DC0EF7">
        <w:rPr>
          <w:rFonts w:asciiTheme="minorHAnsi" w:hAnsiTheme="minorHAnsi" w:cs="Calibri"/>
          <w:color w:val="000000"/>
          <w:sz w:val="22"/>
        </w:rPr>
        <w:t>–</w:t>
      </w:r>
      <w:r w:rsidRPr="00563EF2">
        <w:rPr>
          <w:rFonts w:asciiTheme="minorHAnsi" w:hAnsiTheme="minorHAnsi" w:cs="Calibri"/>
          <w:color w:val="000000"/>
          <w:sz w:val="22"/>
        </w:rPr>
        <w:t xml:space="preserve"> Legnica</w:t>
      </w:r>
      <w:r w:rsidR="00DC0EF7">
        <w:rPr>
          <w:rFonts w:asciiTheme="minorHAnsi" w:hAnsiTheme="minorHAnsi" w:cs="Calibri"/>
          <w:color w:val="000000"/>
          <w:sz w:val="22"/>
        </w:rPr>
        <w:t>;</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Opracowanie programów naprawczych ochrony powietrza dla stref przekroczeń dopuszczalnych i docelowych substancji w powietrzu – strefa miasto Legnica</w:t>
      </w:r>
      <w:r w:rsidR="00DC0EF7">
        <w:rPr>
          <w:rFonts w:asciiTheme="minorHAnsi" w:hAnsiTheme="minorHAnsi" w:cs="Calibri"/>
          <w:color w:val="000000"/>
          <w:sz w:val="22"/>
        </w:rPr>
        <w:t>;</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Kompleksowe, zintegrowane planowanie rozwoju w wyznaczonym Paśmie Głogowsko-Kłodzkim, Paśmie Sudeckim oraz w obszarach funkcjo</w:t>
      </w:r>
      <w:r w:rsidR="00A8787F">
        <w:rPr>
          <w:rFonts w:asciiTheme="minorHAnsi" w:hAnsiTheme="minorHAnsi" w:cs="Calibri"/>
          <w:color w:val="000000"/>
          <w:sz w:val="22"/>
        </w:rPr>
        <w:t>nalnych ośrodków regionalnych i </w:t>
      </w:r>
      <w:r w:rsidRPr="00563EF2">
        <w:rPr>
          <w:rFonts w:asciiTheme="minorHAnsi" w:hAnsiTheme="minorHAnsi" w:cs="Calibri"/>
          <w:color w:val="000000"/>
          <w:sz w:val="22"/>
        </w:rPr>
        <w:t>subregionalnych – miejski obszar funkcjonalny ośrodka regionalnego LGOP</w:t>
      </w:r>
      <w:r w:rsidR="00DC0EF7">
        <w:rPr>
          <w:rFonts w:asciiTheme="minorHAnsi" w:hAnsiTheme="minorHAnsi" w:cs="Calibri"/>
          <w:color w:val="000000"/>
          <w:sz w:val="22"/>
        </w:rPr>
        <w:t>;</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Rozwój sieci obiektów innowacji i przedsiębiorczości: centrów transferu technologii, inkubatorów przedsiębiorczości, parków technologicznych p</w:t>
      </w:r>
      <w:r w:rsidR="00A8787F">
        <w:rPr>
          <w:rFonts w:asciiTheme="minorHAnsi" w:hAnsiTheme="minorHAnsi" w:cs="Calibri"/>
          <w:color w:val="000000"/>
          <w:sz w:val="22"/>
        </w:rPr>
        <w:t>rzemysłowych, centrów jakości i </w:t>
      </w:r>
      <w:r w:rsidRPr="00563EF2">
        <w:rPr>
          <w:rFonts w:asciiTheme="minorHAnsi" w:hAnsiTheme="minorHAnsi" w:cs="Calibri"/>
          <w:color w:val="000000"/>
          <w:sz w:val="22"/>
        </w:rPr>
        <w:t>wzornictwa przemysłowego –m.</w:t>
      </w:r>
      <w:r w:rsidR="004106BC">
        <w:rPr>
          <w:rFonts w:asciiTheme="minorHAnsi" w:hAnsiTheme="minorHAnsi" w:cs="Calibri"/>
          <w:color w:val="000000"/>
          <w:sz w:val="22"/>
        </w:rPr>
        <w:t xml:space="preserve"> </w:t>
      </w:r>
      <w:r w:rsidR="00DC0EF7">
        <w:rPr>
          <w:rFonts w:asciiTheme="minorHAnsi" w:hAnsiTheme="minorHAnsi" w:cs="Calibri"/>
          <w:color w:val="000000"/>
          <w:sz w:val="22"/>
        </w:rPr>
        <w:t>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Realizacja nowych i rozbudowa istniejących powiązań zewnętrznych jako dróg bezkolizyjnych: autostrad i dróg ekspresowych w części w ramach sieci TEN-T – droga ekspresowa </w:t>
      </w:r>
      <w:r w:rsidRPr="00563EF2">
        <w:rPr>
          <w:rFonts w:asciiTheme="minorHAnsi" w:hAnsiTheme="minorHAnsi" w:cs="Calibri"/>
          <w:sz w:val="22"/>
        </w:rPr>
        <w:t xml:space="preserve">S3 (odcinek granica województwa-Legnica - Lubawka);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Budowa obwodnic miejscowości w ciągach dróg krajowych – Legnica droga krajowa 94</w:t>
      </w:r>
      <w:r w:rsidR="00DC0EF7">
        <w:rPr>
          <w:rFonts w:asciiTheme="minorHAnsi" w:hAnsiTheme="minorHAnsi" w:cs="Calibri"/>
          <w:color w:val="000000"/>
          <w:sz w:val="22"/>
        </w:rPr>
        <w:t>;</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Modernizacja linii kolejowych o znaczeniu ponadregionalnym i międzynarodowym – modernizacja </w:t>
      </w:r>
      <w:r w:rsidRPr="00563EF2">
        <w:rPr>
          <w:rFonts w:asciiTheme="minorHAnsi" w:hAnsiTheme="minorHAnsi" w:cs="Calibri"/>
          <w:sz w:val="22"/>
        </w:rPr>
        <w:t>magistrali kolejowej</w:t>
      </w:r>
      <w:r w:rsidRPr="00563EF2">
        <w:rPr>
          <w:rFonts w:asciiTheme="minorHAnsi" w:hAnsiTheme="minorHAnsi" w:cs="Calibri"/>
          <w:color w:val="000000"/>
          <w:sz w:val="22"/>
        </w:rPr>
        <w:t xml:space="preserve"> </w:t>
      </w:r>
      <w:r w:rsidRPr="00563EF2">
        <w:rPr>
          <w:rFonts w:asciiTheme="minorHAnsi" w:hAnsiTheme="minorHAnsi" w:cs="Calibri"/>
          <w:sz w:val="22"/>
        </w:rPr>
        <w:t xml:space="preserve">E-30: Zgorzelec – Węgliniec – Legnica – Wrocław – Opole – Katowice – Kraków – Rzeszów – Przemyśl – Medyka;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Stworzenie sprawnego systemu powiązań kolejowych w Paśmie Głogowsko- Kłodzkim - </w:t>
      </w:r>
      <w:r w:rsidRPr="00563EF2">
        <w:rPr>
          <w:rFonts w:asciiTheme="minorHAnsi" w:hAnsiTheme="minorHAnsi" w:cs="Calibri"/>
          <w:sz w:val="22"/>
        </w:rPr>
        <w:t xml:space="preserve">modernizacja linii kolejowej nr 137 (Katowice- Legnica);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Wykorzystanie istniejących oraz o ruchu zawieszonym, linii kolejowych jako ważnego elementu aktywizacji turystycznej obszaru pogranicza </w:t>
      </w:r>
      <w:r w:rsidRPr="00563EF2">
        <w:rPr>
          <w:rFonts w:asciiTheme="minorHAnsi" w:hAnsiTheme="minorHAnsi" w:cs="Calibri"/>
          <w:sz w:val="22"/>
        </w:rPr>
        <w:t xml:space="preserve">Wykorzystanie trasy relacji: </w:t>
      </w:r>
      <w:r w:rsidRPr="00563EF2">
        <w:rPr>
          <w:rFonts w:asciiTheme="minorHAnsi" w:hAnsiTheme="minorHAnsi" w:cs="Calibri"/>
          <w:color w:val="000000"/>
          <w:sz w:val="22"/>
        </w:rPr>
        <w:t xml:space="preserve">Drezno - Zgorzelec/Görlitz – Legnica – Wrocław Główny i dalej do Przemyśla; </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Rozbudowa i modernizacja istniejących oczyszczalni ścieków –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Budowa, rozbudowa i modernizacja systemów kanalizacji w aglomeracjach – m.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Utrzymanie i rozbudowa istniejących regionalnych instalacji do przetwarzania odpadów komunalnych w regionach gospodarki odpadami komunalnymi – budowa: </w:t>
      </w:r>
      <w:r w:rsidRPr="00563EF2">
        <w:rPr>
          <w:rFonts w:asciiTheme="minorHAnsi" w:hAnsiTheme="minorHAnsi" w:cs="Calibri"/>
          <w:sz w:val="22"/>
        </w:rPr>
        <w:t>instalacji do mech.-biol. przetwarzania zmieszanych odpadów, instalacji do przetwarzania selektywnie zebranych odpadów zielonych i innych bioodpadów, składowiska odpadów powstających w procesie mech.-biol. przetwarzania zmieszanych odpadów komunalnych – m.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Zgłoszone do WPGO 2012 planowane inwestycje związane z termicznym przetwarzaniem odpadów – m.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Przebudowa i modernizacja stacji redukcyjno-pomiarowych gazociągu - </w:t>
      </w:r>
      <w:r w:rsidRPr="00563EF2">
        <w:rPr>
          <w:rFonts w:asciiTheme="minorHAnsi" w:hAnsiTheme="minorHAnsi" w:cs="Calibri"/>
          <w:sz w:val="22"/>
        </w:rPr>
        <w:t>Wielka Woda k/Legnicy (m.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 xml:space="preserve">Przebudowa, rozbudowa lub modernizacja istniejących stacji elektroenergetycznych - </w:t>
      </w:r>
      <w:r w:rsidRPr="00563EF2">
        <w:rPr>
          <w:rFonts w:asciiTheme="minorHAnsi" w:hAnsiTheme="minorHAnsi" w:cs="Calibri"/>
          <w:sz w:val="22"/>
        </w:rPr>
        <w:t>Legnica-Górka (m. Legnica);</w:t>
      </w:r>
    </w:p>
    <w:p w:rsidR="00A370FF" w:rsidRPr="00563EF2" w:rsidRDefault="00A370FF" w:rsidP="00FD7676">
      <w:pPr>
        <w:pStyle w:val="Akapitzlist"/>
        <w:numPr>
          <w:ilvl w:val="0"/>
          <w:numId w:val="15"/>
        </w:numPr>
        <w:autoSpaceDE w:val="0"/>
        <w:autoSpaceDN w:val="0"/>
        <w:adjustRightInd w:val="0"/>
        <w:rPr>
          <w:rFonts w:asciiTheme="minorHAnsi" w:hAnsiTheme="minorHAnsi" w:cs="Calibri"/>
          <w:color w:val="000000"/>
          <w:sz w:val="22"/>
        </w:rPr>
      </w:pPr>
      <w:r w:rsidRPr="00563EF2">
        <w:rPr>
          <w:rFonts w:asciiTheme="minorHAnsi" w:hAnsiTheme="minorHAnsi" w:cs="Calibri"/>
          <w:color w:val="000000"/>
          <w:sz w:val="22"/>
        </w:rPr>
        <w:t>Realizacja zadań z zakresu lokalnej ochrony przeciwpowodziowej zw. z melioracjami wodnymi – m. Legnica.</w:t>
      </w:r>
    </w:p>
    <w:p w:rsidR="00A370FF" w:rsidRPr="00563EF2" w:rsidRDefault="00A370FF" w:rsidP="00FD7676">
      <w:pPr>
        <w:rPr>
          <w:rFonts w:asciiTheme="minorHAnsi" w:hAnsiTheme="minorHAnsi"/>
          <w:sz w:val="22"/>
        </w:rPr>
      </w:pPr>
    </w:p>
    <w:p w:rsidR="00A370FF" w:rsidRPr="00563EF2" w:rsidRDefault="00A370FF" w:rsidP="00FD7676">
      <w:pPr>
        <w:rPr>
          <w:rFonts w:asciiTheme="minorHAnsi" w:hAnsiTheme="minorHAnsi"/>
          <w:sz w:val="22"/>
        </w:rPr>
      </w:pPr>
    </w:p>
    <w:p w:rsidR="00A370FF" w:rsidRPr="00CD51E9" w:rsidRDefault="00A370FF" w:rsidP="00DA088A">
      <w:pPr>
        <w:pStyle w:val="Nagwek2"/>
      </w:pPr>
      <w:bookmarkStart w:id="12" w:name="_Toc399756301"/>
      <w:r w:rsidRPr="00CD51E9">
        <w:t>Analiza ustaleń Studium uwarunkowań i kierunków zagospodarowania przestrzennego Miasta Legnicy</w:t>
      </w:r>
      <w:bookmarkEnd w:id="12"/>
    </w:p>
    <w:p w:rsidR="00A370FF" w:rsidRPr="00563EF2" w:rsidRDefault="00A370FF" w:rsidP="00FD7676">
      <w:pPr>
        <w:pStyle w:val="Default"/>
        <w:spacing w:line="276" w:lineRule="auto"/>
        <w:ind w:left="753"/>
        <w:jc w:val="both"/>
        <w:rPr>
          <w:rFonts w:asciiTheme="minorHAnsi" w:hAnsiTheme="minorHAnsi"/>
          <w:sz w:val="22"/>
          <w:szCs w:val="22"/>
        </w:rPr>
      </w:pPr>
    </w:p>
    <w:p w:rsidR="00A370FF" w:rsidRPr="00563EF2" w:rsidRDefault="00A370FF" w:rsidP="00FD7676">
      <w:pPr>
        <w:pStyle w:val="Default"/>
        <w:spacing w:line="276" w:lineRule="auto"/>
        <w:jc w:val="both"/>
        <w:rPr>
          <w:rFonts w:asciiTheme="minorHAnsi" w:hAnsiTheme="minorHAnsi"/>
          <w:sz w:val="22"/>
          <w:szCs w:val="22"/>
        </w:rPr>
      </w:pPr>
      <w:r w:rsidRPr="00563EF2">
        <w:rPr>
          <w:rFonts w:asciiTheme="minorHAnsi" w:hAnsiTheme="minorHAnsi"/>
          <w:sz w:val="22"/>
          <w:szCs w:val="22"/>
        </w:rPr>
        <w:t xml:space="preserve">Kluczowym dokumentem z punktu widzenia kształtowania polityki miejskiej obok strategii rozwoju jest </w:t>
      </w:r>
      <w:r w:rsidRPr="00563EF2">
        <w:rPr>
          <w:rFonts w:asciiTheme="minorHAnsi" w:hAnsiTheme="minorHAnsi"/>
          <w:i/>
          <w:sz w:val="22"/>
          <w:szCs w:val="22"/>
        </w:rPr>
        <w:t>Studium uwarunkowań i kierunków zagospodarowania przestrzennego</w:t>
      </w:r>
      <w:r w:rsidRPr="00563EF2">
        <w:rPr>
          <w:rFonts w:asciiTheme="minorHAnsi" w:hAnsiTheme="minorHAnsi"/>
          <w:sz w:val="22"/>
          <w:szCs w:val="22"/>
        </w:rPr>
        <w:t xml:space="preserve">.  Cele i postanowienia </w:t>
      </w:r>
      <w:r w:rsidRPr="00563EF2">
        <w:rPr>
          <w:rFonts w:asciiTheme="minorHAnsi" w:hAnsiTheme="minorHAnsi"/>
          <w:i/>
          <w:sz w:val="22"/>
          <w:szCs w:val="22"/>
        </w:rPr>
        <w:t>Studium</w:t>
      </w:r>
      <w:r w:rsidRPr="00563EF2">
        <w:rPr>
          <w:rFonts w:asciiTheme="minorHAnsi" w:hAnsiTheme="minorHAnsi"/>
          <w:sz w:val="22"/>
          <w:szCs w:val="22"/>
        </w:rPr>
        <w:t xml:space="preserve"> określają bowiem ramy przestrzenne przyszłego rozwoju Miasta, warunkując w ten sposób możliwości kreowania i wdrażania programów oraz polityk strategiczno-planistycznych w granicach administracyjnych miasta.</w:t>
      </w:r>
    </w:p>
    <w:p w:rsidR="00A370FF" w:rsidRDefault="00A370FF" w:rsidP="00FD7676">
      <w:pPr>
        <w:pStyle w:val="Default"/>
        <w:spacing w:line="276" w:lineRule="auto"/>
        <w:jc w:val="both"/>
        <w:rPr>
          <w:rFonts w:asciiTheme="minorHAnsi" w:hAnsiTheme="minorHAnsi"/>
          <w:sz w:val="22"/>
          <w:szCs w:val="22"/>
        </w:rPr>
      </w:pPr>
    </w:p>
    <w:p w:rsidR="00A370FF" w:rsidRPr="001F4390" w:rsidRDefault="005D656E" w:rsidP="00A8787F">
      <w:pPr>
        <w:widowControl w:val="0"/>
        <w:autoSpaceDE w:val="0"/>
        <w:autoSpaceDN w:val="0"/>
        <w:adjustRightInd w:val="0"/>
        <w:rPr>
          <w:rFonts w:asciiTheme="minorHAnsi" w:hAnsiTheme="minorHAnsi" w:cs="Arial"/>
          <w:b/>
          <w:sz w:val="22"/>
        </w:rPr>
      </w:pPr>
      <w:r>
        <w:rPr>
          <w:rFonts w:asciiTheme="minorHAnsi" w:hAnsiTheme="minorHAnsi"/>
          <w:sz w:val="22"/>
        </w:rPr>
        <w:t xml:space="preserve">Obowiązujące do 2014 r. </w:t>
      </w:r>
      <w:r w:rsidRPr="005D656E">
        <w:rPr>
          <w:rFonts w:asciiTheme="minorHAnsi" w:hAnsiTheme="minorHAnsi"/>
          <w:i/>
          <w:sz w:val="22"/>
        </w:rPr>
        <w:t>Studium uwarunkowań i kierunków zagospodarowania przestrzennego</w:t>
      </w:r>
      <w:r>
        <w:rPr>
          <w:rFonts w:asciiTheme="minorHAnsi" w:hAnsiTheme="minorHAnsi"/>
          <w:sz w:val="22"/>
        </w:rPr>
        <w:t xml:space="preserve"> za cel główny rozwoju przestrzennego Legnicy wskazywało</w:t>
      </w:r>
      <w:r w:rsidRPr="005D656E">
        <w:rPr>
          <w:rFonts w:asciiTheme="minorHAnsi" w:hAnsiTheme="minorHAnsi"/>
          <w:sz w:val="22"/>
        </w:rPr>
        <w:t xml:space="preserve">: </w:t>
      </w:r>
      <w:r>
        <w:rPr>
          <w:rFonts w:asciiTheme="minorHAnsi" w:hAnsiTheme="minorHAnsi"/>
          <w:sz w:val="22"/>
        </w:rPr>
        <w:t>„</w:t>
      </w:r>
      <w:r w:rsidRPr="005D656E">
        <w:rPr>
          <w:rFonts w:asciiTheme="minorHAnsi" w:hAnsiTheme="minorHAnsi" w:cs="Arial"/>
          <w:bCs/>
          <w:sz w:val="22"/>
        </w:rPr>
        <w:t>wzmocnienie pozycji Legnicy jako ośrodka miejskiego o znaczeniu regionalnym w</w:t>
      </w:r>
      <w:r w:rsidRPr="005D656E">
        <w:rPr>
          <w:rFonts w:asciiTheme="minorHAnsi" w:eastAsia="MS Gothic" w:hAnsiTheme="minorHAnsi"/>
          <w:bCs/>
          <w:sz w:val="22"/>
        </w:rPr>
        <w:t> </w:t>
      </w:r>
      <w:r w:rsidRPr="005D656E">
        <w:rPr>
          <w:rFonts w:asciiTheme="minorHAnsi" w:hAnsiTheme="minorHAnsi" w:cs="Arial"/>
          <w:bCs/>
          <w:sz w:val="22"/>
        </w:rPr>
        <w:t>województwie dolnośląskim</w:t>
      </w:r>
      <w:r>
        <w:rPr>
          <w:rFonts w:asciiTheme="minorHAnsi" w:hAnsiTheme="minorHAnsi" w:cs="Arial"/>
          <w:bCs/>
          <w:sz w:val="22"/>
        </w:rPr>
        <w:t>”</w:t>
      </w:r>
      <w:r w:rsidRPr="005D656E">
        <w:rPr>
          <w:rFonts w:asciiTheme="minorHAnsi" w:hAnsiTheme="minorHAnsi" w:cs="Arial"/>
          <w:sz w:val="22"/>
        </w:rPr>
        <w:t>.</w:t>
      </w:r>
      <w:r>
        <w:rPr>
          <w:rFonts w:asciiTheme="minorHAnsi" w:hAnsiTheme="minorHAnsi" w:cs="Arial"/>
          <w:sz w:val="22"/>
        </w:rPr>
        <w:t xml:space="preserve"> </w:t>
      </w:r>
      <w:r>
        <w:rPr>
          <w:rFonts w:asciiTheme="minorHAnsi" w:hAnsiTheme="minorHAnsi"/>
          <w:sz w:val="22"/>
        </w:rPr>
        <w:t>Cel główny</w:t>
      </w:r>
      <w:r w:rsidR="00A370FF" w:rsidRPr="00563EF2">
        <w:rPr>
          <w:rFonts w:asciiTheme="minorHAnsi" w:hAnsiTheme="minorHAnsi"/>
          <w:sz w:val="22"/>
        </w:rPr>
        <w:t xml:space="preserve"> polityki przestr</w:t>
      </w:r>
      <w:r>
        <w:rPr>
          <w:rFonts w:asciiTheme="minorHAnsi" w:hAnsiTheme="minorHAnsi"/>
          <w:sz w:val="22"/>
        </w:rPr>
        <w:t>zennej Miasta Legnicy określony</w:t>
      </w:r>
      <w:r w:rsidR="00A370FF" w:rsidRPr="00563EF2">
        <w:rPr>
          <w:rFonts w:asciiTheme="minorHAnsi" w:hAnsiTheme="minorHAnsi"/>
          <w:sz w:val="22"/>
        </w:rPr>
        <w:t xml:space="preserve"> w</w:t>
      </w:r>
      <w:r>
        <w:rPr>
          <w:rFonts w:asciiTheme="minorHAnsi" w:hAnsiTheme="minorHAnsi"/>
          <w:sz w:val="22"/>
        </w:rPr>
        <w:t xml:space="preserve"> nowym projekcie</w:t>
      </w:r>
      <w:r w:rsidR="00A370FF" w:rsidRPr="00563EF2">
        <w:rPr>
          <w:rFonts w:asciiTheme="minorHAnsi" w:hAnsiTheme="minorHAnsi"/>
          <w:sz w:val="22"/>
        </w:rPr>
        <w:t xml:space="preserve"> </w:t>
      </w:r>
      <w:r w:rsidR="00A370FF" w:rsidRPr="00563EF2">
        <w:rPr>
          <w:rFonts w:asciiTheme="minorHAnsi" w:hAnsiTheme="minorHAnsi"/>
          <w:i/>
          <w:sz w:val="22"/>
        </w:rPr>
        <w:t>Studium</w:t>
      </w:r>
      <w:r>
        <w:rPr>
          <w:rFonts w:asciiTheme="minorHAnsi" w:hAnsiTheme="minorHAnsi"/>
          <w:sz w:val="22"/>
        </w:rPr>
        <w:t xml:space="preserve"> stanowi jego</w:t>
      </w:r>
      <w:r w:rsidR="001F4390">
        <w:rPr>
          <w:rFonts w:asciiTheme="minorHAnsi" w:hAnsiTheme="minorHAnsi"/>
          <w:sz w:val="22"/>
        </w:rPr>
        <w:t xml:space="preserve"> nieco zmodyfikowaną</w:t>
      </w:r>
      <w:r>
        <w:rPr>
          <w:rFonts w:asciiTheme="minorHAnsi" w:hAnsiTheme="minorHAnsi"/>
          <w:sz w:val="22"/>
        </w:rPr>
        <w:t xml:space="preserve"> kontynuację,</w:t>
      </w:r>
      <w:r w:rsidR="001F4390">
        <w:rPr>
          <w:rFonts w:asciiTheme="minorHAnsi" w:hAnsiTheme="minorHAnsi"/>
          <w:sz w:val="22"/>
        </w:rPr>
        <w:t xml:space="preserve"> podkreślającą nadrzędną rolę celu jakim jest poprawa warunków życia legniczan w kreowaniu polityki miejskiej. Cel główny polityki przestrzennej </w:t>
      </w:r>
      <w:r w:rsidR="00A8787F">
        <w:rPr>
          <w:rFonts w:asciiTheme="minorHAnsi" w:hAnsiTheme="minorHAnsi"/>
          <w:sz w:val="22"/>
        </w:rPr>
        <w:t>obowiązującego</w:t>
      </w:r>
      <w:r w:rsidR="001F4390">
        <w:rPr>
          <w:rFonts w:asciiTheme="minorHAnsi" w:hAnsiTheme="minorHAnsi"/>
          <w:sz w:val="22"/>
        </w:rPr>
        <w:t xml:space="preserve"> </w:t>
      </w:r>
      <w:r w:rsidR="001F4390" w:rsidRPr="001F4390">
        <w:rPr>
          <w:rFonts w:asciiTheme="minorHAnsi" w:hAnsiTheme="minorHAnsi"/>
          <w:i/>
          <w:sz w:val="22"/>
        </w:rPr>
        <w:t>Studium</w:t>
      </w:r>
      <w:r w:rsidR="001F4390">
        <w:rPr>
          <w:rFonts w:asciiTheme="minorHAnsi" w:hAnsiTheme="minorHAnsi"/>
          <w:sz w:val="22"/>
        </w:rPr>
        <w:t xml:space="preserve"> brzmi następująco: </w:t>
      </w:r>
      <w:r w:rsidR="00A370FF" w:rsidRPr="001F4390">
        <w:rPr>
          <w:rFonts w:asciiTheme="minorHAnsi" w:hAnsiTheme="minorHAnsi"/>
          <w:b/>
          <w:sz w:val="22"/>
        </w:rPr>
        <w:t>„zrównoważona struktura przestrzenna miasta, sprzyjająca wzmocnieniu pozycji Legnicy jako ośrodka regionalnego oraz poprawie warunków życia mieszkańców”.</w:t>
      </w:r>
    </w:p>
    <w:p w:rsidR="00A370FF" w:rsidRPr="00563EF2" w:rsidRDefault="00A370FF" w:rsidP="00FD7676">
      <w:pPr>
        <w:rPr>
          <w:rFonts w:asciiTheme="minorHAnsi" w:hAnsiTheme="minorHAnsi"/>
          <w:sz w:val="22"/>
        </w:rPr>
      </w:pPr>
    </w:p>
    <w:p w:rsidR="00A370FF" w:rsidRPr="00563EF2" w:rsidRDefault="00E22D17" w:rsidP="00FD7676">
      <w:pPr>
        <w:rPr>
          <w:rFonts w:asciiTheme="minorHAnsi" w:hAnsiTheme="minorHAnsi"/>
          <w:sz w:val="22"/>
        </w:rPr>
      </w:pPr>
      <w:r>
        <w:rPr>
          <w:rFonts w:asciiTheme="minorHAnsi" w:hAnsiTheme="minorHAnsi"/>
          <w:sz w:val="22"/>
        </w:rPr>
        <w:t>Warunkiem realizacji</w:t>
      </w:r>
      <w:r w:rsidR="00A370FF" w:rsidRPr="00563EF2">
        <w:rPr>
          <w:rFonts w:asciiTheme="minorHAnsi" w:hAnsiTheme="minorHAnsi"/>
          <w:sz w:val="22"/>
        </w:rPr>
        <w:t xml:space="preserve"> celu</w:t>
      </w:r>
      <w:r>
        <w:rPr>
          <w:rFonts w:asciiTheme="minorHAnsi" w:hAnsiTheme="minorHAnsi"/>
          <w:sz w:val="22"/>
        </w:rPr>
        <w:t xml:space="preserve"> głównego</w:t>
      </w:r>
      <w:r w:rsidR="00A370FF" w:rsidRPr="00563EF2">
        <w:rPr>
          <w:rFonts w:asciiTheme="minorHAnsi" w:hAnsiTheme="minorHAnsi"/>
          <w:sz w:val="22"/>
        </w:rPr>
        <w:t xml:space="preserve"> jest spełnienie pięciu celów cząstkowych, takich jak: </w:t>
      </w:r>
    </w:p>
    <w:p w:rsidR="00A370FF" w:rsidRPr="00563EF2" w:rsidRDefault="00A370FF" w:rsidP="00BC166D">
      <w:pPr>
        <w:pStyle w:val="Akapitzlist"/>
        <w:numPr>
          <w:ilvl w:val="0"/>
          <w:numId w:val="26"/>
        </w:numPr>
        <w:rPr>
          <w:rFonts w:asciiTheme="minorHAnsi" w:hAnsiTheme="minorHAnsi"/>
          <w:sz w:val="22"/>
        </w:rPr>
      </w:pPr>
      <w:r w:rsidRPr="00563EF2">
        <w:rPr>
          <w:rFonts w:asciiTheme="minorHAnsi" w:hAnsiTheme="minorHAnsi"/>
          <w:sz w:val="22"/>
        </w:rPr>
        <w:t>Wysoka jakość środowiska miejskiego, kształtująca korzystny wizerunek Legnicy;</w:t>
      </w:r>
    </w:p>
    <w:p w:rsidR="00A370FF" w:rsidRPr="00563EF2" w:rsidRDefault="00A370FF" w:rsidP="00BC166D">
      <w:pPr>
        <w:pStyle w:val="Akapitzlist"/>
        <w:numPr>
          <w:ilvl w:val="0"/>
          <w:numId w:val="26"/>
        </w:numPr>
        <w:rPr>
          <w:rFonts w:asciiTheme="minorHAnsi" w:hAnsiTheme="minorHAnsi"/>
          <w:sz w:val="22"/>
        </w:rPr>
      </w:pPr>
      <w:r w:rsidRPr="00563EF2">
        <w:rPr>
          <w:rFonts w:asciiTheme="minorHAnsi" w:hAnsiTheme="minorHAnsi"/>
          <w:sz w:val="22"/>
        </w:rPr>
        <w:t>Rozbudowa układu komunikacyjnego miasta;</w:t>
      </w:r>
    </w:p>
    <w:p w:rsidR="00A370FF" w:rsidRPr="00563EF2" w:rsidRDefault="00A370FF" w:rsidP="00BC166D">
      <w:pPr>
        <w:pStyle w:val="Akapitzlist"/>
        <w:numPr>
          <w:ilvl w:val="0"/>
          <w:numId w:val="26"/>
        </w:numPr>
        <w:rPr>
          <w:rFonts w:asciiTheme="minorHAnsi" w:hAnsiTheme="minorHAnsi"/>
          <w:sz w:val="22"/>
        </w:rPr>
      </w:pPr>
      <w:r w:rsidRPr="00563EF2">
        <w:rPr>
          <w:rFonts w:asciiTheme="minorHAnsi" w:hAnsiTheme="minorHAnsi"/>
          <w:sz w:val="22"/>
        </w:rPr>
        <w:t>Rozwój i zróżnicowanie bazy ekonomicznej miasta;</w:t>
      </w:r>
    </w:p>
    <w:p w:rsidR="00A370FF" w:rsidRPr="00563EF2" w:rsidRDefault="00A370FF" w:rsidP="00BC166D">
      <w:pPr>
        <w:pStyle w:val="Akapitzlist"/>
        <w:numPr>
          <w:ilvl w:val="0"/>
          <w:numId w:val="26"/>
        </w:numPr>
        <w:rPr>
          <w:rFonts w:asciiTheme="minorHAnsi" w:hAnsiTheme="minorHAnsi"/>
          <w:sz w:val="22"/>
        </w:rPr>
      </w:pPr>
      <w:r w:rsidRPr="00563EF2">
        <w:rPr>
          <w:rFonts w:asciiTheme="minorHAnsi" w:hAnsiTheme="minorHAnsi"/>
          <w:sz w:val="22"/>
        </w:rPr>
        <w:t>Tworzenie równych szans zaspokojenia podstawowych potrzeb społecznych;</w:t>
      </w:r>
    </w:p>
    <w:p w:rsidR="00A370FF" w:rsidRPr="00563EF2" w:rsidRDefault="00A370FF" w:rsidP="00BC166D">
      <w:pPr>
        <w:pStyle w:val="Akapitzlist"/>
        <w:numPr>
          <w:ilvl w:val="0"/>
          <w:numId w:val="26"/>
        </w:numPr>
        <w:rPr>
          <w:rFonts w:asciiTheme="minorHAnsi" w:hAnsiTheme="minorHAnsi"/>
          <w:sz w:val="22"/>
        </w:rPr>
      </w:pPr>
      <w:r w:rsidRPr="00563EF2">
        <w:rPr>
          <w:rFonts w:asciiTheme="minorHAnsi" w:hAnsiTheme="minorHAnsi"/>
          <w:sz w:val="22"/>
        </w:rPr>
        <w:t>Ugruntowanie trwałych warunków zrównoważonego rozwoju miasta.</w:t>
      </w:r>
    </w:p>
    <w:p w:rsidR="00A370FF" w:rsidRPr="00563EF2" w:rsidRDefault="00A370FF" w:rsidP="00FD7676">
      <w:pPr>
        <w:pStyle w:val="Akapitzlist"/>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Realizacja celów polityki przestrzennej miasta ma być prowadzona przy uwzględnieniu jej podstawowych zasad</w:t>
      </w:r>
      <w:r w:rsidRPr="00563EF2">
        <w:rPr>
          <w:rFonts w:asciiTheme="minorHAnsi" w:hAnsiTheme="minorHAnsi"/>
          <w:i/>
          <w:sz w:val="22"/>
        </w:rPr>
        <w:t>. Studium uwarunkowań i kierunków zagospodarowania przestrzennego</w:t>
      </w:r>
      <w:r w:rsidRPr="00563EF2">
        <w:rPr>
          <w:rFonts w:asciiTheme="minorHAnsi" w:hAnsiTheme="minorHAnsi"/>
          <w:sz w:val="22"/>
        </w:rPr>
        <w:t xml:space="preserve"> określa następujące zasady kształtowania polityki przestrzennej w najbliższych latach:</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Dążenie do odtworzenia historycznej struktury przestrzennej i dostosowanie do niej nowej zabudowy w obrębie Starego Miasta, realizowane poprzez rekonst</w:t>
      </w:r>
      <w:r w:rsidR="00DC0EF7">
        <w:rPr>
          <w:rFonts w:asciiTheme="minorHAnsi" w:hAnsiTheme="minorHAnsi"/>
          <w:sz w:val="22"/>
        </w:rPr>
        <w:t>rukcję i rewitalizację Starówki;</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Zrównoważenie kierunków rozwoju układu urbanistycznego miasta poprzez tworzenie przeciwwagi dla dominującego w ubiegłych latach wschodniego kierunku rozwoju Legnicy, przyczyniającego się do deformacji modelowego kształtu układu urbanistycznego. Realizacji  tego celu ma służyć ekspansja w kierunku zachodnim i południowym poprzez utworzenie pasma rozwojowego w rejonach ulicy Jaworzyńskiej oraz na linii ulic Chojnowskiej i Lotniczej, a także, w dalszej perspektywie, poprzez ekspansję zainwestowania miejskiego na tereny położone na zachód od linii kolejowej Legnica-Złotoryja (z możliwym poszerzeniem granic administracyjnych Legnicy w rejonie Ulesia);</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Utrzymanie zwartości układu urbanistycznego;</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Konsekwentna realizacja reprezentacyjnej przestrzeni publicznej Miasta (ul. Najświętszej Marii Panny – Rynek)</w:t>
      </w:r>
      <w:r w:rsidR="00DC0EF7">
        <w:rPr>
          <w:rFonts w:asciiTheme="minorHAnsi" w:hAnsiTheme="minorHAnsi"/>
          <w:sz w:val="22"/>
        </w:rPr>
        <w:t>;</w:t>
      </w:r>
      <w:r w:rsidRPr="00563EF2">
        <w:rPr>
          <w:rFonts w:asciiTheme="minorHAnsi" w:hAnsiTheme="minorHAnsi"/>
          <w:sz w:val="22"/>
        </w:rPr>
        <w:t xml:space="preserve"> </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Zahamowanie procesów urbanistycznej i socjalnej degradacji Kartuz, rejonu ul. Henryka Pobożnego, a także wsi leżących w administracyjnych granicach miasta: Starych Piekar, Piątnicy, Piekar Wielkich i Przybkowa poprzez rewitalizację i przekształcenia istniejącej zabudowy (w rejonie ul. H. Pobożnego i zachodniej części Kartuz ukierunkowanych na rozwój funkcji śródmiejskich);</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Tworzenie warunków do kształtowania się tożsamości społeczności lokalnych poprzez kreację lokalnych centrów (ośrodków) usługowych oraz rewitalizację i kreację przestrzeni publicznych w dzielnicach peryferyjnych;</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Harmonijne włączenie do organizmu miejskiego dotychczas niezagospodarowanych terenów powojskowych oraz twórczą kontynuację realizacji dzielnic miasta (w szczególności południowo-wschodniej i południowej części Tarninowa);</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Dokończenie realizacji układu urbanistycznego zespołu osiedli mieszkaniowych i ośrodków usługowych w rejonie Piekar;</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Efektywne wykorzystanie możliwości rozwojowych tkwiących w terenach w rejonie węzła autostrady A4, Legnickiej Specjalnej Strefy Ekonomicznej, Strefy Aktywności Gospodarczej oraz lotniska, przy dążeniu do aktywizacji jego funkcji komunikacyjnej;</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Tworzenie powiązań międzydzielnicowych z ominięciem centralnego obszaru miasta (ulica zbiorcza południowa, rozwój układu dróg w północnej części miasta);</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Kreacja nowoczesnego centrum komunikacyjno-usługowego w rejon</w:t>
      </w:r>
      <w:r w:rsidR="00A8787F">
        <w:rPr>
          <w:rFonts w:asciiTheme="minorHAnsi" w:hAnsiTheme="minorHAnsi"/>
          <w:sz w:val="22"/>
        </w:rPr>
        <w:t>ie dworca kolejowego i </w:t>
      </w:r>
      <w:r w:rsidRPr="00563EF2">
        <w:rPr>
          <w:rFonts w:asciiTheme="minorHAnsi" w:hAnsiTheme="minorHAnsi"/>
          <w:sz w:val="22"/>
        </w:rPr>
        <w:t>autobusowego z wykorzystaniem części terenów kolejowych;</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Zachowanie i wzmocnienie ciągłości przestrzennej systemu terenów otwartych oraz wzbogacenie oferty jakościowej i ilościowej możliwości rekreacji i rozrywki;</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Rekultywacja dawnej strefy ochronnej Huty Miedzi „Legnica” i terenów z nią graniczących;</w:t>
      </w:r>
    </w:p>
    <w:p w:rsidR="00A370FF" w:rsidRPr="00563EF2" w:rsidRDefault="00A370FF" w:rsidP="00BC166D">
      <w:pPr>
        <w:pStyle w:val="Akapitzlist"/>
        <w:numPr>
          <w:ilvl w:val="0"/>
          <w:numId w:val="27"/>
        </w:numPr>
        <w:rPr>
          <w:rFonts w:asciiTheme="minorHAnsi" w:hAnsiTheme="minorHAnsi"/>
          <w:sz w:val="22"/>
        </w:rPr>
      </w:pPr>
      <w:r w:rsidRPr="00563EF2">
        <w:rPr>
          <w:rFonts w:asciiTheme="minorHAnsi" w:hAnsiTheme="minorHAnsi"/>
          <w:sz w:val="22"/>
        </w:rPr>
        <w:t>Zapewnienie sprawnego funkcjonowania infrastruktury komunalnej.</w:t>
      </w:r>
    </w:p>
    <w:p w:rsidR="005D656E" w:rsidRPr="00A317BF" w:rsidRDefault="005D656E" w:rsidP="00A317BF">
      <w:pPr>
        <w:rPr>
          <w:rFonts w:asciiTheme="minorHAnsi" w:hAnsiTheme="minorHAnsi"/>
          <w:sz w:val="22"/>
        </w:rPr>
      </w:pPr>
    </w:p>
    <w:p w:rsidR="00A370FF" w:rsidRPr="00563EF2" w:rsidRDefault="00A370FF" w:rsidP="00FD7676">
      <w:pPr>
        <w:rPr>
          <w:rFonts w:asciiTheme="minorHAnsi" w:hAnsiTheme="minorHAnsi"/>
          <w:sz w:val="22"/>
        </w:rPr>
      </w:pPr>
      <w:r w:rsidRPr="00563EF2">
        <w:rPr>
          <w:rFonts w:asciiTheme="minorHAnsi" w:hAnsiTheme="minorHAnsi"/>
          <w:sz w:val="22"/>
        </w:rPr>
        <w:t xml:space="preserve">Uwarunkowania przestrzenne dotyczące poszczególnych sfer polityki miejskiej zostaną szerzej przedstawione w dalszych fragmentach diagnozy.  </w:t>
      </w:r>
    </w:p>
    <w:p w:rsidR="00A370FF" w:rsidRPr="00563EF2" w:rsidRDefault="00A370FF" w:rsidP="00FD7676">
      <w:pPr>
        <w:rPr>
          <w:rFonts w:asciiTheme="minorHAnsi" w:eastAsiaTheme="majorEastAsia" w:hAnsiTheme="minorHAnsi" w:cstheme="majorBidi"/>
          <w:color w:val="2E74B5" w:themeColor="accent1" w:themeShade="BF"/>
          <w:sz w:val="22"/>
        </w:rPr>
      </w:pPr>
    </w:p>
    <w:p w:rsidR="00A370FF" w:rsidRPr="00563EF2" w:rsidRDefault="001A123D" w:rsidP="00FD7676">
      <w:pPr>
        <w:rPr>
          <w:rFonts w:asciiTheme="minorHAnsi" w:eastAsiaTheme="majorEastAsia" w:hAnsiTheme="minorHAnsi" w:cstheme="majorBidi"/>
          <w:color w:val="000000" w:themeColor="text1"/>
          <w:sz w:val="22"/>
        </w:rPr>
      </w:pPr>
      <w:r>
        <w:rPr>
          <w:rFonts w:asciiTheme="minorHAnsi" w:hAnsiTheme="minorHAnsi"/>
          <w:noProof/>
          <w:color w:val="000000" w:themeColor="text1"/>
          <w:sz w:val="22"/>
          <w:lang w:eastAsia="pl-PL"/>
        </w:rPr>
        <mc:AlternateContent>
          <mc:Choice Requires="wps">
            <w:drawing>
              <wp:anchor distT="0" distB="0" distL="114300" distR="114300" simplePos="0" relativeHeight="251665408" behindDoc="0" locked="0" layoutInCell="1" allowOverlap="1" wp14:anchorId="13E6E236" wp14:editId="1B80F56E">
                <wp:simplePos x="0" y="0"/>
                <wp:positionH relativeFrom="column">
                  <wp:posOffset>0</wp:posOffset>
                </wp:positionH>
                <wp:positionV relativeFrom="paragraph">
                  <wp:posOffset>196215</wp:posOffset>
                </wp:positionV>
                <wp:extent cx="5770245" cy="5401310"/>
                <wp:effectExtent l="13970" t="7620" r="6985" b="10795"/>
                <wp:wrapSquare wrapText="bothSides"/>
                <wp:docPr id="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401310"/>
                        </a:xfrm>
                        <a:prstGeom prst="rect">
                          <a:avLst/>
                        </a:prstGeom>
                        <a:solidFill>
                          <a:schemeClr val="accent1">
                            <a:lumMod val="75000"/>
                            <a:lumOff val="0"/>
                          </a:schemeClr>
                        </a:solidFill>
                        <a:ln w="9525">
                          <a:solidFill>
                            <a:srgbClr val="000000"/>
                          </a:solidFill>
                          <a:miter lim="800000"/>
                          <a:headEnd/>
                          <a:tailEnd/>
                        </a:ln>
                      </wps:spPr>
                      <wps:txbx>
                        <w:txbxContent>
                          <w:p w:rsidR="00A469F2" w:rsidRPr="00CD51E9" w:rsidRDefault="00A469F2" w:rsidP="00EF3762">
                            <w:pPr>
                              <w:rPr>
                                <w:rFonts w:asciiTheme="minorHAnsi" w:hAnsiTheme="minorHAnsi"/>
                                <w:b/>
                                <w:color w:val="FFFFFF" w:themeColor="background1"/>
                                <w:sz w:val="22"/>
                              </w:rPr>
                            </w:pPr>
                            <w:r w:rsidRPr="00CD51E9">
                              <w:rPr>
                                <w:rFonts w:asciiTheme="minorHAnsi" w:hAnsiTheme="minorHAnsi"/>
                                <w:b/>
                                <w:color w:val="FFFFFF" w:themeColor="background1"/>
                                <w:sz w:val="22"/>
                              </w:rPr>
                              <w:t xml:space="preserve">Podsumowanie </w:t>
                            </w:r>
                          </w:p>
                          <w:p w:rsidR="00A469F2" w:rsidRDefault="00A469F2" w:rsidP="00EF3762">
                            <w:pPr>
                              <w:rPr>
                                <w:rFonts w:asciiTheme="minorHAnsi" w:hAnsiTheme="minorHAnsi"/>
                                <w:sz w:val="22"/>
                              </w:rPr>
                            </w:pPr>
                          </w:p>
                          <w:p w:rsidR="00A469F2" w:rsidRPr="00BE1F44" w:rsidRDefault="00A469F2" w:rsidP="00EF3762">
                            <w:pPr>
                              <w:rPr>
                                <w:rFonts w:asciiTheme="minorHAnsi" w:hAnsiTheme="minorHAnsi"/>
                                <w:color w:val="FFFFFF" w:themeColor="background1"/>
                                <w:sz w:val="22"/>
                              </w:rPr>
                            </w:pPr>
                            <w:r w:rsidRPr="00BE1F44">
                              <w:rPr>
                                <w:rFonts w:asciiTheme="minorHAnsi" w:hAnsiTheme="minorHAnsi"/>
                                <w:color w:val="FFFFFF" w:themeColor="background1"/>
                                <w:sz w:val="22"/>
                              </w:rPr>
                              <w:t>Na każdym ze szczebli planowania przestrzennego rola Legnicy ukazywana jest w szerszej perspektywie, aniżeli tylko polityki miejskiej. Legnica stanowi centrum Obszaru Funkcjonalnego, jej powiązania z miejscowościami i gminami ją okalającymi polega</w:t>
                            </w:r>
                            <w:r>
                              <w:rPr>
                                <w:rFonts w:asciiTheme="minorHAnsi" w:hAnsiTheme="minorHAnsi"/>
                                <w:color w:val="FFFFFF" w:themeColor="background1"/>
                                <w:sz w:val="22"/>
                              </w:rPr>
                              <w:t>ją na wzajemnym oddziaływaniu i </w:t>
                            </w:r>
                            <w:r w:rsidRPr="00BE1F44">
                              <w:rPr>
                                <w:rFonts w:asciiTheme="minorHAnsi" w:hAnsiTheme="minorHAnsi"/>
                                <w:color w:val="FFFFFF" w:themeColor="background1"/>
                                <w:sz w:val="22"/>
                              </w:rPr>
                              <w:t>uzupełnianiu f</w:t>
                            </w:r>
                            <w:r>
                              <w:rPr>
                                <w:rFonts w:asciiTheme="minorHAnsi" w:hAnsiTheme="minorHAnsi"/>
                                <w:color w:val="FFFFFF" w:themeColor="background1"/>
                                <w:sz w:val="22"/>
                              </w:rPr>
                              <w:t xml:space="preserve">unkcji społeczno-gospodarczych. </w:t>
                            </w:r>
                            <w:r w:rsidRPr="00BE1F44">
                              <w:rPr>
                                <w:rFonts w:asciiTheme="minorHAnsi" w:hAnsiTheme="minorHAnsi"/>
                                <w:color w:val="FFFFFF" w:themeColor="background1"/>
                                <w:sz w:val="22"/>
                              </w:rPr>
                              <w:t>Miejscowości okalające Legnicę stanowią zaplecze mieszkalne, rekreacyjne i rozwojowe Miasta (przez ich teren przebiegają ważne obwodnice i szlaki komunikacyjne odciążające ruch drogowy w Legnicy,  tworzone są nowe tereny mieszkaniowe, itp.). Miasto Legnica stanowi natomiast centrum społeczno-gospodarcze, dzięki czemu mieszkańcy okolicznych gmin uzyskują łatwy dostęp do szeroko pojętej infrastruktury społeczno-kulturowej, usług i miejsc pracy. Dostęp sąsiednich gmin do miejskiej infrastruktury technicznej oraz oferty legnickich spółek komunalnych pozwala im na zwiększenie jakości i zasięgu świadczonych usług (głównie w zakresie wodno-kanalizacyjnym i gospodarki odpadami).</w:t>
                            </w:r>
                          </w:p>
                          <w:p w:rsidR="00A469F2" w:rsidRPr="00BE1F44" w:rsidRDefault="00A469F2" w:rsidP="00EF3762">
                            <w:pPr>
                              <w:rPr>
                                <w:rFonts w:asciiTheme="minorHAnsi" w:hAnsiTheme="minorHAnsi"/>
                                <w:color w:val="FFFFFF" w:themeColor="background1"/>
                                <w:sz w:val="22"/>
                              </w:rPr>
                            </w:pPr>
                          </w:p>
                          <w:p w:rsidR="00A469F2" w:rsidRDefault="00A469F2" w:rsidP="00EF3762">
                            <w:pPr>
                              <w:rPr>
                                <w:rFonts w:asciiTheme="minorHAnsi" w:hAnsiTheme="minorHAnsi"/>
                                <w:color w:val="FFFFFF" w:themeColor="background1"/>
                                <w:sz w:val="22"/>
                              </w:rPr>
                            </w:pPr>
                            <w:r w:rsidRPr="00BE1F44">
                              <w:rPr>
                                <w:rFonts w:asciiTheme="minorHAnsi" w:hAnsiTheme="minorHAnsi"/>
                                <w:color w:val="FFFFFF" w:themeColor="background1"/>
                                <w:sz w:val="22"/>
                              </w:rPr>
                              <w:t>Zasięg oddziaływania Legnicy, a zwłaszcza jej oferty usług niekomercyjnych, jak opieka zdrowotna, kultura, nauka i szkolnictwo wyższe wykracza poza sferę lokalną i ma wymiar regionalny. Dobre powiązania komunikacyjne sprawiają, że obszar w zasięgu 30 m</w:t>
                            </w:r>
                            <w:r>
                              <w:rPr>
                                <w:rFonts w:asciiTheme="minorHAnsi" w:hAnsiTheme="minorHAnsi"/>
                                <w:color w:val="FFFFFF" w:themeColor="background1"/>
                                <w:sz w:val="22"/>
                              </w:rPr>
                              <w:t>inut jazdy samochodem (ok. 1825 </w:t>
                            </w:r>
                            <w:r w:rsidRPr="00BE1F44">
                              <w:rPr>
                                <w:rFonts w:asciiTheme="minorHAnsi" w:hAnsiTheme="minorHAnsi"/>
                                <w:color w:val="FFFFFF" w:themeColor="background1"/>
                                <w:sz w:val="22"/>
                              </w:rPr>
                              <w:t>km</w:t>
                            </w:r>
                            <w:r w:rsidRPr="00BE1F44">
                              <w:rPr>
                                <w:rFonts w:asciiTheme="minorHAnsi" w:hAnsiTheme="minorHAnsi" w:cs="Times New Roman"/>
                                <w:color w:val="FFFFFF" w:themeColor="background1"/>
                                <w:sz w:val="22"/>
                              </w:rPr>
                              <w:t>²</w:t>
                            </w:r>
                            <w:r w:rsidRPr="00BE1F44">
                              <w:rPr>
                                <w:rFonts w:asciiTheme="minorHAnsi" w:hAnsiTheme="minorHAnsi"/>
                                <w:color w:val="FFFFFF" w:themeColor="background1"/>
                                <w:sz w:val="22"/>
                              </w:rPr>
                              <w:t xml:space="preserve">) zamieszkuje około 330 tys. osób. </w:t>
                            </w:r>
                          </w:p>
                          <w:p w:rsidR="00A469F2" w:rsidRDefault="00A469F2" w:rsidP="00EF3762">
                            <w:pPr>
                              <w:rPr>
                                <w:rFonts w:asciiTheme="minorHAnsi" w:hAnsiTheme="minorHAnsi"/>
                                <w:color w:val="FFFFFF" w:themeColor="background1"/>
                                <w:sz w:val="22"/>
                              </w:rPr>
                            </w:pPr>
                          </w:p>
                          <w:p w:rsidR="00A469F2" w:rsidRPr="00BE1F44" w:rsidRDefault="00A469F2" w:rsidP="00EF3762">
                            <w:pPr>
                              <w:rPr>
                                <w:rFonts w:asciiTheme="minorHAnsi" w:hAnsiTheme="minorHAnsi"/>
                                <w:color w:val="FFFFFF" w:themeColor="background1"/>
                                <w:sz w:val="22"/>
                              </w:rPr>
                            </w:pPr>
                            <w:r>
                              <w:rPr>
                                <w:rFonts w:asciiTheme="minorHAnsi" w:hAnsiTheme="minorHAnsi"/>
                                <w:color w:val="FFFFFF" w:themeColor="background1"/>
                                <w:sz w:val="22"/>
                              </w:rPr>
                              <w:t xml:space="preserve">Założenia dokumentów strategicznych, uwzględniających nową politykę finansową Unii Europejskiej na lata 2014-2020 jasno wskazują na potrzebę wdrażania zintegrowanych działań i projektów samorządów służących zrównoważonemu rozwojowi regionów. Legnica określona w dokumentach planistycznych jako ośrodek miejski o znaczeniu regionalnym, powinna kreować inicjatywy służące rozwojowi  Legnicko-Głogowskiego Obszaru Funkcjonalnego i umacniać pozycję lidera regionu, aby stać się równoważącym biegunem wzrostu gospodarczego i rozwoju społecznego województwa obok Wrocławia. </w:t>
                            </w:r>
                          </w:p>
                          <w:p w:rsidR="00A469F2" w:rsidRPr="00C701DF" w:rsidRDefault="00A469F2" w:rsidP="00EF3762">
                            <w:pPr>
                              <w:rPr>
                                <w:rFonts w:eastAsiaTheme="majorEastAsia" w:cstheme="majorBidi"/>
                                <w:color w:val="2E74B5" w:themeColor="accent1" w:themeShade="B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0;margin-top:15.45pt;width:454.35pt;height:425.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35TAIAAJIEAAAOAAAAZHJzL2Uyb0RvYy54bWysVNuO0zAQfUfiHyy/01xo6DZqulq6FCEt&#10;F2mXD3AcJ7HwTbbbpHw9YyctLbwhXiJ7ZnzmzJyZbO5HKdCRWce1qnC2SDFiiuqGq67C31/2b+4w&#10;cp6ohgitWIVPzOH77etXm8GULNe9Fg2zCECUKwdT4d57UyaJoz2TxC20YQqcrbaSeLjaLmksGQBd&#10;iiRP03fJoG1jrKbMObA+Tk68jfhty6j/2raOeSQqDNx8/Nr4rcM32W5I2Vliek5nGuQfWEjCFSS9&#10;QD0ST9DB8r+gJKdWO936BdUy0W3LKYs1QDVZ+kc1zz0xLNYCzXHm0ib3/2Dpl+M3i3hT4VWBkSIS&#10;NHpho0fv9YjWoT2DcSVEPRuI8yOYQeZYqjNPmv5wSOldT1THHqzVQ89IA/Sy8DK5ejrhuABSD591&#10;A2nIwesINLZWht5BNxCgg0ynizSBCgVjsVql+RIoUvAVyzR7m0XxElKenxvr/EemJQqHClvQPsKT&#10;45PzgQ4pzyEhm9OCN3suRLyEeWM7YdGRwKQQSpnyU5niIIHvZF8VaTrPDJhhsibzmUmc2oASk90k&#10;EAoNFV4XeTH17ia57epLakgw5wC+NxCSe1gVwWWF7y5BpAwd/6CaOMiecDGd4bFQswSh61P//ViP&#10;UewsP0tb6+YEolg9rQasMhx6bX9iNMBaVFjB3mIkPimQdZ0tl2GL4mVZrHK42GtPfe0higJQhT1G&#10;03Hnp807GMu7HvKcB+kBRmHPo0hhZiZOM3sY/NjOeUnDZl3fY9TvX8n2FwAAAP//AwBQSwMEFAAG&#10;AAgAAAAhACv79F/bAAAABwEAAA8AAABkcnMvZG93bnJldi54bWxMj0FOwzAQRfdI3MEaJHbULhWQ&#10;hjgVVMAOJAIHmMbTOG1sR/a0TW+PWcFy9L/ef1OtJjeII8XUB69hPlMgyLfB9L7T8P31elOASIze&#10;4BA8aThTglV9eVFhacLJf9Kx4U5kiE8larDMYyllai05TLMwks/ZNkSHnM/YSRPxlOFukLdK3UuH&#10;vc8LFkdaW2r3zcFlynv3FvnscNc3H7TgveWX9bPW11fT0yMIpon/yvCrn9Whzk6bcPAmiUFDfoQ1&#10;LNQSRE6XqngAsdFQFPM7kHUl//vXPwAAAP//AwBQSwECLQAUAAYACAAAACEAtoM4kv4AAADhAQAA&#10;EwAAAAAAAAAAAAAAAAAAAAAAW0NvbnRlbnRfVHlwZXNdLnhtbFBLAQItABQABgAIAAAAIQA4/SH/&#10;1gAAAJQBAAALAAAAAAAAAAAAAAAAAC8BAABfcmVscy8ucmVsc1BLAQItABQABgAIAAAAIQAxx235&#10;TAIAAJIEAAAOAAAAAAAAAAAAAAAAAC4CAABkcnMvZTJvRG9jLnhtbFBLAQItABQABgAIAAAAIQAr&#10;+/Rf2wAAAAcBAAAPAAAAAAAAAAAAAAAAAKYEAABkcnMvZG93bnJldi54bWxQSwUGAAAAAAQABADz&#10;AAAArgUAAAAA&#10;" fillcolor="#2e74b5 [2404]">
                <v:textbox style="mso-fit-shape-to-text:t">
                  <w:txbxContent>
                    <w:p w:rsidR="00960314" w:rsidRPr="00CD51E9" w:rsidRDefault="00960314" w:rsidP="00EF3762">
                      <w:pPr>
                        <w:rPr>
                          <w:rFonts w:asciiTheme="minorHAnsi" w:hAnsiTheme="minorHAnsi"/>
                          <w:b/>
                          <w:color w:val="FFFFFF" w:themeColor="background1"/>
                          <w:sz w:val="22"/>
                        </w:rPr>
                      </w:pPr>
                      <w:r w:rsidRPr="00CD51E9">
                        <w:rPr>
                          <w:rFonts w:asciiTheme="minorHAnsi" w:hAnsiTheme="minorHAnsi"/>
                          <w:b/>
                          <w:color w:val="FFFFFF" w:themeColor="background1"/>
                          <w:sz w:val="22"/>
                        </w:rPr>
                        <w:t xml:space="preserve">Podsumowanie </w:t>
                      </w:r>
                    </w:p>
                    <w:p w:rsidR="00960314" w:rsidRDefault="00960314" w:rsidP="00EF3762">
                      <w:pPr>
                        <w:rPr>
                          <w:rFonts w:asciiTheme="minorHAnsi" w:hAnsiTheme="minorHAnsi"/>
                          <w:sz w:val="22"/>
                        </w:rPr>
                      </w:pPr>
                    </w:p>
                    <w:p w:rsidR="00960314" w:rsidRPr="00BE1F44" w:rsidRDefault="00960314" w:rsidP="00EF3762">
                      <w:pPr>
                        <w:rPr>
                          <w:rFonts w:asciiTheme="minorHAnsi" w:hAnsiTheme="minorHAnsi"/>
                          <w:color w:val="FFFFFF" w:themeColor="background1"/>
                          <w:sz w:val="22"/>
                        </w:rPr>
                      </w:pPr>
                      <w:r w:rsidRPr="00BE1F44">
                        <w:rPr>
                          <w:rFonts w:asciiTheme="minorHAnsi" w:hAnsiTheme="minorHAnsi"/>
                          <w:color w:val="FFFFFF" w:themeColor="background1"/>
                          <w:sz w:val="22"/>
                        </w:rPr>
                        <w:t>Na każdym ze szczebli planowania przestrzennego rola Legnicy ukazywana jest w szerszej perspektywie, aniżeli tylko polityki miejskiej. Legnica stanowi centrum Obszaru Funkcjonalnego, jej powiązania z miejscowościami i gminami ją okalającymi polega</w:t>
                      </w:r>
                      <w:r>
                        <w:rPr>
                          <w:rFonts w:asciiTheme="minorHAnsi" w:hAnsiTheme="minorHAnsi"/>
                          <w:color w:val="FFFFFF" w:themeColor="background1"/>
                          <w:sz w:val="22"/>
                        </w:rPr>
                        <w:t>ją na wzajemnym oddziaływaniu i </w:t>
                      </w:r>
                      <w:r w:rsidRPr="00BE1F44">
                        <w:rPr>
                          <w:rFonts w:asciiTheme="minorHAnsi" w:hAnsiTheme="minorHAnsi"/>
                          <w:color w:val="FFFFFF" w:themeColor="background1"/>
                          <w:sz w:val="22"/>
                        </w:rPr>
                        <w:t>uzupełnianiu f</w:t>
                      </w:r>
                      <w:r>
                        <w:rPr>
                          <w:rFonts w:asciiTheme="minorHAnsi" w:hAnsiTheme="minorHAnsi"/>
                          <w:color w:val="FFFFFF" w:themeColor="background1"/>
                          <w:sz w:val="22"/>
                        </w:rPr>
                        <w:t xml:space="preserve">unkcji społeczno-gospodarczych. </w:t>
                      </w:r>
                      <w:r w:rsidRPr="00BE1F44">
                        <w:rPr>
                          <w:rFonts w:asciiTheme="minorHAnsi" w:hAnsiTheme="minorHAnsi"/>
                          <w:color w:val="FFFFFF" w:themeColor="background1"/>
                          <w:sz w:val="22"/>
                        </w:rPr>
                        <w:t>Miejscowości okalające Legnicę stanowią zaplecze mieszkalne, rekreacyjne i rozwojowe Miasta (przez ich teren przebiegają ważne obwodnice i szlaki komunikacyjne odciążające ruch drogowy w Legnicy,  tworzone są nowe tereny mieszkaniowe, itp.). Miasto Legnica stanowi natomiast centrum społeczno-gospodarcze, dzięki czemu mieszkańcy okolicznych gmin uzyskują łatwy dostęp do szeroko pojętej infrastruktury społeczno-kulturowej, usług i miejsc pracy. Dostęp sąsiednich gmin do miejskiej infrastruktury technicznej oraz oferty legnickich spółek komunalnych pozwala im na zwiększenie jakości i zasięgu świadczonych usług (głównie w zakresie wodno-kanalizacyjnym i gospodarki odpadami).</w:t>
                      </w:r>
                    </w:p>
                    <w:p w:rsidR="00960314" w:rsidRPr="00BE1F44" w:rsidRDefault="00960314" w:rsidP="00EF3762">
                      <w:pPr>
                        <w:rPr>
                          <w:rFonts w:asciiTheme="minorHAnsi" w:hAnsiTheme="minorHAnsi"/>
                          <w:color w:val="FFFFFF" w:themeColor="background1"/>
                          <w:sz w:val="22"/>
                        </w:rPr>
                      </w:pPr>
                    </w:p>
                    <w:p w:rsidR="00960314" w:rsidRDefault="00960314" w:rsidP="00EF3762">
                      <w:pPr>
                        <w:rPr>
                          <w:rFonts w:asciiTheme="minorHAnsi" w:hAnsiTheme="minorHAnsi"/>
                          <w:color w:val="FFFFFF" w:themeColor="background1"/>
                          <w:sz w:val="22"/>
                        </w:rPr>
                      </w:pPr>
                      <w:r w:rsidRPr="00BE1F44">
                        <w:rPr>
                          <w:rFonts w:asciiTheme="minorHAnsi" w:hAnsiTheme="minorHAnsi"/>
                          <w:color w:val="FFFFFF" w:themeColor="background1"/>
                          <w:sz w:val="22"/>
                        </w:rPr>
                        <w:t>Zasięg oddziaływania Legnicy, a zwłaszcza jej oferty usług niekomercyjnych, jak opieka zdrowotna, kultura, nauka i szkolnictwo wyższe wykracza poza sferę lokalną i ma wymiar regionalny. Dobre powiązania komunikacyjne sprawiają, że obszar w zasięgu 30 m</w:t>
                      </w:r>
                      <w:r>
                        <w:rPr>
                          <w:rFonts w:asciiTheme="minorHAnsi" w:hAnsiTheme="minorHAnsi"/>
                          <w:color w:val="FFFFFF" w:themeColor="background1"/>
                          <w:sz w:val="22"/>
                        </w:rPr>
                        <w:t>inut jazdy samochodem (ok. 1825 </w:t>
                      </w:r>
                      <w:r w:rsidRPr="00BE1F44">
                        <w:rPr>
                          <w:rFonts w:asciiTheme="minorHAnsi" w:hAnsiTheme="minorHAnsi"/>
                          <w:color w:val="FFFFFF" w:themeColor="background1"/>
                          <w:sz w:val="22"/>
                        </w:rPr>
                        <w:t>km</w:t>
                      </w:r>
                      <w:r w:rsidRPr="00BE1F44">
                        <w:rPr>
                          <w:rFonts w:asciiTheme="minorHAnsi" w:hAnsiTheme="minorHAnsi" w:cs="Times New Roman"/>
                          <w:color w:val="FFFFFF" w:themeColor="background1"/>
                          <w:sz w:val="22"/>
                        </w:rPr>
                        <w:t>²</w:t>
                      </w:r>
                      <w:r w:rsidRPr="00BE1F44">
                        <w:rPr>
                          <w:rFonts w:asciiTheme="minorHAnsi" w:hAnsiTheme="minorHAnsi"/>
                          <w:color w:val="FFFFFF" w:themeColor="background1"/>
                          <w:sz w:val="22"/>
                        </w:rPr>
                        <w:t xml:space="preserve">) zamieszkuje około 330 tys. osób. </w:t>
                      </w:r>
                    </w:p>
                    <w:p w:rsidR="00960314" w:rsidRDefault="00960314" w:rsidP="00EF3762">
                      <w:pPr>
                        <w:rPr>
                          <w:rFonts w:asciiTheme="minorHAnsi" w:hAnsiTheme="minorHAnsi"/>
                          <w:color w:val="FFFFFF" w:themeColor="background1"/>
                          <w:sz w:val="22"/>
                        </w:rPr>
                      </w:pPr>
                    </w:p>
                    <w:p w:rsidR="00960314" w:rsidRPr="00BE1F44" w:rsidRDefault="00960314" w:rsidP="00EF3762">
                      <w:pPr>
                        <w:rPr>
                          <w:rFonts w:asciiTheme="minorHAnsi" w:hAnsiTheme="minorHAnsi"/>
                          <w:color w:val="FFFFFF" w:themeColor="background1"/>
                          <w:sz w:val="22"/>
                        </w:rPr>
                      </w:pPr>
                      <w:r>
                        <w:rPr>
                          <w:rFonts w:asciiTheme="minorHAnsi" w:hAnsiTheme="minorHAnsi"/>
                          <w:color w:val="FFFFFF" w:themeColor="background1"/>
                          <w:sz w:val="22"/>
                        </w:rPr>
                        <w:t xml:space="preserve">Założenia dokumentów strategicznych, uwzględniających nową politykę finansową Unii Europejskiej na lata 2014-2020 jasno wskazują na potrzebę wdrażania zintegrowanych działań i projektów samorządów służących zrównoważonemu rozwojowi regionów. Legnica określona w dokumentach planistycznych jako ośrodek miejski o znaczeniu regionalnym, powinna kreować inicjatywy służące rozwojowi  Legnicko-Głogowskiego Obszaru Funkcjonalnego i umacniać pozycję lidera regionu, aby stać się równoważącym biegunem wzrostu gospodarczego i rozwoju społecznego województwa obok Wrocławia. </w:t>
                      </w:r>
                    </w:p>
                    <w:p w:rsidR="00960314" w:rsidRPr="00C701DF" w:rsidRDefault="00960314" w:rsidP="00EF3762">
                      <w:pPr>
                        <w:rPr>
                          <w:rFonts w:eastAsiaTheme="majorEastAsia" w:cstheme="majorBidi"/>
                          <w:color w:val="2E74B5" w:themeColor="accent1" w:themeShade="BF"/>
                        </w:rPr>
                      </w:pPr>
                    </w:p>
                  </w:txbxContent>
                </v:textbox>
                <w10:wrap type="square"/>
              </v:shape>
            </w:pict>
          </mc:Fallback>
        </mc:AlternateContent>
      </w:r>
      <w:r w:rsidR="00EF3762" w:rsidRPr="00563EF2">
        <w:rPr>
          <w:rFonts w:asciiTheme="minorHAnsi" w:hAnsiTheme="minorHAnsi"/>
          <w:color w:val="000000" w:themeColor="text1"/>
          <w:sz w:val="22"/>
        </w:rPr>
        <w:t xml:space="preserve"> </w:t>
      </w:r>
    </w:p>
    <w:p w:rsidR="00513D4A" w:rsidRPr="00563EF2" w:rsidRDefault="00EF3762" w:rsidP="00FD7676">
      <w:pPr>
        <w:spacing w:after="160"/>
        <w:jc w:val="left"/>
        <w:rPr>
          <w:rFonts w:asciiTheme="minorHAnsi" w:eastAsiaTheme="majorEastAsia" w:hAnsiTheme="minorHAnsi" w:cstheme="majorBidi"/>
          <w:color w:val="000000" w:themeColor="text1"/>
          <w:sz w:val="22"/>
        </w:rPr>
      </w:pPr>
      <w:r w:rsidRPr="00563EF2">
        <w:rPr>
          <w:rFonts w:asciiTheme="minorHAnsi" w:hAnsiTheme="minorHAnsi"/>
          <w:color w:val="000000" w:themeColor="text1"/>
          <w:sz w:val="22"/>
        </w:rPr>
        <w:br w:type="page"/>
      </w:r>
    </w:p>
    <w:p w:rsidR="00511588" w:rsidRDefault="00511588" w:rsidP="00CD51E9">
      <w:pPr>
        <w:pStyle w:val="Nagwek1"/>
      </w:pPr>
      <w:bookmarkStart w:id="13" w:name="_Toc399756302"/>
    </w:p>
    <w:p w:rsidR="009413A6" w:rsidRPr="00CD51E9" w:rsidRDefault="009413A6" w:rsidP="00CD51E9">
      <w:pPr>
        <w:pStyle w:val="Nagwek1"/>
      </w:pPr>
      <w:r w:rsidRPr="00CD51E9">
        <w:t>Analiza porównawcza - Legnica na tle innych miast</w:t>
      </w:r>
      <w:bookmarkEnd w:id="13"/>
      <w:r w:rsidRPr="00CD51E9">
        <w:t xml:space="preserve"> </w:t>
      </w:r>
    </w:p>
    <w:p w:rsidR="009413A6" w:rsidRPr="00563EF2" w:rsidRDefault="009413A6" w:rsidP="009413A6">
      <w:pPr>
        <w:rPr>
          <w:rFonts w:asciiTheme="minorHAnsi" w:hAnsiTheme="minorHAnsi"/>
          <w:sz w:val="22"/>
        </w:rPr>
      </w:pPr>
    </w:p>
    <w:p w:rsidR="009413A6" w:rsidRPr="00563EF2" w:rsidRDefault="009413A6" w:rsidP="009413A6">
      <w:pPr>
        <w:rPr>
          <w:rFonts w:asciiTheme="minorHAnsi" w:hAnsiTheme="minorHAnsi"/>
          <w:sz w:val="22"/>
        </w:rPr>
      </w:pPr>
      <w:r w:rsidRPr="00563EF2">
        <w:rPr>
          <w:rFonts w:asciiTheme="minorHAnsi" w:hAnsiTheme="minorHAnsi"/>
          <w:sz w:val="22"/>
        </w:rPr>
        <w:t>Interpretacja wyników badań na podstawie analizy wskaźnikowej wielokryterialnej stanowi uzupełniający element diagnozy uwarunkowań na terenie Miasta Legnicy. Ograniczoność doboru wskaźników, a także oparcie się głównie na danych ilościowych powoduje, iż analiza ta ma charakter poglądowy, a jej celem jest określenie pozycji konkurencyjnej Legnicy na tle innych miast określonych w ramach Koncepcji Zagospodarowania Kraju 2030 jako centra Regionalnych Obszarów Funkcjonalnych</w:t>
      </w:r>
      <w:r w:rsidRPr="00563EF2">
        <w:rPr>
          <w:rStyle w:val="Odwoanieprzypisudolnego"/>
          <w:rFonts w:asciiTheme="minorHAnsi" w:hAnsiTheme="minorHAnsi"/>
          <w:sz w:val="22"/>
        </w:rPr>
        <w:footnoteReference w:id="1"/>
      </w:r>
      <w:r w:rsidRPr="00563EF2">
        <w:rPr>
          <w:rFonts w:asciiTheme="minorHAnsi" w:hAnsiTheme="minorHAnsi"/>
          <w:sz w:val="22"/>
        </w:rPr>
        <w:t>, oraz na tle największych miast województwa dolnośląskiego</w:t>
      </w:r>
      <w:r w:rsidRPr="00563EF2">
        <w:rPr>
          <w:rStyle w:val="Odwoanieprzypisudolnego"/>
          <w:rFonts w:asciiTheme="minorHAnsi" w:hAnsiTheme="minorHAnsi"/>
          <w:sz w:val="22"/>
        </w:rPr>
        <w:footnoteReference w:id="2"/>
      </w:r>
      <w:r w:rsidRPr="00563EF2">
        <w:rPr>
          <w:rFonts w:asciiTheme="minorHAnsi" w:hAnsiTheme="minorHAnsi"/>
          <w:sz w:val="22"/>
        </w:rPr>
        <w:t xml:space="preserve">. </w:t>
      </w:r>
    </w:p>
    <w:p w:rsidR="009413A6" w:rsidRPr="00563EF2" w:rsidRDefault="009413A6" w:rsidP="009413A6">
      <w:pPr>
        <w:rPr>
          <w:rFonts w:asciiTheme="minorHAnsi" w:hAnsiTheme="minorHAnsi"/>
          <w:sz w:val="22"/>
        </w:rPr>
      </w:pPr>
    </w:p>
    <w:p w:rsidR="009413A6" w:rsidRPr="00563EF2" w:rsidRDefault="009413A6" w:rsidP="009413A6">
      <w:pPr>
        <w:spacing w:after="120"/>
        <w:rPr>
          <w:rFonts w:asciiTheme="minorHAnsi" w:hAnsiTheme="minorHAnsi"/>
          <w:sz w:val="22"/>
        </w:rPr>
      </w:pPr>
      <w:r w:rsidRPr="00563EF2">
        <w:rPr>
          <w:rFonts w:asciiTheme="minorHAnsi" w:hAnsiTheme="minorHAnsi"/>
          <w:sz w:val="22"/>
        </w:rPr>
        <w:t xml:space="preserve">Oczywiste różnice pomiędzy badanymi miastami wynikające z ról jakie pełnią w sferze polityki przestrzennej i strategicznej państwa sprawiają, że wynik tej analizy nie stanowi tradycyjnie rozumianego benchmarkingu wyznaczającego jednostkę o najwyższych parametrach jakościowych, będącej wzorem i punktem odniesienia dla pozostałych podmiotów. Wynik niniejszej analizy jest próbą określenia pozycji konkurencyjnej Miasta Legnicy oraz wskazania mocnych i słabych stron wyróżniających Legnicę na tle innych miast o zbliżonej charakterystyce. </w:t>
      </w:r>
    </w:p>
    <w:p w:rsidR="009413A6" w:rsidRPr="00563EF2" w:rsidRDefault="009413A6" w:rsidP="009413A6">
      <w:pPr>
        <w:spacing w:after="120"/>
        <w:rPr>
          <w:rFonts w:asciiTheme="minorHAnsi" w:hAnsiTheme="minorHAnsi"/>
          <w:sz w:val="22"/>
        </w:rPr>
      </w:pPr>
      <w:r w:rsidRPr="00563EF2">
        <w:rPr>
          <w:rFonts w:asciiTheme="minorHAnsi" w:hAnsiTheme="minorHAnsi"/>
          <w:sz w:val="22"/>
        </w:rPr>
        <w:t>Benchmarking został przeprowadzony w oparciu o odpowiednie mierniki, przy wykorzystaniu zbioru danych statystycznych gromadzonych przez GUS. Przy analizie porównawczej posłużono się zmiennymi, określając jednocześnie ich typ:</w:t>
      </w:r>
    </w:p>
    <w:p w:rsidR="009413A6" w:rsidRPr="00563EF2" w:rsidRDefault="009413A6" w:rsidP="00E6635A">
      <w:pPr>
        <w:pStyle w:val="Akapitzlist"/>
        <w:numPr>
          <w:ilvl w:val="0"/>
          <w:numId w:val="30"/>
        </w:numPr>
        <w:spacing w:after="120"/>
        <w:rPr>
          <w:rFonts w:asciiTheme="minorHAnsi" w:hAnsiTheme="minorHAnsi"/>
          <w:sz w:val="22"/>
        </w:rPr>
      </w:pPr>
      <w:r w:rsidRPr="00563EF2">
        <w:rPr>
          <w:rFonts w:asciiTheme="minorHAnsi" w:hAnsiTheme="minorHAnsi"/>
          <w:sz w:val="22"/>
        </w:rPr>
        <w:t>stymulanty (wskaźniki pozytywne) – zmienne, których rosnąca wartość świadczy o wzroście poziomu badanego zjawiska. Rosnącym wartościom tych wskaźników przyporządkowane są rosnące oceny, wartością najkorzystniejszą stymulanty jest wartość maksymalna, najmniej korzystną – wartość minimalna,</w:t>
      </w:r>
    </w:p>
    <w:p w:rsidR="009413A6" w:rsidRPr="00563EF2" w:rsidRDefault="009413A6" w:rsidP="00E6635A">
      <w:pPr>
        <w:pStyle w:val="Akapitzlist"/>
        <w:numPr>
          <w:ilvl w:val="0"/>
          <w:numId w:val="30"/>
        </w:numPr>
        <w:spacing w:after="120"/>
        <w:rPr>
          <w:rFonts w:asciiTheme="minorHAnsi" w:hAnsiTheme="minorHAnsi"/>
          <w:sz w:val="22"/>
        </w:rPr>
      </w:pPr>
      <w:r w:rsidRPr="00563EF2">
        <w:rPr>
          <w:rFonts w:asciiTheme="minorHAnsi" w:hAnsiTheme="minorHAnsi"/>
          <w:sz w:val="22"/>
        </w:rPr>
        <w:t>destymulanty – zmienne, których malejąca wartość świadczy o wzroście poziomu badanego zjawiska. Rosnącym wartościom tych wskaźników przyporządkowane są malejące oceny, wartością najkorzystniejszą destymulanty jest wartość minimalna, najmniej korzystną – wartość maksymalna.</w:t>
      </w:r>
    </w:p>
    <w:p w:rsidR="009413A6" w:rsidRPr="00563EF2" w:rsidRDefault="009413A6" w:rsidP="009413A6">
      <w:pPr>
        <w:spacing w:after="120"/>
        <w:rPr>
          <w:rFonts w:asciiTheme="minorHAnsi" w:hAnsiTheme="minorHAnsi"/>
          <w:sz w:val="22"/>
        </w:rPr>
      </w:pPr>
      <w:r w:rsidRPr="00563EF2">
        <w:rPr>
          <w:rFonts w:asciiTheme="minorHAnsi" w:hAnsiTheme="minorHAnsi"/>
          <w:sz w:val="22"/>
        </w:rPr>
        <w:t xml:space="preserve">Wskaźniki zostały wystandaryzowane w taki sposób, aby możliwe stało się porównanie pozycji konkurencyjnej w różnych obszarach potencjału miast. </w:t>
      </w:r>
    </w:p>
    <w:p w:rsidR="009413A6" w:rsidRPr="00563EF2" w:rsidRDefault="009413A6" w:rsidP="009413A6">
      <w:pPr>
        <w:autoSpaceDE w:val="0"/>
        <w:autoSpaceDN w:val="0"/>
        <w:adjustRightInd w:val="0"/>
        <w:spacing w:after="120"/>
        <w:rPr>
          <w:rFonts w:asciiTheme="minorHAnsi" w:hAnsiTheme="minorHAnsi"/>
          <w:sz w:val="22"/>
        </w:rPr>
      </w:pPr>
      <w:r w:rsidRPr="00563EF2">
        <w:rPr>
          <w:rFonts w:asciiTheme="minorHAnsi" w:hAnsiTheme="minorHAnsi"/>
          <w:sz w:val="22"/>
        </w:rPr>
        <w:t>Standaryzacja wskaźników polega na odjęciu od nominalnej wartości wskaźnika dla danego miasta średniej wartości dla wszystkich analizowanych podmiotów i podzieleniu przez odchylenie standardowe dla wszystkich miast. Wystandaryzowane wskaźniki oznaczają odchylenie od normy, którą reprezentuje wartość średnia dla całej badanej populacji, i mogą przyjmować wartości dodatnie lub ujemne. Przejście odchylenia od średniej do wartości dodatniej wskazuje, które miasta odznaczają się wskaźnikiem efektywności, dostępności lub jakości parametrów wyższym od średniej dla całej badanej populacji, czyli wszystkich badanych podmiotów. Z kolei wartości ujemne odchylenia ukazują miasta o gorszych wskaźnikach.</w:t>
      </w:r>
    </w:p>
    <w:p w:rsidR="009413A6" w:rsidRPr="00563EF2" w:rsidRDefault="009413A6" w:rsidP="009413A6">
      <w:pPr>
        <w:autoSpaceDE w:val="0"/>
        <w:autoSpaceDN w:val="0"/>
        <w:adjustRightInd w:val="0"/>
        <w:spacing w:after="120"/>
        <w:rPr>
          <w:rFonts w:asciiTheme="minorHAnsi" w:hAnsiTheme="minorHAnsi"/>
          <w:sz w:val="22"/>
        </w:rPr>
      </w:pPr>
      <w:r w:rsidRPr="00563EF2">
        <w:rPr>
          <w:rFonts w:asciiTheme="minorHAnsi" w:hAnsiTheme="minorHAnsi"/>
          <w:sz w:val="22"/>
        </w:rPr>
        <w:t xml:space="preserve">Wystandaryzowane wskaźniki można sumować. Sumowanie wskaźników przed standaryzacją nie jest możliwe ze względu na odmienność znaczeniową wskaźników oraz ze względu na różnice w skali wartości. Po sumowaniu wskaźników powstają tzw. wskaźniki sumaryczne inaczej nazywane syntetycznymi. Wskaźniki syntetyczne można interpretować swobodniej niż wskaźniki proste, ponieważ ukazują one, czy np. mimo niskiej efektywności usług publicznych, wysoka pozostaje ogólna ocena usług, a zatem ich dostępność i jakość lub tylko jakość. </w:t>
      </w:r>
    </w:p>
    <w:p w:rsidR="009413A6" w:rsidRPr="00563EF2" w:rsidRDefault="009413A6" w:rsidP="009413A6">
      <w:pPr>
        <w:rPr>
          <w:rFonts w:asciiTheme="minorHAnsi" w:hAnsiTheme="minorHAnsi"/>
          <w:sz w:val="22"/>
        </w:rPr>
      </w:pPr>
      <w:r w:rsidRPr="00563EF2">
        <w:rPr>
          <w:rFonts w:asciiTheme="minorHAnsi" w:hAnsiTheme="minorHAnsi"/>
          <w:sz w:val="22"/>
        </w:rPr>
        <w:t>Bazując na metodyce badania atrakcyjności inwestycyjnej regionów</w:t>
      </w:r>
      <w:r w:rsidRPr="009E1742">
        <w:rPr>
          <w:rFonts w:asciiTheme="minorHAnsi" w:hAnsiTheme="minorHAnsi"/>
          <w:vertAlign w:val="superscript"/>
        </w:rPr>
        <w:footnoteReference w:id="3"/>
      </w:r>
      <w:r w:rsidRPr="00563EF2">
        <w:rPr>
          <w:rFonts w:asciiTheme="minorHAnsi" w:hAnsiTheme="minorHAnsi"/>
          <w:sz w:val="22"/>
        </w:rPr>
        <w:t xml:space="preserve"> w oparciu o najbardziej aktualne i dostępne dane Banku Danych Lokalnych GUS wykonano porównani</w:t>
      </w:r>
      <w:r w:rsidR="00A8787F">
        <w:rPr>
          <w:rFonts w:asciiTheme="minorHAnsi" w:hAnsiTheme="minorHAnsi"/>
          <w:sz w:val="22"/>
        </w:rPr>
        <w:t>e Legnicy na tle innych miast w </w:t>
      </w:r>
      <w:r w:rsidRPr="00563EF2">
        <w:rPr>
          <w:rFonts w:asciiTheme="minorHAnsi" w:hAnsiTheme="minorHAnsi"/>
          <w:sz w:val="22"/>
        </w:rPr>
        <w:t>następujących obszarach:</w:t>
      </w:r>
    </w:p>
    <w:p w:rsidR="009413A6" w:rsidRPr="00563EF2" w:rsidRDefault="009413A6" w:rsidP="009413A6">
      <w:pPr>
        <w:rPr>
          <w:rFonts w:asciiTheme="minorHAnsi" w:hAnsiTheme="minorHAnsi"/>
          <w:b/>
          <w:sz w:val="22"/>
        </w:rPr>
      </w:pPr>
      <w:r w:rsidRPr="00563EF2">
        <w:rPr>
          <w:rFonts w:asciiTheme="minorHAnsi" w:hAnsiTheme="minorHAnsi"/>
          <w:b/>
          <w:sz w:val="22"/>
        </w:rPr>
        <w:t>Zasoby pracy (dane z 2012 r.)</w:t>
      </w:r>
    </w:p>
    <w:p w:rsidR="009413A6" w:rsidRPr="00563EF2" w:rsidRDefault="009413A6" w:rsidP="009413A6">
      <w:pPr>
        <w:pStyle w:val="Akapitzlist"/>
        <w:numPr>
          <w:ilvl w:val="0"/>
          <w:numId w:val="1"/>
        </w:numPr>
        <w:rPr>
          <w:rFonts w:asciiTheme="minorHAnsi" w:hAnsiTheme="minorHAnsi"/>
          <w:sz w:val="22"/>
        </w:rPr>
      </w:pPr>
      <w:r w:rsidRPr="00563EF2">
        <w:rPr>
          <w:rFonts w:asciiTheme="minorHAnsi" w:hAnsiTheme="minorHAnsi"/>
          <w:sz w:val="22"/>
        </w:rPr>
        <w:t xml:space="preserve">Odsetek ludności w wieku nieprodukcyjnym na 100 os. w wieku produkcyjnym; </w:t>
      </w:r>
    </w:p>
    <w:p w:rsidR="009413A6" w:rsidRPr="00563EF2" w:rsidRDefault="009413A6" w:rsidP="009413A6">
      <w:pPr>
        <w:pStyle w:val="Akapitzlist"/>
        <w:numPr>
          <w:ilvl w:val="0"/>
          <w:numId w:val="1"/>
        </w:numPr>
        <w:rPr>
          <w:rFonts w:asciiTheme="minorHAnsi" w:hAnsiTheme="minorHAnsi"/>
          <w:sz w:val="22"/>
        </w:rPr>
      </w:pPr>
      <w:r w:rsidRPr="00563EF2">
        <w:rPr>
          <w:rFonts w:asciiTheme="minorHAnsi" w:hAnsiTheme="minorHAnsi"/>
          <w:sz w:val="22"/>
        </w:rPr>
        <w:t xml:space="preserve">Wskaźnik aktywności zawodowej - liczba osób pracujących w przeliczeniu na 100 os. w wieku produkcyjnym; </w:t>
      </w:r>
    </w:p>
    <w:p w:rsidR="009413A6" w:rsidRPr="00563EF2" w:rsidRDefault="00DC0EF7" w:rsidP="009413A6">
      <w:pPr>
        <w:pStyle w:val="Akapitzlist"/>
        <w:numPr>
          <w:ilvl w:val="0"/>
          <w:numId w:val="1"/>
        </w:numPr>
        <w:rPr>
          <w:rFonts w:asciiTheme="minorHAnsi" w:hAnsiTheme="minorHAnsi"/>
          <w:sz w:val="22"/>
        </w:rPr>
      </w:pPr>
      <w:r>
        <w:rPr>
          <w:rFonts w:asciiTheme="minorHAnsi" w:hAnsiTheme="minorHAnsi"/>
          <w:sz w:val="22"/>
        </w:rPr>
        <w:t>Saldo migracji stałej;</w:t>
      </w:r>
    </w:p>
    <w:p w:rsidR="009413A6" w:rsidRPr="00563EF2" w:rsidRDefault="009413A6" w:rsidP="009413A6">
      <w:pPr>
        <w:pStyle w:val="Akapitzlist"/>
        <w:numPr>
          <w:ilvl w:val="0"/>
          <w:numId w:val="1"/>
        </w:numPr>
        <w:rPr>
          <w:rFonts w:asciiTheme="minorHAnsi" w:hAnsiTheme="minorHAnsi"/>
          <w:sz w:val="22"/>
        </w:rPr>
      </w:pPr>
      <w:r w:rsidRPr="00563EF2">
        <w:rPr>
          <w:rFonts w:asciiTheme="minorHAnsi" w:hAnsiTheme="minorHAnsi"/>
          <w:sz w:val="22"/>
        </w:rPr>
        <w:t xml:space="preserve">Ludność w wieku poprodukcyjnym na 100 osób w wieku przedprodukcyjnym; </w:t>
      </w:r>
    </w:p>
    <w:p w:rsidR="009413A6" w:rsidRPr="00563EF2" w:rsidRDefault="009413A6" w:rsidP="009413A6">
      <w:pPr>
        <w:pStyle w:val="Akapitzlist"/>
        <w:numPr>
          <w:ilvl w:val="0"/>
          <w:numId w:val="1"/>
        </w:numPr>
        <w:rPr>
          <w:rFonts w:asciiTheme="minorHAnsi" w:hAnsiTheme="minorHAnsi"/>
          <w:sz w:val="22"/>
        </w:rPr>
      </w:pPr>
      <w:r w:rsidRPr="00563EF2">
        <w:rPr>
          <w:rFonts w:asciiTheme="minorHAnsi" w:hAnsiTheme="minorHAnsi"/>
          <w:sz w:val="22"/>
        </w:rPr>
        <w:t xml:space="preserve">Absolwenci szkół wyższych publicznych i niepublicznych na 1000 pracujących; </w:t>
      </w:r>
    </w:p>
    <w:p w:rsidR="009413A6" w:rsidRPr="00563EF2" w:rsidRDefault="009413A6" w:rsidP="009413A6">
      <w:pPr>
        <w:pStyle w:val="Akapitzlist"/>
        <w:numPr>
          <w:ilvl w:val="0"/>
          <w:numId w:val="1"/>
        </w:numPr>
        <w:rPr>
          <w:rFonts w:asciiTheme="minorHAnsi" w:hAnsiTheme="minorHAnsi"/>
          <w:sz w:val="22"/>
        </w:rPr>
      </w:pPr>
      <w:r w:rsidRPr="00563EF2">
        <w:rPr>
          <w:rFonts w:asciiTheme="minorHAnsi" w:hAnsiTheme="minorHAnsi"/>
          <w:sz w:val="22"/>
        </w:rPr>
        <w:t>Udział bezrobotnych zarejestrowanych w ludności w wieku produkcyjnym</w:t>
      </w:r>
      <w:r w:rsidR="00DC0EF7">
        <w:rPr>
          <w:rFonts w:asciiTheme="minorHAnsi" w:hAnsiTheme="minorHAnsi"/>
          <w:sz w:val="22"/>
        </w:rPr>
        <w:t>;</w:t>
      </w:r>
    </w:p>
    <w:p w:rsidR="009413A6" w:rsidRPr="00563EF2" w:rsidRDefault="009413A6" w:rsidP="009413A6">
      <w:pPr>
        <w:rPr>
          <w:rFonts w:asciiTheme="minorHAnsi" w:hAnsiTheme="minorHAnsi"/>
          <w:b/>
          <w:sz w:val="22"/>
        </w:rPr>
      </w:pPr>
      <w:r w:rsidRPr="00563EF2">
        <w:rPr>
          <w:rFonts w:asciiTheme="minorHAnsi" w:hAnsiTheme="minorHAnsi"/>
          <w:b/>
          <w:sz w:val="22"/>
        </w:rPr>
        <w:t>Infrastruktura techniczna (dane z 2012 r.)</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 xml:space="preserve">Udział % ludności obsługiwanej przez wodociąg;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 xml:space="preserve">Udział % mieszkań z podłączeniem do gazociągu;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 xml:space="preserve">Udział % ludności obsługiwanej przez kanalizację;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Gęstość sieci wodociągowej w km na 100 km</w:t>
      </w:r>
      <w:r w:rsidRPr="00563EF2">
        <w:rPr>
          <w:rFonts w:asciiTheme="minorHAnsi" w:hAnsiTheme="minorHAnsi"/>
          <w:sz w:val="22"/>
          <w:vertAlign w:val="superscript"/>
        </w:rPr>
        <w:t>2</w:t>
      </w:r>
      <w:r w:rsidRPr="00563EF2">
        <w:rPr>
          <w:rFonts w:asciiTheme="minorHAnsi" w:hAnsiTheme="minorHAnsi"/>
          <w:sz w:val="22"/>
        </w:rPr>
        <w:t xml:space="preserve">;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Gęstość sieci gazociągowej w km na 100 km</w:t>
      </w:r>
      <w:r w:rsidRPr="00563EF2">
        <w:rPr>
          <w:rFonts w:asciiTheme="minorHAnsi" w:hAnsiTheme="minorHAnsi"/>
          <w:sz w:val="22"/>
          <w:vertAlign w:val="superscript"/>
        </w:rPr>
        <w:t>2</w:t>
      </w:r>
      <w:r w:rsidRPr="00563EF2">
        <w:rPr>
          <w:rFonts w:asciiTheme="minorHAnsi" w:hAnsiTheme="minorHAnsi"/>
          <w:sz w:val="22"/>
        </w:rPr>
        <w:t xml:space="preserve">;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Gęstość sieci kanalizacyjnej w km na 100 km</w:t>
      </w:r>
      <w:r w:rsidRPr="00563EF2">
        <w:rPr>
          <w:rFonts w:asciiTheme="minorHAnsi" w:hAnsiTheme="minorHAnsi"/>
          <w:sz w:val="22"/>
          <w:vertAlign w:val="superscript"/>
        </w:rPr>
        <w:t>2</w:t>
      </w:r>
      <w:r w:rsidRPr="00563EF2">
        <w:rPr>
          <w:rFonts w:asciiTheme="minorHAnsi" w:hAnsiTheme="minorHAnsi"/>
          <w:sz w:val="22"/>
        </w:rPr>
        <w:t xml:space="preserve">; </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Udział odpadów</w:t>
      </w:r>
      <w:r w:rsidR="00FA185E">
        <w:rPr>
          <w:rFonts w:asciiTheme="minorHAnsi" w:hAnsiTheme="minorHAnsi"/>
          <w:sz w:val="22"/>
        </w:rPr>
        <w:t xml:space="preserve"> (innych niż komunalne)</w:t>
      </w:r>
      <w:r w:rsidRPr="00563EF2">
        <w:rPr>
          <w:rFonts w:asciiTheme="minorHAnsi" w:hAnsiTheme="minorHAnsi"/>
          <w:sz w:val="22"/>
        </w:rPr>
        <w:t xml:space="preserve"> poddanych odzyskowi w ilości od</w:t>
      </w:r>
      <w:r w:rsidR="00FA185E">
        <w:rPr>
          <w:rFonts w:asciiTheme="minorHAnsi" w:hAnsiTheme="minorHAnsi"/>
          <w:sz w:val="22"/>
        </w:rPr>
        <w:t>padów wytworzonych w ciągu roku</w:t>
      </w:r>
      <w:r w:rsidR="0064065B">
        <w:rPr>
          <w:rFonts w:asciiTheme="minorHAnsi" w:hAnsiTheme="minorHAnsi"/>
          <w:sz w:val="22"/>
        </w:rPr>
        <w:t>;</w:t>
      </w:r>
    </w:p>
    <w:p w:rsidR="009413A6" w:rsidRPr="00563EF2" w:rsidRDefault="009413A6" w:rsidP="009413A6">
      <w:pPr>
        <w:pStyle w:val="Akapitzlist"/>
        <w:numPr>
          <w:ilvl w:val="0"/>
          <w:numId w:val="2"/>
        </w:numPr>
        <w:rPr>
          <w:rFonts w:asciiTheme="minorHAnsi" w:hAnsiTheme="minorHAnsi"/>
          <w:sz w:val="22"/>
        </w:rPr>
      </w:pPr>
      <w:r w:rsidRPr="00563EF2">
        <w:rPr>
          <w:rFonts w:asciiTheme="minorHAnsi" w:hAnsiTheme="minorHAnsi"/>
          <w:sz w:val="22"/>
        </w:rPr>
        <w:t>Ludność korzystająca z oczyszczalni ścieków w % ogólnej liczby ludności</w:t>
      </w:r>
      <w:r w:rsidR="0064065B">
        <w:rPr>
          <w:rFonts w:asciiTheme="minorHAnsi" w:hAnsiTheme="minorHAnsi"/>
          <w:sz w:val="22"/>
        </w:rPr>
        <w:t>;</w:t>
      </w:r>
    </w:p>
    <w:p w:rsidR="009413A6" w:rsidRPr="00563EF2" w:rsidRDefault="009413A6" w:rsidP="009413A6">
      <w:pPr>
        <w:rPr>
          <w:rFonts w:asciiTheme="minorHAnsi" w:hAnsiTheme="minorHAnsi"/>
          <w:b/>
          <w:sz w:val="22"/>
        </w:rPr>
      </w:pPr>
      <w:r w:rsidRPr="00563EF2">
        <w:rPr>
          <w:rFonts w:asciiTheme="minorHAnsi" w:hAnsiTheme="minorHAnsi"/>
          <w:b/>
          <w:sz w:val="22"/>
        </w:rPr>
        <w:t>Infrastruktura społeczna (dane z 2012 r.)</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Liczba placówek ambulatoryjnej opieki zdrowotnej ogółem na 10 tys. mieszkańców; </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Liczba ludności na 1 aptekę ogólnodostępną; </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Miejsca noclegowe całoroczne w obiektach zbiorowego zakwaterowania na 1 tys. mieszkańców; </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Mieszkania na 10 tys. ludności </w:t>
      </w:r>
      <w:r w:rsidR="0064065B">
        <w:rPr>
          <w:rFonts w:asciiTheme="minorHAnsi" w:hAnsiTheme="minorHAnsi"/>
          <w:sz w:val="22"/>
        </w:rPr>
        <w:t>;</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Przeciętna powierzchnia użytkowa 1 mieszkania</w:t>
      </w:r>
      <w:r w:rsidR="0064065B">
        <w:rPr>
          <w:rFonts w:asciiTheme="minorHAnsi" w:hAnsiTheme="minorHAnsi"/>
          <w:sz w:val="22"/>
        </w:rPr>
        <w:t>;</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Liczba uczniów przypadających na 1 komputer z dostępem do Internetu przeznaczony do użytku uczniów w szkołach podstawowych, gimnazjach, szkołach ponadgimnazjalnych;</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Liczba ludności przypadająca na 1 placówkę biblioteczną; </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 xml:space="preserve">Liczba ludności na 1 miejsce w kinach stałych; </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Liczba ludności przypadająca na 1 obiekt (domy i ośrodki kultury, kluby i świetlice)</w:t>
      </w:r>
      <w:r w:rsidR="0064065B">
        <w:rPr>
          <w:rFonts w:asciiTheme="minorHAnsi" w:hAnsiTheme="minorHAnsi"/>
          <w:sz w:val="22"/>
        </w:rPr>
        <w:t>;</w:t>
      </w:r>
    </w:p>
    <w:p w:rsidR="009413A6" w:rsidRPr="00563EF2" w:rsidRDefault="009413A6" w:rsidP="009413A6">
      <w:pPr>
        <w:pStyle w:val="Akapitzlist"/>
        <w:numPr>
          <w:ilvl w:val="0"/>
          <w:numId w:val="3"/>
        </w:numPr>
        <w:rPr>
          <w:rFonts w:asciiTheme="minorHAnsi" w:hAnsiTheme="minorHAnsi"/>
          <w:sz w:val="22"/>
        </w:rPr>
      </w:pPr>
      <w:r w:rsidRPr="00563EF2">
        <w:rPr>
          <w:rFonts w:asciiTheme="minorHAnsi" w:hAnsiTheme="minorHAnsi"/>
          <w:sz w:val="22"/>
        </w:rPr>
        <w:t>Liczba ludności przypadająca na 1 obiekt (muzea łącznie z oddziałami)</w:t>
      </w:r>
      <w:r w:rsidR="0064065B">
        <w:rPr>
          <w:rFonts w:asciiTheme="minorHAnsi" w:hAnsiTheme="minorHAnsi"/>
          <w:sz w:val="22"/>
        </w:rPr>
        <w:t>;</w:t>
      </w:r>
    </w:p>
    <w:p w:rsidR="009413A6" w:rsidRPr="00563EF2" w:rsidRDefault="009413A6" w:rsidP="009413A6">
      <w:pPr>
        <w:rPr>
          <w:rFonts w:asciiTheme="minorHAnsi" w:hAnsiTheme="minorHAnsi"/>
          <w:b/>
          <w:sz w:val="22"/>
        </w:rPr>
      </w:pPr>
      <w:r w:rsidRPr="00563EF2">
        <w:rPr>
          <w:rFonts w:asciiTheme="minorHAnsi" w:hAnsiTheme="minorHAnsi"/>
          <w:b/>
          <w:sz w:val="22"/>
        </w:rPr>
        <w:t>Gospodarka (dane z 2012 r.)</w:t>
      </w:r>
    </w:p>
    <w:p w:rsidR="009413A6" w:rsidRPr="00563EF2" w:rsidRDefault="009413A6" w:rsidP="009413A6">
      <w:pPr>
        <w:pStyle w:val="Akapitzlist"/>
        <w:numPr>
          <w:ilvl w:val="0"/>
          <w:numId w:val="4"/>
        </w:numPr>
        <w:rPr>
          <w:rFonts w:asciiTheme="minorHAnsi" w:hAnsiTheme="minorHAnsi"/>
          <w:sz w:val="22"/>
        </w:rPr>
      </w:pPr>
      <w:r w:rsidRPr="00563EF2">
        <w:rPr>
          <w:rFonts w:asciiTheme="minorHAnsi" w:hAnsiTheme="minorHAnsi"/>
          <w:sz w:val="22"/>
        </w:rPr>
        <w:t>podmioty wpisane do rejestru REGON na 10 tys. ludności;</w:t>
      </w:r>
    </w:p>
    <w:p w:rsidR="009413A6" w:rsidRPr="00563EF2" w:rsidRDefault="009413A6" w:rsidP="009413A6">
      <w:pPr>
        <w:pStyle w:val="Akapitzlist"/>
        <w:numPr>
          <w:ilvl w:val="0"/>
          <w:numId w:val="4"/>
        </w:numPr>
        <w:rPr>
          <w:rFonts w:asciiTheme="minorHAnsi" w:hAnsiTheme="minorHAnsi"/>
          <w:sz w:val="22"/>
        </w:rPr>
      </w:pPr>
      <w:r w:rsidRPr="00563EF2">
        <w:rPr>
          <w:rFonts w:asciiTheme="minorHAnsi" w:hAnsiTheme="minorHAnsi"/>
          <w:sz w:val="22"/>
        </w:rPr>
        <w:t>osoby fizyczne prowadzące działalność gospodarczą na 100 osób w wieku produkcyjnym;</w:t>
      </w:r>
    </w:p>
    <w:p w:rsidR="009413A6" w:rsidRPr="00563EF2" w:rsidRDefault="009413A6" w:rsidP="009413A6">
      <w:pPr>
        <w:pStyle w:val="Akapitzlist"/>
        <w:numPr>
          <w:ilvl w:val="0"/>
          <w:numId w:val="4"/>
        </w:numPr>
        <w:rPr>
          <w:rFonts w:asciiTheme="minorHAnsi" w:hAnsiTheme="minorHAnsi"/>
          <w:sz w:val="22"/>
        </w:rPr>
      </w:pPr>
      <w:r w:rsidRPr="00563EF2">
        <w:rPr>
          <w:rFonts w:asciiTheme="minorHAnsi" w:hAnsiTheme="minorHAnsi"/>
          <w:sz w:val="22"/>
        </w:rPr>
        <w:t xml:space="preserve">Dochody budżetów gmin z podatku PIT na jednego mieszkańca </w:t>
      </w:r>
      <w:r w:rsidR="00DC0EF7">
        <w:rPr>
          <w:rFonts w:asciiTheme="minorHAnsi" w:hAnsiTheme="minorHAnsi"/>
          <w:sz w:val="22"/>
        </w:rPr>
        <w:t>[</w:t>
      </w:r>
      <w:r w:rsidRPr="00563EF2">
        <w:rPr>
          <w:rFonts w:asciiTheme="minorHAnsi" w:hAnsiTheme="minorHAnsi"/>
          <w:sz w:val="22"/>
        </w:rPr>
        <w:t>PLN];</w:t>
      </w:r>
    </w:p>
    <w:p w:rsidR="009413A6" w:rsidRPr="00563EF2" w:rsidRDefault="009413A6" w:rsidP="009413A6">
      <w:pPr>
        <w:pStyle w:val="Akapitzlist"/>
        <w:numPr>
          <w:ilvl w:val="0"/>
          <w:numId w:val="4"/>
        </w:numPr>
        <w:rPr>
          <w:rFonts w:asciiTheme="minorHAnsi" w:hAnsiTheme="minorHAnsi"/>
          <w:sz w:val="22"/>
        </w:rPr>
      </w:pPr>
      <w:r w:rsidRPr="00563EF2">
        <w:rPr>
          <w:rFonts w:asciiTheme="minorHAnsi" w:hAnsiTheme="minorHAnsi"/>
          <w:sz w:val="22"/>
        </w:rPr>
        <w:t>Dochody budżetów gmin z podatku CIT na 1 pracującego [PLN];</w:t>
      </w:r>
    </w:p>
    <w:p w:rsidR="009413A6" w:rsidRPr="00563EF2" w:rsidRDefault="009413A6" w:rsidP="009413A6">
      <w:pPr>
        <w:rPr>
          <w:rFonts w:asciiTheme="minorHAnsi" w:hAnsiTheme="minorHAnsi"/>
          <w:sz w:val="22"/>
        </w:rPr>
      </w:pPr>
    </w:p>
    <w:p w:rsidR="009413A6" w:rsidRPr="00563EF2" w:rsidRDefault="009413A6" w:rsidP="009413A6">
      <w:pPr>
        <w:rPr>
          <w:rFonts w:asciiTheme="minorHAnsi" w:hAnsiTheme="minorHAnsi"/>
          <w:sz w:val="22"/>
        </w:rPr>
        <w:sectPr w:rsidR="009413A6" w:rsidRPr="00563EF2" w:rsidSect="00226FDC">
          <w:footerReference w:type="first" r:id="rId19"/>
          <w:pgSz w:w="11906" w:h="16838"/>
          <w:pgMar w:top="1417" w:right="1417" w:bottom="1417" w:left="1417" w:header="708" w:footer="708" w:gutter="0"/>
          <w:cols w:space="708"/>
          <w:titlePg/>
          <w:docGrid w:linePitch="360"/>
        </w:sectPr>
      </w:pPr>
    </w:p>
    <w:p w:rsidR="009413A6" w:rsidRPr="007F6382" w:rsidRDefault="009413A6" w:rsidP="009413A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w:t>
      </w:r>
      <w:r w:rsidR="00017794" w:rsidRPr="007F6382">
        <w:rPr>
          <w:rFonts w:asciiTheme="minorHAnsi" w:hAnsiTheme="minorHAnsi"/>
          <w:sz w:val="20"/>
          <w:szCs w:val="22"/>
        </w:rPr>
        <w:fldChar w:fldCharType="end"/>
      </w:r>
      <w:r w:rsidRPr="007F6382">
        <w:rPr>
          <w:rFonts w:asciiTheme="minorHAnsi" w:hAnsiTheme="minorHAnsi"/>
          <w:sz w:val="20"/>
          <w:szCs w:val="22"/>
        </w:rPr>
        <w:t>. Zestawienie zbiorcze podstawowych informacji demograficznych</w:t>
      </w:r>
    </w:p>
    <w:tbl>
      <w:tblPr>
        <w:tblW w:w="16284"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1"/>
        <w:gridCol w:w="1419"/>
        <w:gridCol w:w="1440"/>
        <w:gridCol w:w="1230"/>
        <w:gridCol w:w="1219"/>
        <w:gridCol w:w="1446"/>
        <w:gridCol w:w="1559"/>
        <w:gridCol w:w="1843"/>
        <w:gridCol w:w="1418"/>
        <w:gridCol w:w="1275"/>
        <w:gridCol w:w="1134"/>
        <w:gridCol w:w="960"/>
      </w:tblGrid>
      <w:tr w:rsidR="009413A6" w:rsidRPr="00563EF2" w:rsidTr="00A8787F">
        <w:trPr>
          <w:trHeight w:val="725"/>
        </w:trPr>
        <w:tc>
          <w:tcPr>
            <w:tcW w:w="1341"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Miasto</w:t>
            </w:r>
          </w:p>
        </w:tc>
        <w:tc>
          <w:tcPr>
            <w:tcW w:w="1419"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bCs/>
                <w:sz w:val="20"/>
                <w:lang w:eastAsia="pl-PL"/>
              </w:rPr>
              <w:t>Powierzchnia (</w:t>
            </w:r>
            <w:r w:rsidRPr="00563EF2">
              <w:rPr>
                <w:rFonts w:asciiTheme="minorHAnsi" w:eastAsia="Times New Roman" w:hAnsiTheme="minorHAnsi" w:cs="Arial"/>
                <w:b/>
                <w:sz w:val="20"/>
                <w:lang w:eastAsia="pl-PL"/>
              </w:rPr>
              <w:t>km²)</w:t>
            </w:r>
          </w:p>
        </w:tc>
        <w:tc>
          <w:tcPr>
            <w:tcW w:w="1440"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bCs/>
                <w:sz w:val="20"/>
                <w:lang w:eastAsia="pl-PL"/>
              </w:rPr>
              <w:t>Liczba ludności</w:t>
            </w:r>
          </w:p>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sz w:val="20"/>
                <w:lang w:eastAsia="pl-PL"/>
              </w:rPr>
              <w:t>(os.)</w:t>
            </w:r>
          </w:p>
        </w:tc>
        <w:tc>
          <w:tcPr>
            <w:tcW w:w="1230"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bCs/>
                <w:sz w:val="20"/>
                <w:lang w:eastAsia="pl-PL"/>
              </w:rPr>
              <w:t>Gęstość zaludnienia</w:t>
            </w:r>
          </w:p>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sz w:val="20"/>
                <w:lang w:eastAsia="pl-PL"/>
              </w:rPr>
              <w:t>(os./km²)</w:t>
            </w:r>
          </w:p>
        </w:tc>
        <w:tc>
          <w:tcPr>
            <w:tcW w:w="1219"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sz w:val="20"/>
                <w:lang w:eastAsia="pl-PL"/>
              </w:rPr>
            </w:pPr>
            <w:r w:rsidRPr="00563EF2">
              <w:rPr>
                <w:rFonts w:asciiTheme="minorHAnsi" w:eastAsia="Times New Roman" w:hAnsiTheme="minorHAnsi" w:cs="Arial"/>
                <w:b/>
                <w:bCs/>
                <w:sz w:val="20"/>
                <w:lang w:eastAsia="pl-PL"/>
              </w:rPr>
              <w:t>Wsp. Feminizacji</w:t>
            </w:r>
          </w:p>
        </w:tc>
        <w:tc>
          <w:tcPr>
            <w:tcW w:w="1446" w:type="dxa"/>
            <w:shd w:val="clear" w:color="auto" w:fill="8496B0" w:themeFill="text2" w:themeFillTint="99"/>
            <w:vAlign w:val="center"/>
          </w:tcPr>
          <w:p w:rsidR="009413A6" w:rsidRPr="00563EF2" w:rsidRDefault="00A8787F" w:rsidP="00A8787F">
            <w:pPr>
              <w:jc w:val="center"/>
              <w:rPr>
                <w:rFonts w:asciiTheme="minorHAnsi" w:eastAsia="Times New Roman" w:hAnsiTheme="minorHAnsi" w:cs="Arial"/>
                <w:b/>
                <w:bCs/>
                <w:color w:val="000000" w:themeColor="text1"/>
                <w:sz w:val="20"/>
                <w:lang w:eastAsia="pl-PL"/>
              </w:rPr>
            </w:pPr>
            <w:r>
              <w:rPr>
                <w:rFonts w:asciiTheme="minorHAnsi" w:eastAsia="Times New Roman" w:hAnsiTheme="minorHAnsi" w:cs="Arial"/>
                <w:b/>
                <w:bCs/>
                <w:color w:val="000000" w:themeColor="text1"/>
                <w:sz w:val="20"/>
                <w:lang w:eastAsia="pl-PL"/>
              </w:rPr>
              <w:t>Ludność w </w:t>
            </w:r>
            <w:r w:rsidR="009413A6" w:rsidRPr="00563EF2">
              <w:rPr>
                <w:rFonts w:asciiTheme="minorHAnsi" w:eastAsia="Times New Roman" w:hAnsiTheme="minorHAnsi" w:cs="Arial"/>
                <w:b/>
                <w:bCs/>
                <w:color w:val="000000" w:themeColor="text1"/>
                <w:sz w:val="20"/>
                <w:lang w:eastAsia="pl-PL"/>
              </w:rPr>
              <w:t>wieku przedprodukcyjnym</w:t>
            </w:r>
          </w:p>
        </w:tc>
        <w:tc>
          <w:tcPr>
            <w:tcW w:w="1559" w:type="dxa"/>
            <w:shd w:val="clear" w:color="auto" w:fill="8496B0" w:themeFill="text2" w:themeFillTint="99"/>
            <w:noWrap/>
            <w:vAlign w:val="center"/>
            <w:hideMark/>
          </w:tcPr>
          <w:p w:rsidR="009413A6" w:rsidRPr="00563EF2" w:rsidRDefault="00A8787F" w:rsidP="00A8787F">
            <w:pPr>
              <w:jc w:val="center"/>
              <w:rPr>
                <w:rFonts w:asciiTheme="minorHAnsi" w:eastAsia="Times New Roman" w:hAnsiTheme="minorHAnsi" w:cs="Arial"/>
                <w:color w:val="000000" w:themeColor="text1"/>
                <w:sz w:val="20"/>
                <w:lang w:eastAsia="pl-PL"/>
              </w:rPr>
            </w:pPr>
            <w:r>
              <w:rPr>
                <w:rFonts w:asciiTheme="minorHAnsi" w:eastAsia="Times New Roman" w:hAnsiTheme="minorHAnsi" w:cs="Arial"/>
                <w:b/>
                <w:bCs/>
                <w:color w:val="000000" w:themeColor="text1"/>
                <w:sz w:val="20"/>
                <w:lang w:eastAsia="pl-PL"/>
              </w:rPr>
              <w:t>Ludność w </w:t>
            </w:r>
            <w:r w:rsidR="009413A6" w:rsidRPr="00563EF2">
              <w:rPr>
                <w:rFonts w:asciiTheme="minorHAnsi" w:eastAsia="Times New Roman" w:hAnsiTheme="minorHAnsi" w:cs="Arial"/>
                <w:b/>
                <w:bCs/>
                <w:color w:val="000000" w:themeColor="text1"/>
                <w:sz w:val="20"/>
                <w:lang w:eastAsia="pl-PL"/>
              </w:rPr>
              <w:t>wieku produkcyjnym</w:t>
            </w:r>
          </w:p>
        </w:tc>
        <w:tc>
          <w:tcPr>
            <w:tcW w:w="1843"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color w:val="000000" w:themeColor="text1"/>
                <w:sz w:val="20"/>
                <w:lang w:eastAsia="pl-PL"/>
              </w:rPr>
            </w:pPr>
            <w:r w:rsidRPr="00563EF2">
              <w:rPr>
                <w:rFonts w:asciiTheme="minorHAnsi" w:eastAsia="Times New Roman" w:hAnsiTheme="minorHAnsi" w:cs="Arial"/>
                <w:b/>
                <w:bCs/>
                <w:color w:val="000000" w:themeColor="text1"/>
                <w:sz w:val="20"/>
                <w:lang w:eastAsia="pl-PL"/>
              </w:rPr>
              <w:t>Ludność w wieku poprodukcyjnym</w:t>
            </w:r>
          </w:p>
        </w:tc>
        <w:tc>
          <w:tcPr>
            <w:tcW w:w="1418"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Urodzenia żywe</w:t>
            </w:r>
          </w:p>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(os.)</w:t>
            </w:r>
          </w:p>
        </w:tc>
        <w:tc>
          <w:tcPr>
            <w:tcW w:w="1275"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Zgony ogółem</w:t>
            </w:r>
          </w:p>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(os.)</w:t>
            </w:r>
          </w:p>
        </w:tc>
        <w:tc>
          <w:tcPr>
            <w:tcW w:w="1134"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Przyrost naturalny</w:t>
            </w:r>
          </w:p>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(os.)</w:t>
            </w:r>
          </w:p>
        </w:tc>
        <w:tc>
          <w:tcPr>
            <w:tcW w:w="960" w:type="dxa"/>
            <w:shd w:val="clear" w:color="auto" w:fill="8496B0" w:themeFill="text2" w:themeFillTint="99"/>
            <w:noWrap/>
            <w:vAlign w:val="center"/>
            <w:hideMark/>
          </w:tcPr>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Saldo migracji</w:t>
            </w:r>
          </w:p>
          <w:p w:rsidR="009413A6" w:rsidRPr="00563EF2" w:rsidRDefault="009413A6" w:rsidP="00A8787F">
            <w:pPr>
              <w:jc w:val="center"/>
              <w:rPr>
                <w:rFonts w:asciiTheme="minorHAnsi" w:eastAsia="Times New Roman" w:hAnsiTheme="minorHAnsi" w:cs="Arial"/>
                <w:b/>
                <w:bCs/>
                <w:color w:val="000000" w:themeColor="text1"/>
                <w:sz w:val="20"/>
                <w:lang w:eastAsia="pl-PL"/>
              </w:rPr>
            </w:pPr>
            <w:r w:rsidRPr="00563EF2">
              <w:rPr>
                <w:rFonts w:asciiTheme="minorHAnsi" w:eastAsia="Times New Roman" w:hAnsiTheme="minorHAnsi" w:cs="Arial"/>
                <w:b/>
                <w:bCs/>
                <w:color w:val="000000" w:themeColor="text1"/>
                <w:sz w:val="20"/>
                <w:lang w:eastAsia="pl-PL"/>
              </w:rPr>
              <w:t>(os.)</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Bielsko-Biała</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125</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174370</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1395,0</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1,12</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16,84%</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62,82%</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20,34%</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1782</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1733</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49</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-273</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 xml:space="preserve">Częstochowa </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160</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234472</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1465,5</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1,13</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15,26%</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63,74%</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21,00%</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1978</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2703</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-725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-616</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 xml:space="preserve">Elbląg </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80</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123659</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1545,7</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1,09</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17,18%</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65,04%</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17,78%</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1043</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1281</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-238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-423</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Głogów</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35</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69185</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1976,7</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1,07</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17,75%</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65,61%</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16,64%</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745</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571</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-458</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Grudziądz</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58</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97971</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1689,2</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1,09</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17,50%</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63,72%</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18,78%</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878</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1053</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-275</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Jelenia Góra</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109</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82846</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760,1</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1,14</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14,48%</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63,43%</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22,08%</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627</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1021</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-394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-227</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 xml:space="preserve">Kalisz </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69</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104676</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1517,0</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1,15</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17,10%</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61,97%</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20,93%</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926</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1177</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-251</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-239</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Koszalin</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98</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109343</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1115,7</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1,11</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15,57%</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63,99%</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20,44%</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971</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997</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-26</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-72</w:t>
            </w:r>
          </w:p>
        </w:tc>
      </w:tr>
      <w:tr w:rsidR="009413A6" w:rsidRPr="00563EF2" w:rsidTr="00EC5484">
        <w:trPr>
          <w:trHeight w:val="255"/>
        </w:trPr>
        <w:tc>
          <w:tcPr>
            <w:tcW w:w="1341" w:type="dxa"/>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Legnica</w:t>
            </w:r>
          </w:p>
        </w:tc>
        <w:tc>
          <w:tcPr>
            <w:tcW w:w="1419"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56</w:t>
            </w:r>
          </w:p>
        </w:tc>
        <w:tc>
          <w:tcPr>
            <w:tcW w:w="1440"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102422</w:t>
            </w:r>
          </w:p>
        </w:tc>
        <w:tc>
          <w:tcPr>
            <w:tcW w:w="1230" w:type="dxa"/>
            <w:shd w:val="clear" w:color="auto" w:fill="9CC2E5" w:themeFill="accent1" w:themeFillTint="99"/>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1829,0</w:t>
            </w:r>
          </w:p>
        </w:tc>
        <w:tc>
          <w:tcPr>
            <w:tcW w:w="1219" w:type="dxa"/>
            <w:shd w:val="clear" w:color="auto" w:fill="9CC2E5" w:themeFill="accent1" w:themeFillTint="99"/>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1,11</w:t>
            </w:r>
          </w:p>
        </w:tc>
        <w:tc>
          <w:tcPr>
            <w:tcW w:w="1446"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16,53%</w:t>
            </w:r>
          </w:p>
        </w:tc>
        <w:tc>
          <w:tcPr>
            <w:tcW w:w="1559"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64,69%</w:t>
            </w:r>
          </w:p>
        </w:tc>
        <w:tc>
          <w:tcPr>
            <w:tcW w:w="1843"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18,78%</w:t>
            </w:r>
          </w:p>
        </w:tc>
        <w:tc>
          <w:tcPr>
            <w:tcW w:w="1418"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938</w:t>
            </w:r>
          </w:p>
        </w:tc>
        <w:tc>
          <w:tcPr>
            <w:tcW w:w="1275"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1096</w:t>
            </w:r>
          </w:p>
        </w:tc>
        <w:tc>
          <w:tcPr>
            <w:tcW w:w="1134"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-158</w:t>
            </w:r>
          </w:p>
        </w:tc>
        <w:tc>
          <w:tcPr>
            <w:tcW w:w="960"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sz w:val="20"/>
                <w:lang w:eastAsia="pl-PL"/>
              </w:rPr>
            </w:pPr>
            <w:r w:rsidRPr="00563EF2">
              <w:rPr>
                <w:rFonts w:asciiTheme="minorHAnsi" w:eastAsia="Times New Roman" w:hAnsiTheme="minorHAnsi" w:cs="Arial"/>
                <w:b/>
                <w:sz w:val="20"/>
                <w:lang w:eastAsia="pl-PL"/>
              </w:rPr>
              <w:t>-366</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Lubin</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41</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74669</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1821,2</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1,08</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16,49%</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64,67%</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18,84%</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731</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637</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-512</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Ostrów Wlkp.</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42</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72933</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1736,5</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1,09</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16,73%</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64,07%</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19,20%</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687</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694</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Płock</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88</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123627</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1404,9</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1,11</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17,18%</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64,05%</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18,78%</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1285</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1265</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-516</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Radom</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112</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219703</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1961,6</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1,10</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17,56%</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63,78%</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18,67%</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2036</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2277</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-241</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-828</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Rybnik</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148</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140789</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951,3</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1,05</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17,93%</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65,20%</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16,87%</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1511</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1274</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237</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-444</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Słupsk</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43</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94849</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2205,8</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1,12</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16,08%</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64,31%</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19,61%</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793</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1030</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-237</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-355</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 xml:space="preserve">Świdnica </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22</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59737</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2715,3</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1,10</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15,56%</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63,83%</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20,61%</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473</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641</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-321</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Tarnów</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72</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112952</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1568,8</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1,11</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16,28%</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63,61%</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20,10%</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954</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1022</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-568</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Wałbrzych</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85</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119171</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1402,0</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1,12</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14,94%</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64,04%</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21,02%</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937</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1642</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-705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-337</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Włocławek</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84</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115546</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1375,5</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1,12</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16,46%</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64,05%</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19,48%</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933</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1250</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-317</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-414</w:t>
            </w:r>
          </w:p>
        </w:tc>
      </w:tr>
      <w:tr w:rsidR="009413A6" w:rsidRPr="00563EF2" w:rsidTr="00EC5484">
        <w:trPr>
          <w:trHeight w:val="255"/>
        </w:trPr>
        <w:tc>
          <w:tcPr>
            <w:tcW w:w="1341"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Wrocław</w:t>
            </w:r>
          </w:p>
        </w:tc>
        <w:tc>
          <w:tcPr>
            <w:tcW w:w="141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293</w:t>
            </w:r>
          </w:p>
        </w:tc>
        <w:tc>
          <w:tcPr>
            <w:tcW w:w="144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631188</w:t>
            </w:r>
          </w:p>
        </w:tc>
        <w:tc>
          <w:tcPr>
            <w:tcW w:w="1230"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2154,2</w:t>
            </w:r>
          </w:p>
        </w:tc>
        <w:tc>
          <w:tcPr>
            <w:tcW w:w="1219" w:type="dxa"/>
            <w:shd w:val="clear" w:color="auto" w:fill="auto"/>
            <w:noWrap/>
            <w:vAlign w:val="bottom"/>
            <w:hideMark/>
          </w:tcPr>
          <w:p w:rsidR="009413A6" w:rsidRPr="00563EF2" w:rsidRDefault="009413A6" w:rsidP="00EC5484">
            <w:pPr>
              <w:rPr>
                <w:rFonts w:asciiTheme="minorHAnsi" w:hAnsiTheme="minorHAnsi" w:cs="Arial"/>
                <w:sz w:val="20"/>
              </w:rPr>
            </w:pPr>
            <w:r w:rsidRPr="00563EF2">
              <w:rPr>
                <w:rFonts w:asciiTheme="minorHAnsi" w:hAnsiTheme="minorHAnsi" w:cs="Arial"/>
                <w:sz w:val="20"/>
              </w:rPr>
              <w:t>1,14</w:t>
            </w:r>
          </w:p>
        </w:tc>
        <w:tc>
          <w:tcPr>
            <w:tcW w:w="1446"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14,76%</w:t>
            </w:r>
          </w:p>
        </w:tc>
        <w:tc>
          <w:tcPr>
            <w:tcW w:w="1559"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64,39%</w:t>
            </w:r>
          </w:p>
        </w:tc>
        <w:tc>
          <w:tcPr>
            <w:tcW w:w="1843"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20,85%</w:t>
            </w:r>
          </w:p>
        </w:tc>
        <w:tc>
          <w:tcPr>
            <w:tcW w:w="1418"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6126</w:t>
            </w:r>
          </w:p>
        </w:tc>
        <w:tc>
          <w:tcPr>
            <w:tcW w:w="1275"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6487</w:t>
            </w:r>
          </w:p>
        </w:tc>
        <w:tc>
          <w:tcPr>
            <w:tcW w:w="1134"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-361</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sz w:val="20"/>
                <w:lang w:eastAsia="pl-PL"/>
              </w:rPr>
            </w:pPr>
            <w:r w:rsidRPr="00563EF2">
              <w:rPr>
                <w:rFonts w:asciiTheme="minorHAnsi" w:eastAsia="Times New Roman" w:hAnsiTheme="minorHAnsi" w:cs="Arial"/>
                <w:sz w:val="20"/>
                <w:lang w:eastAsia="pl-PL"/>
              </w:rPr>
              <w:t>866</w:t>
            </w:r>
          </w:p>
        </w:tc>
      </w:tr>
    </w:tbl>
    <w:p w:rsidR="009413A6" w:rsidRPr="002E2D3F" w:rsidRDefault="009413A6" w:rsidP="009413A6">
      <w:pPr>
        <w:spacing w:after="160"/>
        <w:rPr>
          <w:rFonts w:asciiTheme="minorHAnsi" w:eastAsia="Times New Roman" w:hAnsiTheme="minorHAnsi" w:cs="Arial"/>
          <w:sz w:val="20"/>
          <w:lang w:eastAsia="pl-PL"/>
        </w:rPr>
      </w:pPr>
      <w:r w:rsidRPr="002E2D3F">
        <w:rPr>
          <w:rFonts w:asciiTheme="minorHAnsi" w:hAnsiTheme="minorHAnsi"/>
          <w:sz w:val="20"/>
        </w:rPr>
        <w:t xml:space="preserve">Źródło: opracowanie własne na podstawie danych GUS Bank Danych Lokalnych </w:t>
      </w:r>
      <w:r w:rsidRPr="002E2D3F">
        <w:rPr>
          <w:rFonts w:asciiTheme="minorHAnsi" w:eastAsia="Times New Roman" w:hAnsiTheme="minorHAnsi" w:cs="Arial"/>
          <w:sz w:val="20"/>
          <w:lang w:eastAsia="pl-PL"/>
        </w:rPr>
        <w:t>(dane na koniec 2012 r.)</w:t>
      </w:r>
      <w:r w:rsidR="008B3862">
        <w:rPr>
          <w:rFonts w:asciiTheme="minorHAnsi" w:eastAsia="Times New Roman" w:hAnsiTheme="minorHAnsi" w:cs="Arial"/>
          <w:sz w:val="20"/>
          <w:lang w:eastAsia="pl-PL"/>
        </w:rPr>
        <w:t>.</w:t>
      </w:r>
    </w:p>
    <w:p w:rsidR="00CD51E9" w:rsidRPr="00563EF2" w:rsidRDefault="00CD51E9" w:rsidP="009413A6">
      <w:pPr>
        <w:spacing w:after="160"/>
        <w:rPr>
          <w:rFonts w:asciiTheme="minorHAnsi" w:eastAsia="Times New Roman" w:hAnsiTheme="minorHAnsi" w:cs="Arial"/>
          <w:sz w:val="22"/>
          <w:lang w:eastAsia="pl-PL"/>
        </w:rPr>
        <w:sectPr w:rsidR="00CD51E9" w:rsidRPr="00563EF2" w:rsidSect="00B76DAC">
          <w:footerReference w:type="default" r:id="rId20"/>
          <w:headerReference w:type="first" r:id="rId21"/>
          <w:footerReference w:type="first" r:id="rId22"/>
          <w:pgSz w:w="16838" w:h="11906" w:orient="landscape"/>
          <w:pgMar w:top="1417" w:right="1417" w:bottom="1417" w:left="1417" w:header="708" w:footer="708" w:gutter="0"/>
          <w:cols w:space="708"/>
          <w:docGrid w:linePitch="360"/>
        </w:sectPr>
      </w:pPr>
    </w:p>
    <w:p w:rsidR="009413A6" w:rsidRPr="007F6382" w:rsidRDefault="009413A6" w:rsidP="009413A6">
      <w:pPr>
        <w:pStyle w:val="Legenda"/>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2</w:t>
      </w:r>
      <w:r w:rsidR="00017794" w:rsidRPr="007F6382">
        <w:rPr>
          <w:rFonts w:asciiTheme="minorHAnsi" w:hAnsiTheme="minorHAnsi"/>
          <w:noProof/>
          <w:sz w:val="20"/>
          <w:szCs w:val="22"/>
        </w:rPr>
        <w:fldChar w:fldCharType="end"/>
      </w:r>
      <w:r w:rsidRPr="007F6382">
        <w:rPr>
          <w:rFonts w:asciiTheme="minorHAnsi" w:hAnsiTheme="minorHAnsi"/>
          <w:sz w:val="20"/>
          <w:szCs w:val="22"/>
        </w:rPr>
        <w:t>. Zasoby pracy.</w:t>
      </w:r>
    </w:p>
    <w:tbl>
      <w:tblPr>
        <w:tblW w:w="11176" w:type="dxa"/>
        <w:tblInd w:w="-923" w:type="dxa"/>
        <w:tblLayout w:type="fixed"/>
        <w:tblCellMar>
          <w:left w:w="70" w:type="dxa"/>
          <w:right w:w="70" w:type="dxa"/>
        </w:tblCellMar>
        <w:tblLook w:val="04A0" w:firstRow="1" w:lastRow="0" w:firstColumn="1" w:lastColumn="0" w:noHBand="0" w:noVBand="1"/>
      </w:tblPr>
      <w:tblGrid>
        <w:gridCol w:w="333"/>
        <w:gridCol w:w="1141"/>
        <w:gridCol w:w="1787"/>
        <w:gridCol w:w="1560"/>
        <w:gridCol w:w="1701"/>
        <w:gridCol w:w="850"/>
        <w:gridCol w:w="1648"/>
        <w:gridCol w:w="1134"/>
        <w:gridCol w:w="1022"/>
      </w:tblGrid>
      <w:tr w:rsidR="009413A6" w:rsidRPr="00563EF2" w:rsidTr="00EC5484">
        <w:trPr>
          <w:trHeight w:val="270"/>
        </w:trPr>
        <w:tc>
          <w:tcPr>
            <w:tcW w:w="333" w:type="dxa"/>
            <w:tcBorders>
              <w:top w:val="single" w:sz="8" w:space="0" w:color="000000"/>
              <w:left w:val="single" w:sz="8" w:space="0" w:color="000000"/>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Nr</w:t>
            </w:r>
          </w:p>
        </w:tc>
        <w:tc>
          <w:tcPr>
            <w:tcW w:w="1141"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Miasto</w:t>
            </w:r>
          </w:p>
        </w:tc>
        <w:tc>
          <w:tcPr>
            <w:tcW w:w="1787"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A8787F" w:rsidP="00EC5484">
            <w:pPr>
              <w:jc w:val="left"/>
              <w:rPr>
                <w:rFonts w:asciiTheme="minorHAnsi" w:eastAsia="Times New Roman" w:hAnsiTheme="minorHAnsi" w:cs="Arial"/>
                <w:b/>
                <w:bCs/>
                <w:sz w:val="18"/>
                <w:szCs w:val="18"/>
                <w:lang w:eastAsia="pl-PL"/>
              </w:rPr>
            </w:pPr>
            <w:r>
              <w:rPr>
                <w:rFonts w:asciiTheme="minorHAnsi" w:eastAsia="Times New Roman" w:hAnsiTheme="minorHAnsi" w:cs="Arial"/>
                <w:b/>
                <w:bCs/>
                <w:sz w:val="18"/>
                <w:szCs w:val="18"/>
                <w:lang w:eastAsia="pl-PL"/>
              </w:rPr>
              <w:t>Odsetek osób w </w:t>
            </w:r>
            <w:r w:rsidR="009413A6" w:rsidRPr="00563EF2">
              <w:rPr>
                <w:rFonts w:asciiTheme="minorHAnsi" w:eastAsia="Times New Roman" w:hAnsiTheme="minorHAnsi" w:cs="Arial"/>
                <w:b/>
                <w:bCs/>
                <w:sz w:val="18"/>
                <w:szCs w:val="18"/>
                <w:lang w:eastAsia="pl-PL"/>
              </w:rPr>
              <w:t>wieku nie</w:t>
            </w:r>
            <w:r>
              <w:rPr>
                <w:rFonts w:asciiTheme="minorHAnsi" w:eastAsia="Times New Roman" w:hAnsiTheme="minorHAnsi" w:cs="Arial"/>
                <w:b/>
                <w:bCs/>
                <w:sz w:val="18"/>
                <w:szCs w:val="18"/>
                <w:lang w:eastAsia="pl-PL"/>
              </w:rPr>
              <w:t>produkcyjnym na każde 100 os. w </w:t>
            </w:r>
            <w:r w:rsidR="009413A6" w:rsidRPr="00563EF2">
              <w:rPr>
                <w:rFonts w:asciiTheme="minorHAnsi" w:eastAsia="Times New Roman" w:hAnsiTheme="minorHAnsi" w:cs="Arial"/>
                <w:b/>
                <w:bCs/>
                <w:sz w:val="18"/>
                <w:szCs w:val="18"/>
                <w:lang w:eastAsia="pl-PL"/>
              </w:rPr>
              <w:t>wieku produkcyjnym</w:t>
            </w:r>
          </w:p>
        </w:tc>
        <w:tc>
          <w:tcPr>
            <w:tcW w:w="1560"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Udział osób p</w:t>
            </w:r>
            <w:r w:rsidR="008E5BC0">
              <w:rPr>
                <w:rFonts w:asciiTheme="minorHAnsi" w:eastAsia="Times New Roman" w:hAnsiTheme="minorHAnsi" w:cs="Arial"/>
                <w:b/>
                <w:bCs/>
                <w:sz w:val="18"/>
                <w:szCs w:val="18"/>
                <w:lang w:eastAsia="pl-PL"/>
              </w:rPr>
              <w:t>racujących w liczbie ludności w </w:t>
            </w:r>
            <w:r w:rsidRPr="00563EF2">
              <w:rPr>
                <w:rFonts w:asciiTheme="minorHAnsi" w:eastAsia="Times New Roman" w:hAnsiTheme="minorHAnsi" w:cs="Arial"/>
                <w:b/>
                <w:bCs/>
                <w:sz w:val="18"/>
                <w:szCs w:val="18"/>
                <w:lang w:eastAsia="pl-PL"/>
              </w:rPr>
              <w:t>wieku produkcyjnym</w:t>
            </w:r>
          </w:p>
        </w:tc>
        <w:tc>
          <w:tcPr>
            <w:tcW w:w="1701"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 xml:space="preserve">Udział </w:t>
            </w:r>
            <w:r w:rsidR="00A8787F">
              <w:rPr>
                <w:rFonts w:asciiTheme="minorHAnsi" w:eastAsia="Times New Roman" w:hAnsiTheme="minorHAnsi" w:cs="Arial"/>
                <w:b/>
                <w:bCs/>
                <w:sz w:val="18"/>
                <w:szCs w:val="18"/>
                <w:lang w:eastAsia="pl-PL"/>
              </w:rPr>
              <w:t>bezrobotnych zarejestrowanych w liczbie ludności w </w:t>
            </w:r>
            <w:r w:rsidRPr="00563EF2">
              <w:rPr>
                <w:rFonts w:asciiTheme="minorHAnsi" w:eastAsia="Times New Roman" w:hAnsiTheme="minorHAnsi" w:cs="Arial"/>
                <w:b/>
                <w:bCs/>
                <w:sz w:val="18"/>
                <w:szCs w:val="18"/>
                <w:lang w:eastAsia="pl-PL"/>
              </w:rPr>
              <w:t>wieku produkcyjnym</w:t>
            </w:r>
          </w:p>
        </w:tc>
        <w:tc>
          <w:tcPr>
            <w:tcW w:w="850"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Saldo migracji</w:t>
            </w:r>
          </w:p>
        </w:tc>
        <w:tc>
          <w:tcPr>
            <w:tcW w:w="1648"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Ludność w wieku poprodukcyjnym przypadająca na 100 os. w wieku przedprodukcyjnym</w:t>
            </w:r>
          </w:p>
        </w:tc>
        <w:tc>
          <w:tcPr>
            <w:tcW w:w="1134"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Absolwenci szkół wyższych na 1000 pracujących</w:t>
            </w:r>
          </w:p>
        </w:tc>
        <w:tc>
          <w:tcPr>
            <w:tcW w:w="1022" w:type="dxa"/>
            <w:tcBorders>
              <w:top w:val="single" w:sz="8" w:space="0" w:color="000000"/>
              <w:left w:val="nil"/>
              <w:bottom w:val="single" w:sz="4" w:space="0" w:color="000000" w:themeColor="text1"/>
              <w:right w:val="single" w:sz="8" w:space="0" w:color="000000"/>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Wskaźnik sumaryczny</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Rybnik</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53,37%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44,52%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-444</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94,12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23,98</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63BE7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2,79</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2</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Legnica</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hAnsiTheme="minorHAnsi" w:cs="Arial"/>
                <w:b/>
                <w:bCs/>
                <w:sz w:val="18"/>
                <w:szCs w:val="18"/>
              </w:rPr>
            </w:pPr>
            <w:r w:rsidRPr="00563EF2">
              <w:rPr>
                <w:rFonts w:asciiTheme="minorHAnsi" w:hAnsiTheme="minorHAnsi" w:cs="Arial"/>
                <w:b/>
                <w:bCs/>
                <w:sz w:val="18"/>
                <w:szCs w:val="18"/>
              </w:rPr>
              <w:t>54,59%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hAnsiTheme="minorHAnsi" w:cs="Arial"/>
                <w:b/>
                <w:bCs/>
                <w:sz w:val="18"/>
                <w:szCs w:val="18"/>
              </w:rPr>
            </w:pPr>
            <w:r w:rsidRPr="00563EF2">
              <w:rPr>
                <w:rFonts w:asciiTheme="minorHAnsi" w:hAnsiTheme="minorHAnsi" w:cs="Arial"/>
                <w:b/>
                <w:bCs/>
                <w:sz w:val="18"/>
                <w:szCs w:val="18"/>
              </w:rPr>
              <w:t>50,45%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7,6%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-366</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113,61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65,50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85C87D"/>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2,25</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Głogów</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52,43%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35,69%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-458</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93,76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27,65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B7D780"/>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1,44</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Bielsko-Biała</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59,18%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63,23%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-273</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120,78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47,12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BED981"/>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1,34</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Płock</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57,39%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-516</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109,34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57,42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4DF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0,99</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Słupsk</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55,50%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44,29%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-355</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121,94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82,10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AE1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0,88</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Koszalin</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56,27%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43,88%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-72</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131,28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94,90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BE1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0,87</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Ostrów Wlkp.</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56,07%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44,39%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114,74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20,58</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0E283"/>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0,79</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Elbląg </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53,75%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34,70%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-423</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58,75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BEA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0,35</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Lubin</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54,64%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45,95%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-512</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114,27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11,00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EB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0,28</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Tarnów</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57,20%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-568</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123,46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60,44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EE0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-0,02</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Kalisz </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61,36%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49,89%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-239</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122,43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64,77</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CC07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-1,00</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Częstochowa </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49,14%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-616</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137,58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93,09</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BB279"/>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-1,43</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Świdnica</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56,67%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44,17%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-321</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132,48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10,39</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A9A7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-2,16</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Jelenia Góra</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57,65%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44,92%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-227</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152,49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47,23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A9473"/>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-2,35</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Włocławek</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42,47%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-414</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118,32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47,53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98470"/>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-2,84</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17</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Wałbrzych</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38,06%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-337</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140,64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51,37</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97D6E"/>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-3,06</w:t>
            </w:r>
          </w:p>
        </w:tc>
      </w:tr>
      <w:tr w:rsidR="009413A6" w:rsidRPr="00563EF2" w:rsidTr="00EC5484">
        <w:trPr>
          <w:trHeight w:val="255"/>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Radom</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56,80%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36,26%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-828</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106,31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81,56</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86D6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-3,55</w:t>
            </w:r>
          </w:p>
        </w:tc>
      </w:tr>
      <w:tr w:rsidR="009413A6" w:rsidRPr="00563EF2" w:rsidTr="00EC5484">
        <w:trPr>
          <w:trHeight w:val="270"/>
        </w:trPr>
        <w:tc>
          <w:tcPr>
            <w:tcW w:w="333"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19</w:t>
            </w:r>
          </w:p>
        </w:tc>
        <w:tc>
          <w:tcPr>
            <w:tcW w:w="1141"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Grudziądz</w:t>
            </w:r>
          </w:p>
        </w:tc>
        <w:tc>
          <w:tcPr>
            <w:tcW w:w="1787"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56,93%</w:t>
            </w:r>
          </w:p>
        </w:tc>
        <w:tc>
          <w:tcPr>
            <w:tcW w:w="1560"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34,99%</w:t>
            </w:r>
          </w:p>
        </w:tc>
        <w:tc>
          <w:tcPr>
            <w:tcW w:w="1701"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13,4%</w:t>
            </w:r>
          </w:p>
        </w:tc>
        <w:tc>
          <w:tcPr>
            <w:tcW w:w="850"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-275</w:t>
            </w:r>
          </w:p>
        </w:tc>
        <w:tc>
          <w:tcPr>
            <w:tcW w:w="1648"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107,28</w:t>
            </w:r>
          </w:p>
        </w:tc>
        <w:tc>
          <w:tcPr>
            <w:tcW w:w="1134" w:type="dxa"/>
            <w:tcBorders>
              <w:top w:val="single" w:sz="4" w:space="0" w:color="000000" w:themeColor="text1"/>
              <w:left w:val="single" w:sz="4" w:space="0" w:color="000000" w:themeColor="text1"/>
              <w:bottom w:val="single" w:sz="8" w:space="0" w:color="FF0000"/>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10,30</w:t>
            </w:r>
          </w:p>
        </w:tc>
        <w:tc>
          <w:tcPr>
            <w:tcW w:w="1022" w:type="dxa"/>
            <w:tcBorders>
              <w:top w:val="single" w:sz="4" w:space="0" w:color="000000" w:themeColor="text1"/>
              <w:left w:val="single" w:sz="4" w:space="0" w:color="000000" w:themeColor="text1"/>
              <w:bottom w:val="single" w:sz="8" w:space="0" w:color="FF0000"/>
              <w:right w:val="single" w:sz="4" w:space="0" w:color="000000" w:themeColor="text1"/>
            </w:tcBorders>
            <w:shd w:val="clear" w:color="000000" w:fill="F8696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-3,67</w:t>
            </w:r>
          </w:p>
        </w:tc>
      </w:tr>
      <w:tr w:rsidR="009413A6" w:rsidRPr="00563EF2" w:rsidTr="00EC5484">
        <w:trPr>
          <w:trHeight w:val="270"/>
        </w:trPr>
        <w:tc>
          <w:tcPr>
            <w:tcW w:w="333"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 </w:t>
            </w:r>
          </w:p>
        </w:tc>
        <w:tc>
          <w:tcPr>
            <w:tcW w:w="1141"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Wrocław</w:t>
            </w:r>
          </w:p>
        </w:tc>
        <w:tc>
          <w:tcPr>
            <w:tcW w:w="1787"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hAnsiTheme="minorHAnsi" w:cs="Arial"/>
                <w:color w:val="FF0000"/>
                <w:sz w:val="18"/>
                <w:szCs w:val="18"/>
              </w:rPr>
            </w:pPr>
            <w:r w:rsidRPr="00563EF2">
              <w:rPr>
                <w:rFonts w:asciiTheme="minorHAnsi" w:hAnsiTheme="minorHAnsi" w:cs="Arial"/>
                <w:color w:val="FF0000"/>
                <w:sz w:val="18"/>
                <w:szCs w:val="18"/>
              </w:rPr>
              <w:t>55,30%</w:t>
            </w:r>
          </w:p>
        </w:tc>
        <w:tc>
          <w:tcPr>
            <w:tcW w:w="1560"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hAnsiTheme="minorHAnsi" w:cs="Arial"/>
                <w:color w:val="FF0000"/>
                <w:sz w:val="18"/>
                <w:szCs w:val="18"/>
              </w:rPr>
            </w:pPr>
            <w:r w:rsidRPr="00563EF2">
              <w:rPr>
                <w:rFonts w:asciiTheme="minorHAnsi" w:hAnsiTheme="minorHAnsi" w:cs="Arial"/>
                <w:color w:val="FF0000"/>
                <w:sz w:val="18"/>
                <w:szCs w:val="18"/>
              </w:rPr>
              <w:t>57,48%</w:t>
            </w:r>
          </w:p>
        </w:tc>
        <w:tc>
          <w:tcPr>
            <w:tcW w:w="1701"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4,7%</w:t>
            </w:r>
          </w:p>
        </w:tc>
        <w:tc>
          <w:tcPr>
            <w:tcW w:w="850"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866</w:t>
            </w:r>
          </w:p>
        </w:tc>
        <w:tc>
          <w:tcPr>
            <w:tcW w:w="1648"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141,21</w:t>
            </w:r>
          </w:p>
        </w:tc>
        <w:tc>
          <w:tcPr>
            <w:tcW w:w="1134"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150,47</w:t>
            </w:r>
          </w:p>
        </w:tc>
        <w:tc>
          <w:tcPr>
            <w:tcW w:w="1022"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8,10</w:t>
            </w:r>
          </w:p>
        </w:tc>
      </w:tr>
    </w:tbl>
    <w:p w:rsidR="009413A6" w:rsidRPr="002E2D3F" w:rsidRDefault="009413A6" w:rsidP="009413A6">
      <w:pPr>
        <w:rPr>
          <w:rFonts w:asciiTheme="minorHAnsi" w:eastAsia="Times New Roman" w:hAnsiTheme="minorHAnsi" w:cs="Arial"/>
          <w:sz w:val="20"/>
          <w:lang w:eastAsia="pl-PL"/>
        </w:rPr>
      </w:pPr>
      <w:r w:rsidRPr="002E2D3F">
        <w:rPr>
          <w:rFonts w:asciiTheme="minorHAnsi" w:eastAsia="Times New Roman" w:hAnsiTheme="minorHAnsi" w:cs="Arial"/>
          <w:sz w:val="20"/>
          <w:lang w:eastAsia="pl-PL"/>
        </w:rPr>
        <w:t>Źródło: opracowanie własne na podstawie danych GUS</w:t>
      </w:r>
      <w:r w:rsidR="002E2D3F">
        <w:rPr>
          <w:rFonts w:asciiTheme="minorHAnsi" w:eastAsia="Times New Roman" w:hAnsiTheme="minorHAnsi" w:cs="Arial"/>
          <w:sz w:val="20"/>
          <w:lang w:eastAsia="pl-PL"/>
        </w:rPr>
        <w:t>,</w:t>
      </w:r>
      <w:r w:rsidRPr="002E2D3F">
        <w:rPr>
          <w:rFonts w:asciiTheme="minorHAnsi" w:eastAsia="Times New Roman" w:hAnsiTheme="minorHAnsi" w:cs="Arial"/>
          <w:sz w:val="20"/>
          <w:lang w:eastAsia="pl-PL"/>
        </w:rPr>
        <w:t xml:space="preserve"> Bank Danych</w:t>
      </w:r>
      <w:r w:rsidR="009E1742" w:rsidRPr="002E2D3F">
        <w:rPr>
          <w:rFonts w:asciiTheme="minorHAnsi" w:eastAsia="Times New Roman" w:hAnsiTheme="minorHAnsi" w:cs="Arial"/>
          <w:sz w:val="20"/>
          <w:lang w:eastAsia="pl-PL"/>
        </w:rPr>
        <w:t xml:space="preserve"> Lokalnych (dane na koniec 2012 </w:t>
      </w:r>
      <w:r w:rsidRPr="002E2D3F">
        <w:rPr>
          <w:rFonts w:asciiTheme="minorHAnsi" w:eastAsia="Times New Roman" w:hAnsiTheme="minorHAnsi" w:cs="Arial"/>
          <w:sz w:val="20"/>
          <w:lang w:eastAsia="pl-PL"/>
        </w:rPr>
        <w:t>r.)</w:t>
      </w:r>
      <w:r w:rsidR="008B3862">
        <w:rPr>
          <w:rFonts w:asciiTheme="minorHAnsi" w:eastAsia="Times New Roman" w:hAnsiTheme="minorHAnsi" w:cs="Arial"/>
          <w:sz w:val="20"/>
          <w:lang w:eastAsia="pl-PL"/>
        </w:rPr>
        <w:t>.</w:t>
      </w:r>
    </w:p>
    <w:p w:rsidR="009413A6" w:rsidRPr="00563EF2" w:rsidRDefault="009413A6" w:rsidP="009413A6">
      <w:pPr>
        <w:rPr>
          <w:rFonts w:asciiTheme="minorHAnsi" w:eastAsia="Times New Roman" w:hAnsiTheme="minorHAnsi" w:cs="Arial"/>
          <w:sz w:val="22"/>
          <w:lang w:eastAsia="pl-PL"/>
        </w:rPr>
      </w:pPr>
      <w:r w:rsidRPr="00563EF2">
        <w:rPr>
          <w:rFonts w:asciiTheme="minorHAnsi" w:eastAsia="Times New Roman" w:hAnsiTheme="minorHAnsi" w:cs="Arial"/>
          <w:sz w:val="22"/>
          <w:lang w:eastAsia="pl-PL"/>
        </w:rPr>
        <w:t xml:space="preserve">Większość miast w Polsce zmaga się z nasilającymi się niekorzystnymi uwarunkowaniami w sferze społecznej: społeczeństwo starzeje się, rośnie emigracja </w:t>
      </w:r>
      <w:r w:rsidR="0042069E">
        <w:rPr>
          <w:rFonts w:asciiTheme="minorHAnsi" w:eastAsia="Times New Roman" w:hAnsiTheme="minorHAnsi" w:cs="Arial"/>
          <w:sz w:val="22"/>
          <w:lang w:eastAsia="pl-PL"/>
        </w:rPr>
        <w:t>ludności w wieku produkcyjnym, wzrasta</w:t>
      </w:r>
      <w:r w:rsidRPr="00563EF2">
        <w:rPr>
          <w:rFonts w:asciiTheme="minorHAnsi" w:eastAsia="Times New Roman" w:hAnsiTheme="minorHAnsi" w:cs="Arial"/>
          <w:sz w:val="22"/>
          <w:lang w:eastAsia="pl-PL"/>
        </w:rPr>
        <w:t xml:space="preserve"> obciąż</w:t>
      </w:r>
      <w:r w:rsidR="0042069E">
        <w:rPr>
          <w:rFonts w:asciiTheme="minorHAnsi" w:eastAsia="Times New Roman" w:hAnsiTheme="minorHAnsi" w:cs="Arial"/>
          <w:sz w:val="22"/>
          <w:lang w:eastAsia="pl-PL"/>
        </w:rPr>
        <w:t>enie demograficzne i</w:t>
      </w:r>
      <w:r w:rsidRPr="00563EF2">
        <w:rPr>
          <w:rFonts w:asciiTheme="minorHAnsi" w:eastAsia="Times New Roman" w:hAnsiTheme="minorHAnsi" w:cs="Arial"/>
          <w:sz w:val="22"/>
          <w:lang w:eastAsia="pl-PL"/>
        </w:rPr>
        <w:t xml:space="preserve"> w niedługiej perspektywie może zabraknąć odpowiednio wykwalifikowanych kadr. Wszystko to warunkuje konieczność podjęcia działań przez samorządy, które ograniczałyby i hamowały te procesy.</w:t>
      </w:r>
    </w:p>
    <w:p w:rsidR="009413A6" w:rsidRPr="00563EF2" w:rsidRDefault="009413A6" w:rsidP="009413A6">
      <w:pPr>
        <w:rPr>
          <w:rFonts w:asciiTheme="minorHAnsi" w:eastAsia="Times New Roman" w:hAnsiTheme="minorHAnsi" w:cs="Arial"/>
          <w:sz w:val="22"/>
          <w:lang w:eastAsia="pl-PL"/>
        </w:rPr>
      </w:pPr>
    </w:p>
    <w:p w:rsidR="009413A6" w:rsidRPr="00563EF2" w:rsidRDefault="009413A6" w:rsidP="009413A6">
      <w:pPr>
        <w:rPr>
          <w:rFonts w:asciiTheme="minorHAnsi" w:eastAsia="Times New Roman" w:hAnsiTheme="minorHAnsi" w:cs="Arial"/>
          <w:sz w:val="22"/>
          <w:lang w:eastAsia="pl-PL"/>
        </w:rPr>
      </w:pPr>
      <w:r w:rsidRPr="00563EF2">
        <w:rPr>
          <w:rFonts w:asciiTheme="minorHAnsi" w:eastAsia="Times New Roman" w:hAnsiTheme="minorHAnsi" w:cs="Arial"/>
          <w:sz w:val="22"/>
          <w:lang w:eastAsia="pl-PL"/>
        </w:rPr>
        <w:t>Legnica charakteryzuje się w miarę stabilnym rynkiem pracy: 50,45% osób w wieku produkcyjnym pracuje, co jest dobrym wynikiem w skali kraju, a bezrobotni stano</w:t>
      </w:r>
      <w:r w:rsidR="00A8787F">
        <w:rPr>
          <w:rFonts w:asciiTheme="minorHAnsi" w:eastAsia="Times New Roman" w:hAnsiTheme="minorHAnsi" w:cs="Arial"/>
          <w:sz w:val="22"/>
          <w:lang w:eastAsia="pl-PL"/>
        </w:rPr>
        <w:t>wią tylko 7,6% ogółu ludności w </w:t>
      </w:r>
      <w:r w:rsidRPr="00563EF2">
        <w:rPr>
          <w:rFonts w:asciiTheme="minorHAnsi" w:eastAsia="Times New Roman" w:hAnsiTheme="minorHAnsi" w:cs="Arial"/>
          <w:sz w:val="22"/>
          <w:lang w:eastAsia="pl-PL"/>
        </w:rPr>
        <w:t xml:space="preserve">wieku produkcyjnym (7. miejsce wśród badanych miast). Udział absolwentów w liczbie pracujących również jest relatywnie wysoki, co pozwala sądzić, iż absolwenci szkół wyższych w Legnicy nie mają znaczących problemów ze znalezieniem zatrudnienia. </w:t>
      </w:r>
    </w:p>
    <w:p w:rsidR="009413A6" w:rsidRPr="00563EF2" w:rsidRDefault="009413A6" w:rsidP="009413A6">
      <w:pPr>
        <w:rPr>
          <w:rFonts w:asciiTheme="minorHAnsi" w:eastAsia="Times New Roman" w:hAnsiTheme="minorHAnsi" w:cs="Arial"/>
          <w:sz w:val="22"/>
          <w:lang w:eastAsia="pl-PL"/>
        </w:rPr>
      </w:pPr>
    </w:p>
    <w:p w:rsidR="009413A6" w:rsidRPr="00563EF2" w:rsidRDefault="009413A6" w:rsidP="009413A6">
      <w:pPr>
        <w:rPr>
          <w:rFonts w:asciiTheme="minorHAnsi" w:eastAsia="Times New Roman" w:hAnsiTheme="minorHAnsi" w:cs="Arial"/>
          <w:sz w:val="22"/>
          <w:lang w:eastAsia="pl-PL"/>
        </w:rPr>
      </w:pPr>
      <w:r w:rsidRPr="00563EF2">
        <w:rPr>
          <w:rFonts w:asciiTheme="minorHAnsi" w:eastAsia="Times New Roman" w:hAnsiTheme="minorHAnsi" w:cs="Arial"/>
          <w:sz w:val="22"/>
          <w:lang w:eastAsia="pl-PL"/>
        </w:rPr>
        <w:t>Wskaźnik obciążenia demograficznego w Legnicy wypada korzystniej o</w:t>
      </w:r>
      <w:r w:rsidR="00A8787F">
        <w:rPr>
          <w:rFonts w:asciiTheme="minorHAnsi" w:eastAsia="Times New Roman" w:hAnsiTheme="minorHAnsi" w:cs="Arial"/>
          <w:sz w:val="22"/>
          <w:lang w:eastAsia="pl-PL"/>
        </w:rPr>
        <w:t>d znacznej części miast, w </w:t>
      </w:r>
      <w:r w:rsidR="009E1742">
        <w:rPr>
          <w:rFonts w:asciiTheme="minorHAnsi" w:eastAsia="Times New Roman" w:hAnsiTheme="minorHAnsi" w:cs="Arial"/>
          <w:sz w:val="22"/>
          <w:lang w:eastAsia="pl-PL"/>
        </w:rPr>
        <w:t>2012 r. wynosił on 54,59%.</w:t>
      </w:r>
      <w:r w:rsidRPr="00563EF2">
        <w:rPr>
          <w:rFonts w:asciiTheme="minorHAnsi" w:eastAsia="Times New Roman" w:hAnsiTheme="minorHAnsi" w:cs="Arial"/>
          <w:sz w:val="22"/>
          <w:lang w:eastAsia="pl-PL"/>
        </w:rPr>
        <w:t xml:space="preserve"> </w:t>
      </w:r>
      <w:r w:rsidR="009E1742">
        <w:rPr>
          <w:rFonts w:asciiTheme="minorHAnsi" w:eastAsia="Times New Roman" w:hAnsiTheme="minorHAnsi" w:cs="Arial"/>
          <w:sz w:val="22"/>
          <w:lang w:eastAsia="pl-PL"/>
        </w:rPr>
        <w:t>W</w:t>
      </w:r>
      <w:r w:rsidRPr="00563EF2">
        <w:rPr>
          <w:rFonts w:asciiTheme="minorHAnsi" w:eastAsia="Times New Roman" w:hAnsiTheme="minorHAnsi" w:cs="Arial"/>
          <w:sz w:val="22"/>
          <w:lang w:eastAsia="pl-PL"/>
        </w:rPr>
        <w:t>skaźnik wymienności pokoleniowej, wynoszący 113,61,</w:t>
      </w:r>
      <w:r w:rsidR="009E1742">
        <w:rPr>
          <w:rFonts w:asciiTheme="minorHAnsi" w:eastAsia="Times New Roman" w:hAnsiTheme="minorHAnsi" w:cs="Arial"/>
          <w:sz w:val="22"/>
          <w:lang w:eastAsia="pl-PL"/>
        </w:rPr>
        <w:t xml:space="preserve"> pokazuje jednak, iż</w:t>
      </w:r>
      <w:r w:rsidRPr="00563EF2">
        <w:rPr>
          <w:rFonts w:asciiTheme="minorHAnsi" w:eastAsia="Times New Roman" w:hAnsiTheme="minorHAnsi" w:cs="Arial"/>
          <w:sz w:val="22"/>
          <w:lang w:eastAsia="pl-PL"/>
        </w:rPr>
        <w:t xml:space="preserve"> obciążenie demograficzne społeczeństwa będzie wzrastać w kolejnych latach, choć nie tak szybko jak w innych miastach. Saldo migracji</w:t>
      </w:r>
      <w:r w:rsidR="00EE6BE7">
        <w:rPr>
          <w:rFonts w:asciiTheme="minorHAnsi" w:eastAsia="Times New Roman" w:hAnsiTheme="minorHAnsi" w:cs="Arial"/>
          <w:sz w:val="22"/>
          <w:lang w:eastAsia="pl-PL"/>
        </w:rPr>
        <w:t xml:space="preserve"> w 2012 r.</w:t>
      </w:r>
      <w:r w:rsidRPr="00563EF2">
        <w:rPr>
          <w:rFonts w:asciiTheme="minorHAnsi" w:eastAsia="Times New Roman" w:hAnsiTheme="minorHAnsi" w:cs="Arial"/>
          <w:sz w:val="22"/>
          <w:lang w:eastAsia="pl-PL"/>
        </w:rPr>
        <w:t xml:space="preserve"> dla wszystkich</w:t>
      </w:r>
      <w:r w:rsidR="00EE6BE7">
        <w:rPr>
          <w:rFonts w:asciiTheme="minorHAnsi" w:eastAsia="Times New Roman" w:hAnsiTheme="minorHAnsi" w:cs="Arial"/>
          <w:sz w:val="22"/>
          <w:lang w:eastAsia="pl-PL"/>
        </w:rPr>
        <w:t xml:space="preserve"> analizowanych</w:t>
      </w:r>
      <w:r w:rsidRPr="00563EF2">
        <w:rPr>
          <w:rFonts w:asciiTheme="minorHAnsi" w:eastAsia="Times New Roman" w:hAnsiTheme="minorHAnsi" w:cs="Arial"/>
          <w:sz w:val="22"/>
          <w:lang w:eastAsia="pl-PL"/>
        </w:rPr>
        <w:t xml:space="preserve"> miast, poza Wrocławiem było ujemne. Je</w:t>
      </w:r>
      <w:r w:rsidR="00EE6BE7">
        <w:rPr>
          <w:rFonts w:asciiTheme="minorHAnsi" w:eastAsia="Times New Roman" w:hAnsiTheme="minorHAnsi" w:cs="Arial"/>
          <w:sz w:val="22"/>
          <w:lang w:eastAsia="pl-PL"/>
        </w:rPr>
        <w:t>st to zjawisko charakterystyczne dla większości polskich miast</w:t>
      </w:r>
      <w:r w:rsidRPr="00563EF2">
        <w:rPr>
          <w:rFonts w:asciiTheme="minorHAnsi" w:eastAsia="Times New Roman" w:hAnsiTheme="minorHAnsi" w:cs="Arial"/>
          <w:sz w:val="22"/>
          <w:lang w:eastAsia="pl-PL"/>
        </w:rPr>
        <w:t>, spowodowane odpływem mieszkańców do dużych metropolii miast wojewódzkich, emigracją zarobkową oraz osiedlaniem się części mieszkańców na terenach podmiejskich należących do sąsiednich gmin (suburbanizacja).</w:t>
      </w:r>
    </w:p>
    <w:p w:rsidR="009413A6" w:rsidRPr="00563EF2" w:rsidRDefault="009413A6" w:rsidP="009413A6">
      <w:pPr>
        <w:rPr>
          <w:rFonts w:asciiTheme="minorHAnsi" w:eastAsia="Times New Roman" w:hAnsiTheme="minorHAnsi" w:cs="Arial"/>
          <w:sz w:val="22"/>
          <w:lang w:eastAsia="pl-PL"/>
        </w:rPr>
      </w:pPr>
    </w:p>
    <w:p w:rsidR="009413A6" w:rsidRPr="00E235FE" w:rsidRDefault="009413A6" w:rsidP="009413A6">
      <w:pPr>
        <w:rPr>
          <w:rFonts w:asciiTheme="minorHAnsi" w:eastAsia="Times New Roman" w:hAnsiTheme="minorHAnsi" w:cs="Arial"/>
          <w:b/>
          <w:sz w:val="22"/>
          <w:lang w:eastAsia="pl-PL"/>
        </w:rPr>
      </w:pPr>
      <w:r w:rsidRPr="00E235FE">
        <w:rPr>
          <w:rFonts w:asciiTheme="minorHAnsi" w:eastAsia="Times New Roman" w:hAnsiTheme="minorHAnsi" w:cs="Arial"/>
          <w:b/>
          <w:sz w:val="22"/>
          <w:lang w:eastAsia="pl-PL"/>
        </w:rPr>
        <w:t>Analiza porównawcza w sferze „Zasobów pracy” pokazu</w:t>
      </w:r>
      <w:r w:rsidR="0042069E" w:rsidRPr="00E235FE">
        <w:rPr>
          <w:rFonts w:asciiTheme="minorHAnsi" w:eastAsia="Times New Roman" w:hAnsiTheme="minorHAnsi" w:cs="Arial"/>
          <w:b/>
          <w:sz w:val="22"/>
          <w:lang w:eastAsia="pl-PL"/>
        </w:rPr>
        <w:t xml:space="preserve">je silną pozycję Legnicy w </w:t>
      </w:r>
      <w:r w:rsidR="00F17C5B" w:rsidRPr="00E235FE">
        <w:rPr>
          <w:rFonts w:asciiTheme="minorHAnsi" w:eastAsia="Times New Roman" w:hAnsiTheme="minorHAnsi" w:cs="Arial"/>
          <w:b/>
          <w:sz w:val="22"/>
          <w:lang w:eastAsia="pl-PL"/>
        </w:rPr>
        <w:t>tym obszarze</w:t>
      </w:r>
      <w:r w:rsidRPr="00E235FE">
        <w:rPr>
          <w:rFonts w:asciiTheme="minorHAnsi" w:eastAsia="Times New Roman" w:hAnsiTheme="minorHAnsi" w:cs="Arial"/>
          <w:b/>
          <w:sz w:val="22"/>
          <w:lang w:eastAsia="pl-PL"/>
        </w:rPr>
        <w:t xml:space="preserve"> na tle innych miast - 2. miejsce w zestawieniu zbiorczym. Wysoka pozycja nie oznacza jednak braku problemów i wyzwań jakie stoją przed miastem, ukazuje natomiast spory</w:t>
      </w:r>
      <w:r w:rsidR="00F17C5B" w:rsidRPr="00E235FE">
        <w:rPr>
          <w:rFonts w:asciiTheme="minorHAnsi" w:eastAsia="Times New Roman" w:hAnsiTheme="minorHAnsi" w:cs="Arial"/>
          <w:b/>
          <w:sz w:val="22"/>
          <w:lang w:eastAsia="pl-PL"/>
        </w:rPr>
        <w:t xml:space="preserve"> potencjał</w:t>
      </w:r>
      <w:r w:rsidRPr="00E235FE">
        <w:rPr>
          <w:rFonts w:asciiTheme="minorHAnsi" w:eastAsia="Times New Roman" w:hAnsiTheme="minorHAnsi" w:cs="Arial"/>
          <w:b/>
          <w:sz w:val="22"/>
          <w:lang w:eastAsia="pl-PL"/>
        </w:rPr>
        <w:t xml:space="preserve"> kapitał</w:t>
      </w:r>
      <w:r w:rsidR="00F17C5B" w:rsidRPr="00E235FE">
        <w:rPr>
          <w:rFonts w:asciiTheme="minorHAnsi" w:eastAsia="Times New Roman" w:hAnsiTheme="minorHAnsi" w:cs="Arial"/>
          <w:b/>
          <w:sz w:val="22"/>
          <w:lang w:eastAsia="pl-PL"/>
        </w:rPr>
        <w:t>u</w:t>
      </w:r>
      <w:r w:rsidRPr="00E235FE">
        <w:rPr>
          <w:rFonts w:asciiTheme="minorHAnsi" w:eastAsia="Times New Roman" w:hAnsiTheme="minorHAnsi" w:cs="Arial"/>
          <w:b/>
          <w:sz w:val="22"/>
          <w:lang w:eastAsia="pl-PL"/>
        </w:rPr>
        <w:t xml:space="preserve"> ludzki</w:t>
      </w:r>
      <w:r w:rsidR="00F17C5B" w:rsidRPr="00E235FE">
        <w:rPr>
          <w:rFonts w:asciiTheme="minorHAnsi" w:eastAsia="Times New Roman" w:hAnsiTheme="minorHAnsi" w:cs="Arial"/>
          <w:b/>
          <w:sz w:val="22"/>
          <w:lang w:eastAsia="pl-PL"/>
        </w:rPr>
        <w:t>ego</w:t>
      </w:r>
      <w:r w:rsidRPr="00E235FE">
        <w:rPr>
          <w:rFonts w:asciiTheme="minorHAnsi" w:eastAsia="Times New Roman" w:hAnsiTheme="minorHAnsi" w:cs="Arial"/>
          <w:b/>
          <w:sz w:val="22"/>
          <w:lang w:eastAsia="pl-PL"/>
        </w:rPr>
        <w:t xml:space="preserve"> </w:t>
      </w:r>
      <w:r w:rsidR="00F17C5B" w:rsidRPr="00E235FE">
        <w:rPr>
          <w:rFonts w:asciiTheme="minorHAnsi" w:eastAsia="Times New Roman" w:hAnsiTheme="minorHAnsi" w:cs="Arial"/>
          <w:b/>
          <w:sz w:val="22"/>
          <w:lang w:eastAsia="pl-PL"/>
        </w:rPr>
        <w:t xml:space="preserve">mieszkańców </w:t>
      </w:r>
      <w:r w:rsidRPr="00E235FE">
        <w:rPr>
          <w:rFonts w:asciiTheme="minorHAnsi" w:eastAsia="Times New Roman" w:hAnsiTheme="minorHAnsi" w:cs="Arial"/>
          <w:b/>
          <w:sz w:val="22"/>
          <w:lang w:eastAsia="pl-PL"/>
        </w:rPr>
        <w:t>Legnicy oraz obliguje samorząd do działań w sferze demografii i rynku pracy</w:t>
      </w:r>
      <w:r w:rsidR="00F17C5B" w:rsidRPr="00E235FE">
        <w:rPr>
          <w:rFonts w:asciiTheme="minorHAnsi" w:eastAsia="Times New Roman" w:hAnsiTheme="minorHAnsi" w:cs="Arial"/>
          <w:b/>
          <w:sz w:val="22"/>
          <w:lang w:eastAsia="pl-PL"/>
        </w:rPr>
        <w:t>, które pozwolą utrzymać i wzmocnić ten czynnik rozwojowy w kolejnych latach</w:t>
      </w:r>
      <w:r w:rsidRPr="00E235FE">
        <w:rPr>
          <w:rFonts w:asciiTheme="minorHAnsi" w:eastAsia="Times New Roman" w:hAnsiTheme="minorHAnsi" w:cs="Arial"/>
          <w:b/>
          <w:sz w:val="22"/>
          <w:lang w:eastAsia="pl-PL"/>
        </w:rPr>
        <w:t>.</w:t>
      </w:r>
    </w:p>
    <w:p w:rsidR="009413A6" w:rsidRPr="00563EF2" w:rsidRDefault="009413A6" w:rsidP="009413A6">
      <w:pPr>
        <w:rPr>
          <w:rFonts w:asciiTheme="minorHAnsi" w:eastAsia="Times New Roman" w:hAnsiTheme="minorHAnsi" w:cs="Arial"/>
          <w:sz w:val="22"/>
          <w:lang w:eastAsia="pl-PL"/>
        </w:rPr>
      </w:pPr>
    </w:p>
    <w:p w:rsidR="009413A6" w:rsidRPr="00563EF2" w:rsidRDefault="009413A6" w:rsidP="009413A6">
      <w:pPr>
        <w:rPr>
          <w:rFonts w:asciiTheme="minorHAnsi" w:eastAsia="Times New Roman" w:hAnsiTheme="minorHAnsi" w:cs="Arial"/>
          <w:sz w:val="22"/>
          <w:lang w:eastAsia="pl-PL"/>
        </w:rPr>
      </w:pPr>
    </w:p>
    <w:p w:rsidR="009413A6" w:rsidRPr="00563EF2" w:rsidRDefault="009413A6" w:rsidP="009413A6">
      <w:pPr>
        <w:spacing w:after="160"/>
        <w:rPr>
          <w:rFonts w:asciiTheme="minorHAnsi" w:hAnsiTheme="minorHAnsi"/>
          <w:sz w:val="22"/>
        </w:rPr>
      </w:pPr>
      <w:r w:rsidRPr="00563EF2">
        <w:rPr>
          <w:rFonts w:asciiTheme="minorHAnsi" w:hAnsiTheme="minorHAnsi"/>
          <w:sz w:val="22"/>
        </w:rPr>
        <w:br w:type="page"/>
      </w:r>
    </w:p>
    <w:p w:rsidR="009413A6" w:rsidRDefault="009413A6" w:rsidP="009413A6">
      <w:pPr>
        <w:spacing w:after="160"/>
        <w:rPr>
          <w:rFonts w:asciiTheme="minorHAnsi" w:hAnsiTheme="minorHAnsi"/>
          <w:sz w:val="22"/>
        </w:rPr>
      </w:pPr>
    </w:p>
    <w:p w:rsidR="00511588" w:rsidRDefault="00511588" w:rsidP="009413A6">
      <w:pPr>
        <w:spacing w:after="160"/>
        <w:rPr>
          <w:rFonts w:asciiTheme="minorHAnsi" w:hAnsiTheme="minorHAnsi"/>
          <w:sz w:val="22"/>
        </w:rPr>
      </w:pPr>
    </w:p>
    <w:p w:rsidR="00511588" w:rsidRPr="00563EF2" w:rsidRDefault="00511588" w:rsidP="009413A6">
      <w:pPr>
        <w:spacing w:after="160"/>
        <w:rPr>
          <w:rFonts w:asciiTheme="minorHAnsi" w:hAnsiTheme="minorHAnsi"/>
          <w:sz w:val="22"/>
        </w:rPr>
        <w:sectPr w:rsidR="00511588" w:rsidRPr="00563EF2" w:rsidSect="00B87EA5">
          <w:pgSz w:w="11906" w:h="16838"/>
          <w:pgMar w:top="1417" w:right="1417" w:bottom="1417" w:left="1417" w:header="708" w:footer="708" w:gutter="0"/>
          <w:cols w:space="708"/>
          <w:docGrid w:linePitch="360"/>
        </w:sectPr>
      </w:pPr>
    </w:p>
    <w:p w:rsidR="009413A6" w:rsidRPr="007F6382" w:rsidRDefault="009413A6" w:rsidP="009413A6">
      <w:pPr>
        <w:pStyle w:val="Legenda"/>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3</w:t>
      </w:r>
      <w:r w:rsidR="00017794" w:rsidRPr="007F6382">
        <w:rPr>
          <w:rFonts w:asciiTheme="minorHAnsi" w:hAnsiTheme="minorHAnsi"/>
          <w:noProof/>
          <w:sz w:val="20"/>
          <w:szCs w:val="22"/>
        </w:rPr>
        <w:fldChar w:fldCharType="end"/>
      </w:r>
      <w:r w:rsidRPr="007F6382">
        <w:rPr>
          <w:rFonts w:asciiTheme="minorHAnsi" w:hAnsiTheme="minorHAnsi"/>
          <w:sz w:val="20"/>
          <w:szCs w:val="22"/>
        </w:rPr>
        <w:t>. Infrastruktura społeczna.</w:t>
      </w:r>
    </w:p>
    <w:tbl>
      <w:tblPr>
        <w:tblW w:w="16325" w:type="dxa"/>
        <w:tblInd w:w="-1087" w:type="dxa"/>
        <w:tblLayout w:type="fixed"/>
        <w:tblCellMar>
          <w:left w:w="70" w:type="dxa"/>
          <w:right w:w="70" w:type="dxa"/>
        </w:tblCellMar>
        <w:tblLook w:val="04A0" w:firstRow="1" w:lastRow="0" w:firstColumn="1" w:lastColumn="0" w:noHBand="0" w:noVBand="1"/>
      </w:tblPr>
      <w:tblGrid>
        <w:gridCol w:w="448"/>
        <w:gridCol w:w="1135"/>
        <w:gridCol w:w="850"/>
        <w:gridCol w:w="1418"/>
        <w:gridCol w:w="1275"/>
        <w:gridCol w:w="1418"/>
        <w:gridCol w:w="1701"/>
        <w:gridCol w:w="1134"/>
        <w:gridCol w:w="1134"/>
        <w:gridCol w:w="992"/>
        <w:gridCol w:w="1338"/>
        <w:gridCol w:w="1275"/>
        <w:gridCol w:w="1134"/>
        <w:gridCol w:w="1073"/>
      </w:tblGrid>
      <w:tr w:rsidR="009413A6" w:rsidRPr="00563EF2" w:rsidTr="008E5BC0">
        <w:trPr>
          <w:trHeight w:val="425"/>
        </w:trPr>
        <w:tc>
          <w:tcPr>
            <w:tcW w:w="448" w:type="dxa"/>
            <w:vMerge w:val="restart"/>
            <w:tcBorders>
              <w:top w:val="single" w:sz="8" w:space="0" w:color="000000"/>
              <w:left w:val="single" w:sz="8" w:space="0" w:color="000000"/>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Nr</w:t>
            </w:r>
          </w:p>
        </w:tc>
        <w:tc>
          <w:tcPr>
            <w:tcW w:w="1135"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Miasto</w:t>
            </w:r>
          </w:p>
        </w:tc>
        <w:tc>
          <w:tcPr>
            <w:tcW w:w="850"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Ludność na aptekę ogólno</w:t>
            </w:r>
            <w:r w:rsidR="008E5BC0">
              <w:rPr>
                <w:rFonts w:asciiTheme="minorHAnsi" w:eastAsia="Times New Roman" w:hAnsiTheme="minorHAnsi" w:cs="Arial"/>
                <w:b/>
                <w:sz w:val="18"/>
                <w:szCs w:val="18"/>
                <w:lang w:eastAsia="pl-PL"/>
              </w:rPr>
              <w:t>-</w:t>
            </w:r>
            <w:r w:rsidRPr="00563EF2">
              <w:rPr>
                <w:rFonts w:asciiTheme="minorHAnsi" w:eastAsia="Times New Roman" w:hAnsiTheme="minorHAnsi" w:cs="Arial"/>
                <w:b/>
                <w:sz w:val="18"/>
                <w:szCs w:val="18"/>
                <w:lang w:eastAsia="pl-PL"/>
              </w:rPr>
              <w:t>dostępną</w:t>
            </w:r>
          </w:p>
        </w:tc>
        <w:tc>
          <w:tcPr>
            <w:tcW w:w="1418"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Placówki ambulatoryjnej opieki zdrowotnej na 10 tys. ludności</w:t>
            </w:r>
          </w:p>
        </w:tc>
        <w:tc>
          <w:tcPr>
            <w:tcW w:w="1275"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8E5BC0" w:rsidP="00EC5484">
            <w:pPr>
              <w:rPr>
                <w:rFonts w:asciiTheme="minorHAnsi" w:eastAsia="Times New Roman" w:hAnsiTheme="minorHAnsi" w:cs="Arial"/>
                <w:b/>
                <w:sz w:val="18"/>
                <w:szCs w:val="18"/>
                <w:lang w:eastAsia="pl-PL"/>
              </w:rPr>
            </w:pPr>
            <w:r>
              <w:rPr>
                <w:rFonts w:asciiTheme="minorHAnsi" w:eastAsia="Times New Roman" w:hAnsiTheme="minorHAnsi" w:cs="Arial"/>
                <w:b/>
                <w:sz w:val="18"/>
                <w:szCs w:val="18"/>
                <w:lang w:eastAsia="pl-PL"/>
              </w:rPr>
              <w:t>Ludność na 1 </w:t>
            </w:r>
            <w:r w:rsidR="009413A6" w:rsidRPr="00563EF2">
              <w:rPr>
                <w:rFonts w:asciiTheme="minorHAnsi" w:eastAsia="Times New Roman" w:hAnsiTheme="minorHAnsi" w:cs="Arial"/>
                <w:b/>
                <w:sz w:val="18"/>
                <w:szCs w:val="18"/>
                <w:lang w:eastAsia="pl-PL"/>
              </w:rPr>
              <w:t>placówkę biblioteczną</w:t>
            </w:r>
          </w:p>
        </w:tc>
        <w:tc>
          <w:tcPr>
            <w:tcW w:w="1418"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Ludność przypadająca na jedno muzeum</w:t>
            </w:r>
          </w:p>
        </w:tc>
        <w:tc>
          <w:tcPr>
            <w:tcW w:w="1701"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Ludność przypadająca na jedną placówkę: do</w:t>
            </w:r>
            <w:r w:rsidR="00A8787F">
              <w:rPr>
                <w:rFonts w:asciiTheme="minorHAnsi" w:eastAsia="Times New Roman" w:hAnsiTheme="minorHAnsi" w:cs="Arial"/>
                <w:b/>
                <w:sz w:val="18"/>
                <w:szCs w:val="18"/>
                <w:lang w:eastAsia="pl-PL"/>
              </w:rPr>
              <w:t>mów, ośrodków kultury, klubów i </w:t>
            </w:r>
            <w:r w:rsidRPr="00563EF2">
              <w:rPr>
                <w:rFonts w:asciiTheme="minorHAnsi" w:eastAsia="Times New Roman" w:hAnsiTheme="minorHAnsi" w:cs="Arial"/>
                <w:b/>
                <w:sz w:val="18"/>
                <w:szCs w:val="18"/>
                <w:lang w:eastAsia="pl-PL"/>
              </w:rPr>
              <w:t>świetlic</w:t>
            </w:r>
          </w:p>
        </w:tc>
        <w:tc>
          <w:tcPr>
            <w:tcW w:w="3260" w:type="dxa"/>
            <w:gridSpan w:val="3"/>
            <w:tcBorders>
              <w:top w:val="single" w:sz="8" w:space="0" w:color="000000"/>
              <w:left w:val="single" w:sz="8" w:space="0" w:color="000000"/>
              <w:bottom w:val="single" w:sz="8" w:space="0" w:color="000000"/>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Uczniowie przypadający na 1 komputer z dostępem do Internetu przeznaczony do użytku uczniów</w:t>
            </w:r>
          </w:p>
        </w:tc>
        <w:tc>
          <w:tcPr>
            <w:tcW w:w="1338"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Ilość mieszkań przypadających na 1000 mieszkańców</w:t>
            </w:r>
          </w:p>
        </w:tc>
        <w:tc>
          <w:tcPr>
            <w:tcW w:w="1275"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Średnia powierzchnia użytkowa mieszkań (w m²)</w:t>
            </w:r>
          </w:p>
        </w:tc>
        <w:tc>
          <w:tcPr>
            <w:tcW w:w="1134"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sz w:val="18"/>
                <w:szCs w:val="18"/>
                <w:lang w:eastAsia="pl-PL"/>
              </w:rPr>
            </w:pPr>
          </w:p>
          <w:p w:rsidR="009413A6" w:rsidRPr="00563EF2" w:rsidRDefault="009413A6" w:rsidP="00EC5484">
            <w:pPr>
              <w:rPr>
                <w:rFonts w:asciiTheme="minorHAnsi" w:eastAsia="Times New Roman" w:hAnsiTheme="minorHAnsi" w:cs="Arial"/>
                <w:b/>
                <w:sz w:val="18"/>
                <w:szCs w:val="18"/>
                <w:lang w:eastAsia="pl-PL"/>
              </w:rPr>
            </w:pPr>
            <w:r w:rsidRPr="00563EF2">
              <w:rPr>
                <w:rFonts w:asciiTheme="minorHAnsi" w:eastAsia="Times New Roman" w:hAnsiTheme="minorHAnsi" w:cs="Arial"/>
                <w:b/>
                <w:sz w:val="18"/>
                <w:szCs w:val="18"/>
                <w:lang w:eastAsia="pl-PL"/>
              </w:rPr>
              <w:t>Ilość miejsc noclegowych na 1000 ludności</w:t>
            </w:r>
          </w:p>
        </w:tc>
        <w:tc>
          <w:tcPr>
            <w:tcW w:w="1073" w:type="dxa"/>
            <w:vMerge w:val="restart"/>
            <w:tcBorders>
              <w:top w:val="single" w:sz="8" w:space="0" w:color="000000"/>
              <w:left w:val="nil"/>
              <w:right w:val="single" w:sz="8" w:space="0" w:color="000000"/>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color w:val="FFFFFF" w:themeColor="background1"/>
                <w:sz w:val="18"/>
                <w:szCs w:val="18"/>
                <w:lang w:eastAsia="pl-PL"/>
              </w:rPr>
            </w:pPr>
          </w:p>
          <w:p w:rsidR="009413A6" w:rsidRPr="00563EF2" w:rsidRDefault="009413A6" w:rsidP="00EC5484">
            <w:pPr>
              <w:rPr>
                <w:rFonts w:asciiTheme="minorHAnsi" w:eastAsia="Times New Roman" w:hAnsiTheme="minorHAnsi" w:cs="Arial"/>
                <w:b/>
                <w:color w:val="000000" w:themeColor="text1"/>
                <w:sz w:val="18"/>
                <w:szCs w:val="18"/>
                <w:lang w:eastAsia="pl-PL"/>
              </w:rPr>
            </w:pPr>
            <w:r w:rsidRPr="00563EF2">
              <w:rPr>
                <w:rFonts w:asciiTheme="minorHAnsi" w:eastAsia="Times New Roman" w:hAnsiTheme="minorHAnsi" w:cs="Arial"/>
                <w:b/>
                <w:color w:val="000000" w:themeColor="text1"/>
                <w:sz w:val="18"/>
                <w:szCs w:val="18"/>
                <w:lang w:eastAsia="pl-PL"/>
              </w:rPr>
              <w:t>Wskaźnik sumaryczny</w:t>
            </w:r>
            <w:r w:rsidR="00D303A5">
              <w:rPr>
                <w:rFonts w:asciiTheme="minorHAnsi" w:eastAsia="Times New Roman" w:hAnsiTheme="minorHAnsi" w:cs="Arial"/>
                <w:b/>
                <w:color w:val="000000" w:themeColor="text1"/>
                <w:sz w:val="18"/>
                <w:szCs w:val="18"/>
                <w:lang w:eastAsia="pl-PL"/>
              </w:rPr>
              <w:t xml:space="preserve"> </w:t>
            </w:r>
          </w:p>
        </w:tc>
      </w:tr>
      <w:tr w:rsidR="009413A6" w:rsidRPr="00563EF2" w:rsidTr="008E5BC0">
        <w:trPr>
          <w:trHeight w:val="1124"/>
        </w:trPr>
        <w:tc>
          <w:tcPr>
            <w:tcW w:w="448" w:type="dxa"/>
            <w:vMerge/>
            <w:tcBorders>
              <w:left w:val="single" w:sz="8" w:space="0" w:color="000000"/>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135"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850"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418"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275"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418"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701"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134" w:type="dxa"/>
            <w:tcBorders>
              <w:top w:val="nil"/>
              <w:left w:val="nil"/>
              <w:bottom w:val="single" w:sz="4" w:space="0" w:color="000000" w:themeColor="text1"/>
              <w:right w:val="single" w:sz="8" w:space="0" w:color="000000"/>
            </w:tcBorders>
            <w:shd w:val="clear" w:color="auto" w:fill="ACB9CA" w:themeFill="text2" w:themeFillTint="66"/>
            <w:noWrap/>
            <w:vAlign w:val="bottom"/>
            <w:hideMark/>
          </w:tcPr>
          <w:p w:rsidR="009413A6" w:rsidRPr="00563EF2" w:rsidRDefault="00A8787F" w:rsidP="00A8787F">
            <w:pPr>
              <w:jc w:val="left"/>
              <w:rPr>
                <w:rFonts w:asciiTheme="minorHAnsi" w:eastAsia="Times New Roman" w:hAnsiTheme="minorHAnsi" w:cs="Arial"/>
                <w:b/>
                <w:sz w:val="18"/>
                <w:szCs w:val="18"/>
                <w:lang w:eastAsia="pl-PL"/>
              </w:rPr>
            </w:pPr>
            <w:r>
              <w:rPr>
                <w:rFonts w:asciiTheme="minorHAnsi" w:eastAsia="Times New Roman" w:hAnsiTheme="minorHAnsi" w:cs="Arial"/>
                <w:b/>
                <w:sz w:val="18"/>
                <w:szCs w:val="18"/>
                <w:lang w:eastAsia="pl-PL"/>
              </w:rPr>
              <w:t>szkoły podstawowe dla dzieci i </w:t>
            </w:r>
            <w:r w:rsidR="009413A6" w:rsidRPr="00563EF2">
              <w:rPr>
                <w:rFonts w:asciiTheme="minorHAnsi" w:eastAsia="Times New Roman" w:hAnsiTheme="minorHAnsi" w:cs="Arial"/>
                <w:b/>
                <w:sz w:val="18"/>
                <w:szCs w:val="18"/>
                <w:lang w:eastAsia="pl-PL"/>
              </w:rPr>
              <w:t>młodzieży bez specjalnych</w:t>
            </w:r>
          </w:p>
        </w:tc>
        <w:tc>
          <w:tcPr>
            <w:tcW w:w="1134" w:type="dxa"/>
            <w:tcBorders>
              <w:top w:val="nil"/>
              <w:left w:val="nil"/>
              <w:bottom w:val="single" w:sz="4" w:space="0" w:color="000000" w:themeColor="text1"/>
              <w:right w:val="single" w:sz="8" w:space="0" w:color="000000"/>
            </w:tcBorders>
            <w:shd w:val="clear" w:color="auto" w:fill="ACB9CA" w:themeFill="text2" w:themeFillTint="66"/>
            <w:noWrap/>
            <w:vAlign w:val="bottom"/>
            <w:hideMark/>
          </w:tcPr>
          <w:p w:rsidR="009413A6" w:rsidRPr="00563EF2" w:rsidRDefault="00A8787F" w:rsidP="00A8787F">
            <w:pPr>
              <w:jc w:val="left"/>
              <w:rPr>
                <w:rFonts w:asciiTheme="minorHAnsi" w:eastAsia="Times New Roman" w:hAnsiTheme="minorHAnsi" w:cs="Arial"/>
                <w:b/>
                <w:sz w:val="18"/>
                <w:szCs w:val="18"/>
                <w:lang w:eastAsia="pl-PL"/>
              </w:rPr>
            </w:pPr>
            <w:r>
              <w:rPr>
                <w:rFonts w:asciiTheme="minorHAnsi" w:eastAsia="Times New Roman" w:hAnsiTheme="minorHAnsi" w:cs="Arial"/>
                <w:b/>
                <w:sz w:val="18"/>
                <w:szCs w:val="18"/>
                <w:lang w:eastAsia="pl-PL"/>
              </w:rPr>
              <w:t>gimnazja dla dzieci i </w:t>
            </w:r>
            <w:r w:rsidR="009413A6" w:rsidRPr="00563EF2">
              <w:rPr>
                <w:rFonts w:asciiTheme="minorHAnsi" w:eastAsia="Times New Roman" w:hAnsiTheme="minorHAnsi" w:cs="Arial"/>
                <w:b/>
                <w:sz w:val="18"/>
                <w:szCs w:val="18"/>
                <w:lang w:eastAsia="pl-PL"/>
              </w:rPr>
              <w:t>młodzieży bez specjalnych</w:t>
            </w:r>
          </w:p>
        </w:tc>
        <w:tc>
          <w:tcPr>
            <w:tcW w:w="992" w:type="dxa"/>
            <w:tcBorders>
              <w:top w:val="nil"/>
              <w:left w:val="nil"/>
              <w:bottom w:val="single" w:sz="4" w:space="0" w:color="000000" w:themeColor="text1"/>
              <w:right w:val="nil"/>
            </w:tcBorders>
            <w:shd w:val="clear" w:color="auto" w:fill="ACB9CA" w:themeFill="text2" w:themeFillTint="66"/>
            <w:noWrap/>
            <w:vAlign w:val="bottom"/>
            <w:hideMark/>
          </w:tcPr>
          <w:p w:rsidR="009413A6" w:rsidRPr="00563EF2" w:rsidRDefault="008E5BC0" w:rsidP="00A8787F">
            <w:pPr>
              <w:jc w:val="left"/>
              <w:rPr>
                <w:rFonts w:asciiTheme="minorHAnsi" w:eastAsia="Times New Roman" w:hAnsiTheme="minorHAnsi" w:cs="Arial"/>
                <w:b/>
                <w:sz w:val="18"/>
                <w:szCs w:val="18"/>
                <w:lang w:eastAsia="pl-PL"/>
              </w:rPr>
            </w:pPr>
            <w:r>
              <w:rPr>
                <w:rFonts w:asciiTheme="minorHAnsi" w:eastAsia="Times New Roman" w:hAnsiTheme="minorHAnsi" w:cs="Arial"/>
                <w:b/>
                <w:sz w:val="18"/>
                <w:szCs w:val="18"/>
                <w:lang w:eastAsia="pl-PL"/>
              </w:rPr>
              <w:t>szkoły ponadgim-n</w:t>
            </w:r>
            <w:r w:rsidR="009413A6" w:rsidRPr="00563EF2">
              <w:rPr>
                <w:rFonts w:asciiTheme="minorHAnsi" w:eastAsia="Times New Roman" w:hAnsiTheme="minorHAnsi" w:cs="Arial"/>
                <w:b/>
                <w:sz w:val="18"/>
                <w:szCs w:val="18"/>
                <w:lang w:eastAsia="pl-PL"/>
              </w:rPr>
              <w:t>azjalne</w:t>
            </w:r>
          </w:p>
        </w:tc>
        <w:tc>
          <w:tcPr>
            <w:tcW w:w="1338" w:type="dxa"/>
            <w:vMerge/>
            <w:tcBorders>
              <w:left w:val="single" w:sz="8" w:space="0" w:color="000000"/>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275"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134"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073" w:type="dxa"/>
            <w:vMerge/>
            <w:tcBorders>
              <w:left w:val="nil"/>
              <w:bottom w:val="single" w:sz="4" w:space="0" w:color="000000" w:themeColor="text1"/>
              <w:right w:val="single" w:sz="8" w:space="0" w:color="00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Jelenia Góra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11835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20711,5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20711,5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6,68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419,86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64,34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32,01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63BE7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10,36</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Bielsko-Biała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7265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58123,33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11624,67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392,53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68,15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9,02</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82C77D"/>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8,26</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Świdnica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11947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29868,5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29868,5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396,30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62,56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9,93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C2DA81"/>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3,84</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Koszalin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9940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54671,5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13667,88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8,96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401,16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63,38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5,56</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1DE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2,75</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Częstochowa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9770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78157,33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29309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415,41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11,25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DF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2,48</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Kalisz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2379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10468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34892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52338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406,38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62,00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7,75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BE583"/>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1,00</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Włocławek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2407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6797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115546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28886,5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7,78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393,01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55,95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5,45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0E7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0,58</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Wałbrzych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8512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119171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59585,5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424,52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53,91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3,59</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4E8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0,35</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Legnica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2090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6025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102422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34140,67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15,24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17,54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7,71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402,63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62,90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10,77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DEB84"/>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-0,29</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Tarnów</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7530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28238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18825,33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16,41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11,81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376,19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62,87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7,45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EB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-0,46</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Słupsk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2710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13550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94849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23712,25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17,41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398,46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59,01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8,07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DD57F"/>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-1,58</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Rybnik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4542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6704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140789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23464,83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330,38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5,06</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DC67D"/>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-2,34</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Ostrów Wlkp.</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2605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10419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72933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72933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361,51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75,74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6,22</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CC07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-2,67</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Płock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3170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8242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61813,5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61813,5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6,92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398,29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58,77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5,40</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CBA7A"/>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-3,00</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Radom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2891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12924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73234,33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36617,17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10,34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370,16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60,16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4,52</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A9C7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-4,56</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Elbląg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3989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13740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123659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61829,5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368,01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57,55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7,63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A9B7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-4,60</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Lubin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2263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12445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 -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24889,67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12,14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383,99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57,26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4,07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97D6F"/>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-6,12</w:t>
            </w:r>
          </w:p>
        </w:tc>
      </w:tr>
      <w:tr w:rsidR="009413A6" w:rsidRPr="00563EF2" w:rsidTr="008E5BC0">
        <w:trPr>
          <w:trHeight w:val="257"/>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Grudziądz</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3062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8164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97971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48985,5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15,61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388,18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56,75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9,43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8736C"/>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-6,68</w:t>
            </w:r>
          </w:p>
        </w:tc>
      </w:tr>
      <w:tr w:rsidR="009413A6" w:rsidRPr="00563EF2" w:rsidTr="008E5BC0">
        <w:trPr>
          <w:trHeight w:val="272"/>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Głogów</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2883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17296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69185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69185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364,17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58,23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4,65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8696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-7,21</w:t>
            </w:r>
          </w:p>
        </w:tc>
      </w:tr>
      <w:tr w:rsidR="009413A6" w:rsidRPr="00563EF2" w:rsidTr="008E5BC0">
        <w:trPr>
          <w:trHeight w:val="272"/>
        </w:trPr>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color w:val="FF0000"/>
                <w:sz w:val="18"/>
                <w:szCs w:val="18"/>
                <w:lang w:eastAsia="pl-PL"/>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Wrocław</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2391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13430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26299,5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52599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12,34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10,58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7,72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447,63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71,12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15,69</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9413A6" w:rsidRPr="00563EF2" w:rsidRDefault="009413A6" w:rsidP="00EC5484">
            <w:pPr>
              <w:rPr>
                <w:rFonts w:asciiTheme="minorHAnsi" w:eastAsia="Times New Roman" w:hAnsiTheme="minorHAnsi" w:cs="Arial"/>
                <w:b/>
                <w:color w:val="FF0000"/>
                <w:sz w:val="18"/>
                <w:szCs w:val="18"/>
                <w:lang w:eastAsia="pl-PL"/>
              </w:rPr>
            </w:pPr>
            <w:r w:rsidRPr="00563EF2">
              <w:rPr>
                <w:rFonts w:asciiTheme="minorHAnsi" w:eastAsia="Times New Roman" w:hAnsiTheme="minorHAnsi" w:cs="Arial"/>
                <w:b/>
                <w:color w:val="FF0000"/>
                <w:sz w:val="18"/>
                <w:szCs w:val="18"/>
                <w:lang w:eastAsia="pl-PL"/>
              </w:rPr>
              <w:t>8,00</w:t>
            </w:r>
          </w:p>
        </w:tc>
      </w:tr>
    </w:tbl>
    <w:p w:rsidR="009413A6" w:rsidRPr="002E2D3F" w:rsidRDefault="009413A6" w:rsidP="009413A6">
      <w:pPr>
        <w:rPr>
          <w:rFonts w:asciiTheme="minorHAnsi" w:eastAsia="Times New Roman" w:hAnsiTheme="minorHAnsi" w:cs="Arial"/>
          <w:sz w:val="20"/>
          <w:lang w:eastAsia="pl-PL"/>
        </w:rPr>
      </w:pPr>
      <w:r w:rsidRPr="002E2D3F">
        <w:rPr>
          <w:rFonts w:asciiTheme="minorHAnsi" w:eastAsia="Times New Roman" w:hAnsiTheme="minorHAnsi" w:cs="Arial"/>
          <w:sz w:val="20"/>
          <w:lang w:eastAsia="pl-PL"/>
        </w:rPr>
        <w:t>Źródło: opracowanie własne na podstawie danych GUS</w:t>
      </w:r>
      <w:r w:rsidR="002E2D3F">
        <w:rPr>
          <w:rFonts w:asciiTheme="minorHAnsi" w:eastAsia="Times New Roman" w:hAnsiTheme="minorHAnsi" w:cs="Arial"/>
          <w:sz w:val="20"/>
          <w:lang w:eastAsia="pl-PL"/>
        </w:rPr>
        <w:t>,</w:t>
      </w:r>
      <w:r w:rsidRPr="002E2D3F">
        <w:rPr>
          <w:rFonts w:asciiTheme="minorHAnsi" w:eastAsia="Times New Roman" w:hAnsiTheme="minorHAnsi" w:cs="Arial"/>
          <w:sz w:val="20"/>
          <w:lang w:eastAsia="pl-PL"/>
        </w:rPr>
        <w:t xml:space="preserve"> Bank Danych Lokalnych (dane na koniec 2012 r.)</w:t>
      </w:r>
      <w:r w:rsidR="0010032B">
        <w:rPr>
          <w:rFonts w:asciiTheme="minorHAnsi" w:eastAsia="Times New Roman" w:hAnsiTheme="minorHAnsi" w:cs="Arial"/>
          <w:sz w:val="20"/>
          <w:lang w:eastAsia="pl-PL"/>
        </w:rPr>
        <w:t>.</w:t>
      </w:r>
    </w:p>
    <w:p w:rsidR="009413A6" w:rsidRPr="00563EF2" w:rsidRDefault="009413A6" w:rsidP="009413A6">
      <w:pPr>
        <w:rPr>
          <w:rFonts w:asciiTheme="minorHAnsi" w:hAnsiTheme="minorHAnsi"/>
          <w:sz w:val="22"/>
        </w:rPr>
        <w:sectPr w:rsidR="009413A6" w:rsidRPr="00563EF2" w:rsidSect="00B76DAC">
          <w:pgSz w:w="16838" w:h="11906" w:orient="landscape"/>
          <w:pgMar w:top="1417" w:right="1417" w:bottom="1417" w:left="1417" w:header="708" w:footer="708" w:gutter="0"/>
          <w:cols w:space="708"/>
          <w:docGrid w:linePitch="360"/>
        </w:sectPr>
      </w:pP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Z przeprowadzonej analizy wynika, iż Miasto Legnica cechuje się</w:t>
      </w:r>
      <w:r w:rsidR="00A8787F">
        <w:rPr>
          <w:rFonts w:asciiTheme="minorHAnsi" w:hAnsiTheme="minorHAnsi"/>
          <w:color w:val="000000"/>
          <w:sz w:val="22"/>
        </w:rPr>
        <w:t xml:space="preserve"> średnim poziomem wyposażenia w </w:t>
      </w:r>
      <w:r w:rsidRPr="00563EF2">
        <w:rPr>
          <w:rFonts w:asciiTheme="minorHAnsi" w:hAnsiTheme="minorHAnsi"/>
          <w:color w:val="000000"/>
          <w:sz w:val="22"/>
        </w:rPr>
        <w:t>infrastrukturę społeczną. Wartość wskaźnika sumarycznego dla infrastruktury społecznej znajdowała się niewiele poniżej średniego poziomu dla wszystkich rozpatrywanych m</w:t>
      </w:r>
      <w:r w:rsidR="00EE6BE7">
        <w:rPr>
          <w:rFonts w:asciiTheme="minorHAnsi" w:hAnsiTheme="minorHAnsi"/>
          <w:color w:val="000000"/>
          <w:sz w:val="22"/>
        </w:rPr>
        <w:t>iast (9. miejsce).</w:t>
      </w:r>
      <w:r w:rsidRPr="00563EF2">
        <w:rPr>
          <w:rFonts w:asciiTheme="minorHAnsi" w:hAnsiTheme="minorHAnsi"/>
          <w:color w:val="000000"/>
          <w:sz w:val="22"/>
        </w:rPr>
        <w:t xml:space="preserve"> </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 xml:space="preserve">Legnica na tle porównywanych miast charakteryzuje się najwyższym poziomem dostępu do  bibliotek oraz nie najgorszą dostępnością do domów i ośrodków kultury, co wpływa na jakość życia kulturalnego i możliwość rozwoju społecznego jej mieszkańców. </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Jak wynika z analizy mieszkańcy Legnicy posiadają relatywnie dobry dostęp do rozbudowanej sieci aptek (3. miejsce).</w:t>
      </w:r>
      <w:r w:rsidR="00EE6BE7">
        <w:rPr>
          <w:rFonts w:asciiTheme="minorHAnsi" w:hAnsiTheme="minorHAnsi"/>
          <w:color w:val="000000"/>
          <w:sz w:val="22"/>
        </w:rPr>
        <w:t xml:space="preserve"> Z kolei</w:t>
      </w:r>
      <w:r w:rsidRPr="00563EF2">
        <w:rPr>
          <w:rFonts w:asciiTheme="minorHAnsi" w:hAnsiTheme="minorHAnsi"/>
          <w:color w:val="000000"/>
          <w:sz w:val="22"/>
        </w:rPr>
        <w:t xml:space="preserve"> </w:t>
      </w:r>
      <w:r w:rsidR="00EE6BE7">
        <w:rPr>
          <w:rFonts w:asciiTheme="minorHAnsi" w:hAnsiTheme="minorHAnsi"/>
          <w:color w:val="000000"/>
          <w:sz w:val="22"/>
        </w:rPr>
        <w:t>l</w:t>
      </w:r>
      <w:r w:rsidRPr="00563EF2">
        <w:rPr>
          <w:rFonts w:asciiTheme="minorHAnsi" w:hAnsiTheme="minorHAnsi"/>
          <w:color w:val="000000"/>
          <w:sz w:val="22"/>
        </w:rPr>
        <w:t xml:space="preserve">iczba placówek ambulatoryjnej opieki zdrowotnej przypadających na 10 tys. mieszkańców jest jedną z najniższych wśród rozpatrywanych miast. </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Legnicę wyraźnie wyróżniają jedne z najniższych poziomów wskaźników komputeryzacji szkół na poziomie podstawowym i gimnazjalnym. Wskaźnik ten ma wpływ na jakość kształcenia i możliwość realizacji nowoczesnych programów edukacyjnych, dostosowanych do wymagań współczesnego społeczeństwa cyfrowego. Warto zatem rozważyć, czy ilość i jakość wyposażenia odpowiada zapotrzebowaniu. Wskaźniki komputeryzacji na poziomie ponadgimnazjalnym wypadały korzystnie na tle innych miast.</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Liczba dostę</w:t>
      </w:r>
      <w:r w:rsidR="008E5BC0">
        <w:rPr>
          <w:rFonts w:asciiTheme="minorHAnsi" w:hAnsiTheme="minorHAnsi"/>
          <w:color w:val="000000"/>
          <w:sz w:val="22"/>
        </w:rPr>
        <w:t>pnych mieszkań w Legnicy na 1 0</w:t>
      </w:r>
      <w:r w:rsidRPr="00563EF2">
        <w:rPr>
          <w:rFonts w:asciiTheme="minorHAnsi" w:hAnsiTheme="minorHAnsi"/>
          <w:color w:val="000000"/>
          <w:sz w:val="22"/>
        </w:rPr>
        <w:t>00 mieszkańców jest relatywnie wysoka i  wynosi 402,63. Przeciętna powierzchnia uż</w:t>
      </w:r>
      <w:r w:rsidR="007E368F">
        <w:rPr>
          <w:rFonts w:asciiTheme="minorHAnsi" w:hAnsiTheme="minorHAnsi"/>
          <w:color w:val="000000"/>
          <w:sz w:val="22"/>
        </w:rPr>
        <w:t xml:space="preserve">ytkowa mieszkania w Legnicy jest również jedną z najwyższych spośród badanych miast </w:t>
      </w:r>
      <w:r w:rsidRPr="00563EF2">
        <w:rPr>
          <w:rFonts w:asciiTheme="minorHAnsi" w:hAnsiTheme="minorHAnsi"/>
          <w:color w:val="000000"/>
          <w:sz w:val="22"/>
        </w:rPr>
        <w:t xml:space="preserve">i wynosi 62,9 m². </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Pod względem wyposażenia w bazę noclegową Legnic</w:t>
      </w:r>
      <w:r w:rsidR="00625CC5">
        <w:rPr>
          <w:rFonts w:asciiTheme="minorHAnsi" w:hAnsiTheme="minorHAnsi"/>
          <w:color w:val="000000"/>
          <w:sz w:val="22"/>
        </w:rPr>
        <w:t>a wykazuje spory potencjał (3. m</w:t>
      </w:r>
      <w:r w:rsidRPr="00563EF2">
        <w:rPr>
          <w:rFonts w:asciiTheme="minorHAnsi" w:hAnsiTheme="minorHAnsi"/>
          <w:color w:val="000000"/>
          <w:sz w:val="22"/>
        </w:rPr>
        <w:t>iejsce). Wysoki wskaźnik miejsc noclegowych, biorąc pod uwagę wielkość oraz zabytkowy charakter miasta oraz dostępność komunikacyjną, może stanowić spory potencjał rozwojowy, ukierunkowany na turystykę wypadową.</w:t>
      </w:r>
    </w:p>
    <w:p w:rsidR="009413A6" w:rsidRPr="00E235FE" w:rsidRDefault="009413A6" w:rsidP="009413A6">
      <w:pPr>
        <w:spacing w:after="120"/>
        <w:rPr>
          <w:rFonts w:asciiTheme="minorHAnsi" w:hAnsiTheme="minorHAnsi"/>
          <w:b/>
          <w:color w:val="000000"/>
          <w:sz w:val="22"/>
        </w:rPr>
      </w:pPr>
      <w:r w:rsidRPr="00E235FE">
        <w:rPr>
          <w:rFonts w:asciiTheme="minorHAnsi" w:hAnsiTheme="minorHAnsi"/>
          <w:b/>
          <w:color w:val="000000"/>
          <w:sz w:val="22"/>
        </w:rPr>
        <w:t>W zakresie infrastruktury społecznej Legnica posiada swoje mocne</w:t>
      </w:r>
      <w:r w:rsidR="00E235FE">
        <w:rPr>
          <w:rFonts w:asciiTheme="minorHAnsi" w:hAnsiTheme="minorHAnsi"/>
          <w:b/>
          <w:color w:val="000000"/>
          <w:sz w:val="22"/>
        </w:rPr>
        <w:t xml:space="preserve"> (kultura, miejsca noclegowe) i </w:t>
      </w:r>
      <w:r w:rsidRPr="00E235FE">
        <w:rPr>
          <w:rFonts w:asciiTheme="minorHAnsi" w:hAnsiTheme="minorHAnsi"/>
          <w:b/>
          <w:color w:val="000000"/>
          <w:sz w:val="22"/>
        </w:rPr>
        <w:t>słabe strony (komputeryzacja szkół). Warto zatem w najbliższych latach  doinwestować i poszerzyć ofertę Miasta w obszarach</w:t>
      </w:r>
      <w:r w:rsidR="008E5BC0">
        <w:rPr>
          <w:rFonts w:asciiTheme="minorHAnsi" w:hAnsiTheme="minorHAnsi"/>
          <w:b/>
          <w:color w:val="000000"/>
          <w:sz w:val="22"/>
        </w:rPr>
        <w:t>,</w:t>
      </w:r>
      <w:r w:rsidRPr="00E235FE">
        <w:rPr>
          <w:rFonts w:asciiTheme="minorHAnsi" w:hAnsiTheme="minorHAnsi"/>
          <w:b/>
          <w:color w:val="000000"/>
          <w:sz w:val="22"/>
        </w:rPr>
        <w:t xml:space="preserve"> w których występują wyraźne braki w stosunku do innych miast oraz wzmacniać posiadane potencjały, po to</w:t>
      </w:r>
      <w:r w:rsidR="008E5BC0">
        <w:rPr>
          <w:rFonts w:asciiTheme="minorHAnsi" w:hAnsiTheme="minorHAnsi"/>
          <w:b/>
          <w:color w:val="000000"/>
          <w:sz w:val="22"/>
        </w:rPr>
        <w:t>,</w:t>
      </w:r>
      <w:r w:rsidRPr="00E235FE">
        <w:rPr>
          <w:rFonts w:asciiTheme="minorHAnsi" w:hAnsiTheme="minorHAnsi"/>
          <w:b/>
          <w:color w:val="000000"/>
          <w:sz w:val="22"/>
        </w:rPr>
        <w:t xml:space="preserve"> aby Legnica stała się miastem atrakcyjnym i przyjaznym</w:t>
      </w:r>
      <w:r w:rsidR="00EE6BE7" w:rsidRPr="00E235FE">
        <w:rPr>
          <w:rFonts w:asciiTheme="minorHAnsi" w:hAnsiTheme="minorHAnsi"/>
          <w:b/>
          <w:color w:val="000000"/>
          <w:sz w:val="22"/>
        </w:rPr>
        <w:t xml:space="preserve"> dla mieszkańców oraz odwiedzających ją turystów</w:t>
      </w:r>
      <w:r w:rsidRPr="00E235FE">
        <w:rPr>
          <w:rFonts w:asciiTheme="minorHAnsi" w:hAnsiTheme="minorHAnsi"/>
          <w:b/>
          <w:color w:val="000000"/>
          <w:sz w:val="22"/>
        </w:rPr>
        <w:t>.</w:t>
      </w:r>
    </w:p>
    <w:p w:rsidR="009413A6" w:rsidRPr="00563EF2" w:rsidRDefault="009413A6" w:rsidP="009413A6">
      <w:pPr>
        <w:spacing w:after="120"/>
        <w:rPr>
          <w:rFonts w:asciiTheme="minorHAnsi" w:hAnsiTheme="minorHAnsi"/>
          <w:color w:val="000000"/>
          <w:sz w:val="22"/>
        </w:rPr>
      </w:pPr>
      <w:r w:rsidRPr="00563EF2">
        <w:rPr>
          <w:rFonts w:asciiTheme="minorHAnsi" w:hAnsiTheme="minorHAnsi"/>
          <w:color w:val="000000"/>
          <w:sz w:val="22"/>
        </w:rPr>
        <w:t xml:space="preserve">  </w:t>
      </w: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563EF2" w:rsidRDefault="009413A6" w:rsidP="009413A6">
      <w:pPr>
        <w:spacing w:after="120"/>
        <w:rPr>
          <w:rFonts w:asciiTheme="minorHAnsi" w:hAnsiTheme="minorHAnsi"/>
          <w:color w:val="000000"/>
          <w:sz w:val="22"/>
        </w:rPr>
      </w:pPr>
    </w:p>
    <w:p w:rsidR="009413A6" w:rsidRPr="007F6382" w:rsidRDefault="009413A6" w:rsidP="009413A6">
      <w:pPr>
        <w:pStyle w:val="Legenda"/>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4</w:t>
      </w:r>
      <w:r w:rsidR="00017794" w:rsidRPr="007F6382">
        <w:rPr>
          <w:rFonts w:asciiTheme="minorHAnsi" w:hAnsiTheme="minorHAnsi"/>
          <w:noProof/>
          <w:sz w:val="20"/>
          <w:szCs w:val="22"/>
        </w:rPr>
        <w:fldChar w:fldCharType="end"/>
      </w:r>
      <w:r w:rsidRPr="007F6382">
        <w:rPr>
          <w:rFonts w:asciiTheme="minorHAnsi" w:hAnsiTheme="minorHAnsi"/>
          <w:sz w:val="20"/>
          <w:szCs w:val="22"/>
        </w:rPr>
        <w:t>. Infrastruktura techniczna.</w:t>
      </w:r>
    </w:p>
    <w:tbl>
      <w:tblPr>
        <w:tblW w:w="11320" w:type="dxa"/>
        <w:tblInd w:w="-1124" w:type="dxa"/>
        <w:tblLayout w:type="fixed"/>
        <w:tblCellMar>
          <w:left w:w="70" w:type="dxa"/>
          <w:right w:w="70" w:type="dxa"/>
        </w:tblCellMar>
        <w:tblLook w:val="04A0" w:firstRow="1" w:lastRow="0" w:firstColumn="1" w:lastColumn="0" w:noHBand="0" w:noVBand="1"/>
      </w:tblPr>
      <w:tblGrid>
        <w:gridCol w:w="425"/>
        <w:gridCol w:w="1276"/>
        <w:gridCol w:w="876"/>
        <w:gridCol w:w="876"/>
        <w:gridCol w:w="877"/>
        <w:gridCol w:w="811"/>
        <w:gridCol w:w="811"/>
        <w:gridCol w:w="812"/>
        <w:gridCol w:w="1853"/>
        <w:gridCol w:w="1564"/>
        <w:gridCol w:w="1139"/>
      </w:tblGrid>
      <w:tr w:rsidR="00D303A5" w:rsidRPr="00D303A5" w:rsidTr="00A8787F">
        <w:trPr>
          <w:trHeight w:val="270"/>
        </w:trPr>
        <w:tc>
          <w:tcPr>
            <w:tcW w:w="425" w:type="dxa"/>
            <w:vMerge w:val="restart"/>
            <w:tcBorders>
              <w:top w:val="single" w:sz="8" w:space="0" w:color="000000"/>
              <w:left w:val="single" w:sz="8" w:space="0" w:color="000000"/>
              <w:right w:val="single" w:sz="8" w:space="0" w:color="000000"/>
            </w:tcBorders>
            <w:shd w:val="clear" w:color="auto" w:fill="8496B0" w:themeFill="text2" w:themeFillTint="99"/>
            <w:noWrap/>
            <w:vAlign w:val="bottom"/>
            <w:hideMark/>
          </w:tcPr>
          <w:p w:rsidR="00B36C27" w:rsidRPr="00D303A5"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 </w:t>
            </w:r>
          </w:p>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Nr</w:t>
            </w:r>
          </w:p>
        </w:tc>
        <w:tc>
          <w:tcPr>
            <w:tcW w:w="1276" w:type="dxa"/>
            <w:vMerge w:val="restart"/>
            <w:tcBorders>
              <w:top w:val="single" w:sz="8" w:space="0" w:color="000000"/>
              <w:left w:val="nil"/>
              <w:right w:val="single" w:sz="8" w:space="0" w:color="000000"/>
            </w:tcBorders>
            <w:shd w:val="clear" w:color="auto" w:fill="8496B0" w:themeFill="text2" w:themeFillTint="99"/>
            <w:noWrap/>
            <w:vAlign w:val="bottom"/>
            <w:hideMark/>
          </w:tcPr>
          <w:p w:rsidR="00B36C27" w:rsidRPr="00D303A5"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 </w:t>
            </w:r>
          </w:p>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 xml:space="preserve">Miasto </w:t>
            </w:r>
          </w:p>
        </w:tc>
        <w:tc>
          <w:tcPr>
            <w:tcW w:w="2629" w:type="dxa"/>
            <w:gridSpan w:val="3"/>
            <w:tcBorders>
              <w:top w:val="single" w:sz="8" w:space="0" w:color="000000"/>
              <w:left w:val="single" w:sz="8" w:space="0" w:color="000000"/>
              <w:bottom w:val="single" w:sz="8" w:space="0" w:color="000000"/>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Sieć rozdzielcza na 100 km2</w:t>
            </w:r>
          </w:p>
        </w:tc>
        <w:tc>
          <w:tcPr>
            <w:tcW w:w="2434" w:type="dxa"/>
            <w:gridSpan w:val="3"/>
            <w:tcBorders>
              <w:top w:val="single" w:sz="8" w:space="0" w:color="000000"/>
              <w:left w:val="single" w:sz="8" w:space="0" w:color="000000"/>
              <w:bottom w:val="single" w:sz="8" w:space="0" w:color="000000"/>
              <w:right w:val="single" w:sz="8" w:space="0" w:color="000000"/>
            </w:tcBorders>
            <w:shd w:val="clear" w:color="auto" w:fill="8496B0" w:themeFill="text2" w:themeFillTint="99"/>
            <w:noWrap/>
            <w:vAlign w:val="bottom"/>
            <w:hideMark/>
          </w:tcPr>
          <w:p w:rsidR="00B36C27" w:rsidRPr="00B36C27" w:rsidRDefault="00A8787F" w:rsidP="00B36C27">
            <w:pPr>
              <w:spacing w:line="240" w:lineRule="auto"/>
              <w:jc w:val="left"/>
              <w:rPr>
                <w:rFonts w:asciiTheme="minorHAnsi" w:eastAsia="Times New Roman" w:hAnsiTheme="minorHAnsi" w:cs="Arial"/>
                <w:b/>
                <w:bCs/>
                <w:color w:val="000000"/>
                <w:sz w:val="20"/>
                <w:szCs w:val="20"/>
                <w:lang w:eastAsia="pl-PL"/>
              </w:rPr>
            </w:pPr>
            <w:r>
              <w:rPr>
                <w:rFonts w:asciiTheme="minorHAnsi" w:eastAsia="Times New Roman" w:hAnsiTheme="minorHAnsi" w:cs="Arial"/>
                <w:b/>
                <w:bCs/>
                <w:color w:val="000000"/>
                <w:sz w:val="20"/>
                <w:szCs w:val="20"/>
                <w:lang w:eastAsia="pl-PL"/>
              </w:rPr>
              <w:t>Korzystający z instalacji w </w:t>
            </w:r>
            <w:r w:rsidR="00B36C27" w:rsidRPr="00B36C27">
              <w:rPr>
                <w:rFonts w:asciiTheme="minorHAnsi" w:eastAsia="Times New Roman" w:hAnsiTheme="minorHAnsi" w:cs="Arial"/>
                <w:b/>
                <w:bCs/>
                <w:color w:val="000000"/>
                <w:sz w:val="20"/>
                <w:szCs w:val="20"/>
                <w:lang w:eastAsia="pl-PL"/>
              </w:rPr>
              <w:t>ogóle ludności</w:t>
            </w:r>
            <w:r>
              <w:rPr>
                <w:rFonts w:asciiTheme="minorHAnsi" w:eastAsia="Times New Roman" w:hAnsiTheme="minorHAnsi" w:cs="Arial"/>
                <w:b/>
                <w:bCs/>
                <w:color w:val="000000"/>
                <w:sz w:val="20"/>
                <w:szCs w:val="20"/>
                <w:lang w:eastAsia="pl-PL"/>
              </w:rPr>
              <w:t xml:space="preserve"> (</w:t>
            </w:r>
            <w:r w:rsidR="00B36C27" w:rsidRPr="00D303A5">
              <w:rPr>
                <w:rFonts w:asciiTheme="minorHAnsi" w:eastAsia="Times New Roman" w:hAnsiTheme="minorHAnsi" w:cs="Arial"/>
                <w:b/>
                <w:bCs/>
                <w:color w:val="000000"/>
                <w:sz w:val="20"/>
                <w:szCs w:val="20"/>
                <w:lang w:eastAsia="pl-PL"/>
              </w:rPr>
              <w:t>w %)</w:t>
            </w:r>
          </w:p>
        </w:tc>
        <w:tc>
          <w:tcPr>
            <w:tcW w:w="1853" w:type="dxa"/>
            <w:vMerge w:val="restart"/>
            <w:tcBorders>
              <w:top w:val="single" w:sz="8" w:space="0" w:color="000000"/>
              <w:left w:val="nil"/>
              <w:right w:val="single" w:sz="8" w:space="0" w:color="000000"/>
            </w:tcBorders>
            <w:shd w:val="clear" w:color="auto" w:fill="8496B0" w:themeFill="text2" w:themeFillTint="99"/>
            <w:noWrap/>
            <w:vAlign w:val="bottom"/>
            <w:hideMark/>
          </w:tcPr>
          <w:p w:rsidR="00B36C27" w:rsidRPr="00B36C27" w:rsidRDefault="00D303A5" w:rsidP="00A8787F">
            <w:pPr>
              <w:spacing w:line="240" w:lineRule="auto"/>
              <w:jc w:val="left"/>
              <w:rPr>
                <w:rFonts w:asciiTheme="minorHAnsi" w:eastAsia="Times New Roman" w:hAnsiTheme="minorHAnsi" w:cs="Arial"/>
                <w:b/>
                <w:bCs/>
                <w:color w:val="000000"/>
                <w:sz w:val="20"/>
                <w:szCs w:val="20"/>
                <w:lang w:eastAsia="pl-PL"/>
              </w:rPr>
            </w:pPr>
            <w:r>
              <w:rPr>
                <w:rFonts w:asciiTheme="minorHAnsi" w:eastAsia="Times New Roman" w:hAnsiTheme="minorHAnsi" w:cs="Arial"/>
                <w:b/>
                <w:bCs/>
                <w:color w:val="000000"/>
                <w:sz w:val="20"/>
                <w:szCs w:val="20"/>
                <w:lang w:eastAsia="pl-PL"/>
              </w:rPr>
              <w:t>U</w:t>
            </w:r>
            <w:r w:rsidR="00B36C27" w:rsidRPr="00B36C27">
              <w:rPr>
                <w:rFonts w:asciiTheme="minorHAnsi" w:eastAsia="Times New Roman" w:hAnsiTheme="minorHAnsi" w:cs="Arial"/>
                <w:b/>
                <w:bCs/>
                <w:color w:val="000000"/>
                <w:sz w:val="20"/>
                <w:szCs w:val="20"/>
                <w:lang w:eastAsia="pl-PL"/>
              </w:rPr>
              <w:t>dział odpadów poddanych odzyskowi w ilości odpadów wytw</w:t>
            </w:r>
            <w:r w:rsidR="00A8787F">
              <w:rPr>
                <w:rFonts w:asciiTheme="minorHAnsi" w:eastAsia="Times New Roman" w:hAnsiTheme="minorHAnsi" w:cs="Arial"/>
                <w:b/>
                <w:bCs/>
                <w:color w:val="000000"/>
                <w:sz w:val="20"/>
                <w:szCs w:val="20"/>
                <w:lang w:eastAsia="pl-PL"/>
              </w:rPr>
              <w:t>orzonych w </w:t>
            </w:r>
            <w:r w:rsidR="00B36C27" w:rsidRPr="00B36C27">
              <w:rPr>
                <w:rFonts w:asciiTheme="minorHAnsi" w:eastAsia="Times New Roman" w:hAnsiTheme="minorHAnsi" w:cs="Arial"/>
                <w:b/>
                <w:bCs/>
                <w:color w:val="000000"/>
                <w:sz w:val="20"/>
                <w:szCs w:val="20"/>
                <w:lang w:eastAsia="pl-PL"/>
              </w:rPr>
              <w:t>ciągu roku</w:t>
            </w:r>
            <w:r w:rsidR="00FA185E">
              <w:rPr>
                <w:rFonts w:asciiTheme="minorHAnsi" w:eastAsia="Times New Roman" w:hAnsiTheme="minorHAnsi" w:cs="Arial"/>
                <w:b/>
                <w:bCs/>
                <w:color w:val="000000"/>
                <w:sz w:val="20"/>
                <w:szCs w:val="20"/>
                <w:lang w:eastAsia="pl-PL"/>
              </w:rPr>
              <w:t xml:space="preserve"> (innych niż komunalne)</w:t>
            </w:r>
          </w:p>
        </w:tc>
        <w:tc>
          <w:tcPr>
            <w:tcW w:w="1564" w:type="dxa"/>
            <w:vMerge w:val="restart"/>
            <w:tcBorders>
              <w:top w:val="single" w:sz="8" w:space="0" w:color="000000"/>
              <w:left w:val="nil"/>
              <w:right w:val="single" w:sz="8" w:space="0" w:color="000000"/>
            </w:tcBorders>
            <w:shd w:val="clear" w:color="auto" w:fill="8496B0" w:themeFill="text2" w:themeFillTint="99"/>
            <w:noWrap/>
            <w:vAlign w:val="bottom"/>
            <w:hideMark/>
          </w:tcPr>
          <w:p w:rsidR="00B36C27" w:rsidRPr="00D303A5"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 </w:t>
            </w:r>
          </w:p>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Udział osób korzysta</w:t>
            </w:r>
            <w:r w:rsidR="00A8787F">
              <w:rPr>
                <w:rFonts w:asciiTheme="minorHAnsi" w:eastAsia="Times New Roman" w:hAnsiTheme="minorHAnsi" w:cs="Arial"/>
                <w:b/>
                <w:bCs/>
                <w:color w:val="000000"/>
                <w:sz w:val="20"/>
                <w:szCs w:val="20"/>
                <w:lang w:eastAsia="pl-PL"/>
              </w:rPr>
              <w:t>jących z oczyszczalni ścieków w </w:t>
            </w:r>
            <w:r w:rsidRPr="00B36C27">
              <w:rPr>
                <w:rFonts w:asciiTheme="minorHAnsi" w:eastAsia="Times New Roman" w:hAnsiTheme="minorHAnsi" w:cs="Arial"/>
                <w:b/>
                <w:bCs/>
                <w:color w:val="000000"/>
                <w:sz w:val="20"/>
                <w:szCs w:val="20"/>
                <w:lang w:eastAsia="pl-PL"/>
              </w:rPr>
              <w:t>liczbie mieszkańców ogółem</w:t>
            </w:r>
          </w:p>
        </w:tc>
        <w:tc>
          <w:tcPr>
            <w:tcW w:w="1139" w:type="dxa"/>
            <w:tcBorders>
              <w:top w:val="single" w:sz="8" w:space="0" w:color="000000"/>
              <w:left w:val="nil"/>
              <w:bottom w:val="nil"/>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 </w:t>
            </w:r>
          </w:p>
        </w:tc>
      </w:tr>
      <w:tr w:rsidR="00D303A5" w:rsidRPr="00D303A5" w:rsidTr="00A8787F">
        <w:trPr>
          <w:cantSplit/>
          <w:trHeight w:val="1134"/>
        </w:trPr>
        <w:tc>
          <w:tcPr>
            <w:tcW w:w="425" w:type="dxa"/>
            <w:vMerge/>
            <w:tcBorders>
              <w:left w:val="single" w:sz="8" w:space="0" w:color="000000"/>
              <w:bottom w:val="nil"/>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p>
        </w:tc>
        <w:tc>
          <w:tcPr>
            <w:tcW w:w="1276" w:type="dxa"/>
            <w:vMerge/>
            <w:tcBorders>
              <w:left w:val="nil"/>
              <w:bottom w:val="nil"/>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p>
        </w:tc>
        <w:tc>
          <w:tcPr>
            <w:tcW w:w="876"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D303A5" w:rsidP="00A8787F">
            <w:pPr>
              <w:spacing w:line="240" w:lineRule="auto"/>
              <w:ind w:left="113" w:right="113"/>
              <w:jc w:val="center"/>
              <w:rPr>
                <w:rFonts w:asciiTheme="minorHAnsi" w:eastAsia="Times New Roman" w:hAnsiTheme="minorHAnsi" w:cs="Arial"/>
                <w:b/>
                <w:bCs/>
                <w:color w:val="000000"/>
                <w:sz w:val="20"/>
                <w:szCs w:val="20"/>
                <w:lang w:eastAsia="pl-PL"/>
              </w:rPr>
            </w:pPr>
            <w:r>
              <w:rPr>
                <w:rFonts w:asciiTheme="minorHAnsi" w:eastAsia="Times New Roman" w:hAnsiTheme="minorHAnsi" w:cs="Arial"/>
                <w:b/>
                <w:bCs/>
                <w:color w:val="000000"/>
                <w:sz w:val="20"/>
                <w:szCs w:val="20"/>
                <w:lang w:eastAsia="pl-PL"/>
              </w:rPr>
              <w:t>w</w:t>
            </w:r>
            <w:r w:rsidR="00B36C27" w:rsidRPr="00B36C27">
              <w:rPr>
                <w:rFonts w:asciiTheme="minorHAnsi" w:eastAsia="Times New Roman" w:hAnsiTheme="minorHAnsi" w:cs="Arial"/>
                <w:b/>
                <w:bCs/>
                <w:color w:val="000000"/>
                <w:sz w:val="20"/>
                <w:szCs w:val="20"/>
                <w:lang w:eastAsia="pl-PL"/>
              </w:rPr>
              <w:t>odociąg</w:t>
            </w:r>
            <w:r w:rsidR="00B36C27" w:rsidRPr="00D303A5">
              <w:rPr>
                <w:rFonts w:asciiTheme="minorHAnsi" w:eastAsia="Times New Roman" w:hAnsiTheme="minorHAnsi" w:cs="Arial"/>
                <w:b/>
                <w:bCs/>
                <w:color w:val="000000"/>
                <w:sz w:val="20"/>
                <w:szCs w:val="20"/>
                <w:lang w:eastAsia="pl-PL"/>
              </w:rPr>
              <w:t>i</w:t>
            </w:r>
          </w:p>
        </w:tc>
        <w:tc>
          <w:tcPr>
            <w:tcW w:w="876"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B36C27" w:rsidP="00A8787F">
            <w:pPr>
              <w:spacing w:line="240" w:lineRule="auto"/>
              <w:ind w:left="113" w:right="113"/>
              <w:jc w:val="center"/>
              <w:rPr>
                <w:rFonts w:asciiTheme="minorHAnsi" w:eastAsia="Times New Roman" w:hAnsiTheme="minorHAnsi" w:cs="Arial"/>
                <w:b/>
                <w:bCs/>
                <w:color w:val="000000"/>
                <w:sz w:val="20"/>
                <w:szCs w:val="20"/>
                <w:lang w:eastAsia="pl-PL"/>
              </w:rPr>
            </w:pPr>
            <w:r w:rsidRPr="00D303A5">
              <w:rPr>
                <w:rFonts w:asciiTheme="minorHAnsi" w:eastAsia="Times New Roman" w:hAnsiTheme="minorHAnsi" w:cs="Arial"/>
                <w:b/>
                <w:bCs/>
                <w:color w:val="000000"/>
                <w:sz w:val="20"/>
                <w:szCs w:val="20"/>
                <w:lang w:eastAsia="pl-PL"/>
              </w:rPr>
              <w:t>kanalizacja</w:t>
            </w:r>
          </w:p>
        </w:tc>
        <w:tc>
          <w:tcPr>
            <w:tcW w:w="877"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B36C27" w:rsidP="00A8787F">
            <w:pPr>
              <w:spacing w:line="240" w:lineRule="auto"/>
              <w:ind w:left="113" w:right="113"/>
              <w:jc w:val="center"/>
              <w:rPr>
                <w:rFonts w:asciiTheme="minorHAnsi" w:eastAsia="Times New Roman" w:hAnsiTheme="minorHAnsi" w:cs="Arial"/>
                <w:b/>
                <w:bCs/>
                <w:color w:val="000000"/>
                <w:sz w:val="20"/>
                <w:szCs w:val="20"/>
                <w:lang w:eastAsia="pl-PL"/>
              </w:rPr>
            </w:pPr>
            <w:r w:rsidRPr="00D303A5">
              <w:rPr>
                <w:rFonts w:asciiTheme="minorHAnsi" w:eastAsia="Times New Roman" w:hAnsiTheme="minorHAnsi" w:cs="Arial"/>
                <w:b/>
                <w:bCs/>
                <w:color w:val="000000"/>
                <w:sz w:val="20"/>
                <w:szCs w:val="20"/>
                <w:lang w:eastAsia="pl-PL"/>
              </w:rPr>
              <w:t>gaz</w:t>
            </w:r>
          </w:p>
        </w:tc>
        <w:tc>
          <w:tcPr>
            <w:tcW w:w="811"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B36C27" w:rsidP="00A8787F">
            <w:pPr>
              <w:spacing w:line="240" w:lineRule="auto"/>
              <w:ind w:left="113" w:right="113"/>
              <w:jc w:val="center"/>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wodociąg</w:t>
            </w:r>
            <w:r w:rsidRPr="00D303A5">
              <w:rPr>
                <w:rFonts w:asciiTheme="minorHAnsi" w:eastAsia="Times New Roman" w:hAnsiTheme="minorHAnsi" w:cs="Arial"/>
                <w:b/>
                <w:bCs/>
                <w:color w:val="000000"/>
                <w:sz w:val="20"/>
                <w:szCs w:val="20"/>
                <w:lang w:eastAsia="pl-PL"/>
              </w:rPr>
              <w:t>i</w:t>
            </w:r>
          </w:p>
        </w:tc>
        <w:tc>
          <w:tcPr>
            <w:tcW w:w="811"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B36C27" w:rsidP="00A8787F">
            <w:pPr>
              <w:spacing w:line="240" w:lineRule="auto"/>
              <w:ind w:left="113" w:right="113"/>
              <w:jc w:val="center"/>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kanalizacja</w:t>
            </w:r>
          </w:p>
        </w:tc>
        <w:tc>
          <w:tcPr>
            <w:tcW w:w="812" w:type="dxa"/>
            <w:tcBorders>
              <w:top w:val="nil"/>
              <w:left w:val="nil"/>
              <w:bottom w:val="nil"/>
              <w:right w:val="single" w:sz="8" w:space="0" w:color="000000"/>
            </w:tcBorders>
            <w:shd w:val="clear" w:color="auto" w:fill="ACB9CA" w:themeFill="text2" w:themeFillTint="66"/>
            <w:noWrap/>
            <w:textDirection w:val="btLr"/>
            <w:vAlign w:val="center"/>
            <w:hideMark/>
          </w:tcPr>
          <w:p w:rsidR="00B36C27" w:rsidRPr="00B36C27" w:rsidRDefault="00B36C27" w:rsidP="00A8787F">
            <w:pPr>
              <w:spacing w:line="240" w:lineRule="auto"/>
              <w:ind w:left="113" w:right="113"/>
              <w:jc w:val="center"/>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gaz</w:t>
            </w:r>
          </w:p>
        </w:tc>
        <w:tc>
          <w:tcPr>
            <w:tcW w:w="1853" w:type="dxa"/>
            <w:vMerge/>
            <w:tcBorders>
              <w:left w:val="nil"/>
              <w:bottom w:val="nil"/>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p>
        </w:tc>
        <w:tc>
          <w:tcPr>
            <w:tcW w:w="1564" w:type="dxa"/>
            <w:vMerge/>
            <w:tcBorders>
              <w:left w:val="nil"/>
              <w:bottom w:val="nil"/>
              <w:right w:val="single" w:sz="8" w:space="0" w:color="000000"/>
            </w:tcBorders>
            <w:shd w:val="clear" w:color="auto" w:fill="8496B0" w:themeFill="text2" w:themeFillTint="99"/>
            <w:noWrap/>
            <w:vAlign w:val="bottom"/>
            <w:hideMark/>
          </w:tcPr>
          <w:p w:rsidR="00B36C27" w:rsidRPr="00B36C27" w:rsidRDefault="00B36C27" w:rsidP="00B36C27">
            <w:pPr>
              <w:spacing w:line="240" w:lineRule="auto"/>
              <w:jc w:val="left"/>
              <w:rPr>
                <w:rFonts w:asciiTheme="minorHAnsi" w:eastAsia="Times New Roman" w:hAnsiTheme="minorHAnsi" w:cs="Arial"/>
                <w:b/>
                <w:bCs/>
                <w:color w:val="000000"/>
                <w:sz w:val="20"/>
                <w:szCs w:val="20"/>
                <w:lang w:eastAsia="pl-PL"/>
              </w:rPr>
            </w:pPr>
          </w:p>
        </w:tc>
        <w:tc>
          <w:tcPr>
            <w:tcW w:w="1139" w:type="dxa"/>
            <w:tcBorders>
              <w:top w:val="nil"/>
              <w:left w:val="nil"/>
              <w:bottom w:val="nil"/>
              <w:right w:val="single" w:sz="8" w:space="0" w:color="000000"/>
            </w:tcBorders>
            <w:shd w:val="clear" w:color="auto" w:fill="8496B0" w:themeFill="text2" w:themeFillTint="99"/>
            <w:noWrap/>
            <w:vAlign w:val="bottom"/>
            <w:hideMark/>
          </w:tcPr>
          <w:p w:rsidR="00B36C27" w:rsidRPr="00B36C27" w:rsidRDefault="00D303A5" w:rsidP="00B36C27">
            <w:pPr>
              <w:spacing w:line="240" w:lineRule="auto"/>
              <w:jc w:val="left"/>
              <w:rPr>
                <w:rFonts w:asciiTheme="minorHAnsi" w:eastAsia="Times New Roman" w:hAnsiTheme="minorHAnsi" w:cs="Arial"/>
                <w:b/>
                <w:bCs/>
                <w:color w:val="000000"/>
                <w:sz w:val="20"/>
                <w:szCs w:val="20"/>
                <w:lang w:eastAsia="pl-PL"/>
              </w:rPr>
            </w:pPr>
            <w:r>
              <w:rPr>
                <w:rFonts w:asciiTheme="minorHAnsi" w:eastAsia="Times New Roman" w:hAnsiTheme="minorHAnsi" w:cs="Arial"/>
                <w:b/>
                <w:bCs/>
                <w:color w:val="000000"/>
                <w:sz w:val="20"/>
                <w:szCs w:val="20"/>
                <w:lang w:eastAsia="pl-PL"/>
              </w:rPr>
              <w:t>Wskaźnik sumaryczny</w:t>
            </w:r>
          </w:p>
        </w:tc>
      </w:tr>
      <w:tr w:rsidR="00D303A5" w:rsidRPr="00D303A5" w:rsidTr="00A8787F">
        <w:trPr>
          <w:trHeight w:val="25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Świdnica</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546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561,6</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545</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98,6</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91,8</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94,4</w:t>
            </w:r>
          </w:p>
        </w:tc>
        <w:tc>
          <w:tcPr>
            <w:tcW w:w="1853"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94,4</w:t>
            </w:r>
            <w:r w:rsidRPr="00D303A5">
              <w:rPr>
                <w:rFonts w:asciiTheme="minorHAnsi" w:eastAsia="Times New Roman" w:hAnsiTheme="minorHAnsi" w:cs="Arial"/>
                <w:sz w:val="20"/>
                <w:szCs w:val="20"/>
                <w:lang w:eastAsia="pl-PL"/>
              </w:rPr>
              <w:t>%</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99,41%</w:t>
            </w:r>
          </w:p>
        </w:tc>
        <w:tc>
          <w:tcPr>
            <w:tcW w:w="113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5,19</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Słupsk</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399,8</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352</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384,5</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97,9</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94,4</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87</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98,6</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99,74%</w:t>
            </w:r>
          </w:p>
        </w:tc>
        <w:tc>
          <w:tcPr>
            <w:tcW w:w="1139"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2,79</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3</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Ostrów Wlkp.</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608,8</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509,3</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511,1</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98,3</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90,8</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74,3</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96,3</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89,12%</w:t>
            </w:r>
          </w:p>
        </w:tc>
        <w:tc>
          <w:tcPr>
            <w:tcW w:w="1139" w:type="dxa"/>
            <w:tcBorders>
              <w:top w:val="single" w:sz="4" w:space="0" w:color="auto"/>
              <w:left w:val="single" w:sz="4" w:space="0" w:color="auto"/>
              <w:bottom w:val="single" w:sz="4" w:space="0" w:color="auto"/>
              <w:right w:val="single" w:sz="4" w:space="0" w:color="auto"/>
            </w:tcBorders>
            <w:shd w:val="clear" w:color="000000" w:fill="AED480"/>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2,34</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4</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Tarnów</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413,9</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471,3</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496,1</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96,7</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86,9</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94,4</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86</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99,41%</w:t>
            </w:r>
          </w:p>
        </w:tc>
        <w:tc>
          <w:tcPr>
            <w:tcW w:w="113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2,22</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5</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Lubin</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300,5</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326</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283,9</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99,6</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99,1</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97,8</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74,6</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99,92%</w:t>
            </w:r>
          </w:p>
        </w:tc>
        <w:tc>
          <w:tcPr>
            <w:tcW w:w="1139"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1,95</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Bielsko-Biała</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519,6</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628,7</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457,8</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82</w:t>
            </w:r>
            <w:r w:rsidRPr="00D303A5">
              <w:rPr>
                <w:rFonts w:asciiTheme="minorHAnsi" w:eastAsia="Times New Roman" w:hAnsiTheme="minorHAnsi" w:cs="Arial"/>
                <w:sz w:val="20"/>
                <w:szCs w:val="20"/>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88,6</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98,1</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93,16%</w:t>
            </w:r>
          </w:p>
        </w:tc>
        <w:tc>
          <w:tcPr>
            <w:tcW w:w="1139"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1,53</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2E74B5" w:themeFill="accent1" w:themeFillShade="BF"/>
            <w:noWrap/>
            <w:vAlign w:val="bottom"/>
            <w:hideMark/>
          </w:tcPr>
          <w:p w:rsidR="00B36C27" w:rsidRPr="00B36C27" w:rsidRDefault="00B36C27" w:rsidP="00B36C27">
            <w:pPr>
              <w:spacing w:line="240" w:lineRule="auto"/>
              <w:jc w:val="right"/>
              <w:rPr>
                <w:rFonts w:asciiTheme="minorHAnsi" w:eastAsia="Times New Roman" w:hAnsiTheme="minorHAnsi" w:cs="Arial"/>
                <w:b/>
                <w:bCs/>
                <w:color w:val="000000"/>
                <w:sz w:val="20"/>
                <w:szCs w:val="20"/>
                <w:lang w:eastAsia="pl-PL"/>
              </w:rPr>
            </w:pPr>
            <w:r w:rsidRPr="00B36C27">
              <w:rPr>
                <w:rFonts w:asciiTheme="minorHAnsi" w:eastAsia="Times New Roman" w:hAnsiTheme="minorHAnsi" w:cs="Arial"/>
                <w:b/>
                <w:bCs/>
                <w:color w:val="000000"/>
                <w:sz w:val="20"/>
                <w:szCs w:val="20"/>
                <w:lang w:eastAsia="pl-PL"/>
              </w:rPr>
              <w:t>7</w:t>
            </w:r>
          </w:p>
        </w:tc>
        <w:tc>
          <w:tcPr>
            <w:tcW w:w="1276" w:type="dxa"/>
            <w:tcBorders>
              <w:top w:val="nil"/>
              <w:left w:val="nil"/>
              <w:bottom w:val="single" w:sz="4" w:space="0" w:color="auto"/>
              <w:right w:val="single" w:sz="4" w:space="0" w:color="auto"/>
            </w:tcBorders>
            <w:shd w:val="clear" w:color="auto" w:fill="2E74B5" w:themeFill="accent1" w:themeFillShade="BF"/>
            <w:noWrap/>
            <w:vAlign w:val="bottom"/>
            <w:hideMark/>
          </w:tcPr>
          <w:p w:rsidR="00B36C27" w:rsidRPr="00B36C27" w:rsidRDefault="00B36C27" w:rsidP="00B36C27">
            <w:pPr>
              <w:spacing w:line="240" w:lineRule="auto"/>
              <w:jc w:val="lef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Legnica</w:t>
            </w:r>
          </w:p>
        </w:tc>
        <w:tc>
          <w:tcPr>
            <w:tcW w:w="876"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337,7</w:t>
            </w:r>
          </w:p>
        </w:tc>
        <w:tc>
          <w:tcPr>
            <w:tcW w:w="876"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348,4</w:t>
            </w:r>
          </w:p>
        </w:tc>
        <w:tc>
          <w:tcPr>
            <w:tcW w:w="877"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323,9</w:t>
            </w:r>
          </w:p>
        </w:tc>
        <w:tc>
          <w:tcPr>
            <w:tcW w:w="811"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99</w:t>
            </w:r>
            <w:r w:rsidRPr="00D303A5">
              <w:rPr>
                <w:rFonts w:asciiTheme="minorHAnsi" w:eastAsia="Times New Roman" w:hAnsiTheme="minorHAnsi" w:cs="Arial"/>
                <w:b/>
                <w:bCs/>
                <w:sz w:val="20"/>
                <w:szCs w:val="20"/>
                <w:lang w:eastAsia="pl-PL"/>
              </w:rPr>
              <w:t>,0</w:t>
            </w:r>
          </w:p>
        </w:tc>
        <w:tc>
          <w:tcPr>
            <w:tcW w:w="811"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97</w:t>
            </w:r>
            <w:r w:rsidRPr="00D303A5">
              <w:rPr>
                <w:rFonts w:asciiTheme="minorHAnsi" w:eastAsia="Times New Roman" w:hAnsiTheme="minorHAnsi" w:cs="Arial"/>
                <w:b/>
                <w:bCs/>
                <w:sz w:val="20"/>
                <w:szCs w:val="20"/>
                <w:lang w:eastAsia="pl-PL"/>
              </w:rPr>
              <w:t>,0</w:t>
            </w:r>
          </w:p>
        </w:tc>
        <w:tc>
          <w:tcPr>
            <w:tcW w:w="812"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93,9</w:t>
            </w:r>
          </w:p>
        </w:tc>
        <w:tc>
          <w:tcPr>
            <w:tcW w:w="1853"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75,2</w:t>
            </w:r>
            <w:r w:rsidRPr="00D303A5">
              <w:rPr>
                <w:rFonts w:asciiTheme="minorHAnsi" w:eastAsia="Times New Roman" w:hAnsiTheme="minorHAnsi" w:cs="Arial"/>
                <w:b/>
                <w:bCs/>
                <w:sz w:val="20"/>
                <w:szCs w:val="20"/>
                <w:lang w:eastAsia="pl-PL"/>
              </w:rPr>
              <w:t>%</w:t>
            </w:r>
          </w:p>
        </w:tc>
        <w:tc>
          <w:tcPr>
            <w:tcW w:w="1564" w:type="dxa"/>
            <w:tcBorders>
              <w:top w:val="nil"/>
              <w:left w:val="nil"/>
              <w:bottom w:val="single" w:sz="4" w:space="0" w:color="auto"/>
              <w:right w:val="single" w:sz="4" w:space="0" w:color="auto"/>
            </w:tcBorders>
            <w:shd w:val="clear" w:color="auto" w:fill="9CC2E5" w:themeFill="accent1" w:themeFillTint="99"/>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97,00%</w:t>
            </w:r>
          </w:p>
        </w:tc>
        <w:tc>
          <w:tcPr>
            <w:tcW w:w="1139"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B36C27" w:rsidRPr="00B36C27" w:rsidRDefault="00B36C27" w:rsidP="00B36C27">
            <w:pPr>
              <w:spacing w:line="240" w:lineRule="auto"/>
              <w:jc w:val="right"/>
              <w:rPr>
                <w:rFonts w:asciiTheme="minorHAnsi" w:eastAsia="Times New Roman" w:hAnsiTheme="minorHAnsi" w:cs="Arial"/>
                <w:b/>
                <w:bCs/>
                <w:sz w:val="20"/>
                <w:szCs w:val="20"/>
                <w:lang w:eastAsia="pl-PL"/>
              </w:rPr>
            </w:pPr>
            <w:r w:rsidRPr="00B36C27">
              <w:rPr>
                <w:rFonts w:asciiTheme="minorHAnsi" w:eastAsia="Times New Roman" w:hAnsiTheme="minorHAnsi" w:cs="Arial"/>
                <w:b/>
                <w:bCs/>
                <w:sz w:val="20"/>
                <w:szCs w:val="20"/>
                <w:lang w:eastAsia="pl-PL"/>
              </w:rPr>
              <w:t>1,25</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bCs/>
                <w:color w:val="000000"/>
                <w:sz w:val="20"/>
                <w:szCs w:val="20"/>
                <w:lang w:eastAsia="pl-PL"/>
              </w:rPr>
            </w:pPr>
            <w:r w:rsidRPr="00B36C27">
              <w:rPr>
                <w:rFonts w:asciiTheme="minorHAnsi" w:eastAsia="Times New Roman" w:hAnsiTheme="minorHAnsi" w:cs="Arial"/>
                <w:bCs/>
                <w:color w:val="000000"/>
                <w:sz w:val="20"/>
                <w:szCs w:val="20"/>
                <w:lang w:eastAsia="pl-PL"/>
              </w:rPr>
              <w:t>8</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 xml:space="preserve">Elbląg </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274,1</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268,4</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242,7</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98,8</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94,9</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90,4</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98,6</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96,24%</w:t>
            </w:r>
          </w:p>
        </w:tc>
        <w:tc>
          <w:tcPr>
            <w:tcW w:w="1139"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1,14</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9</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Radom</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441,5</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390,9</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374,9</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90,5</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82</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86,8</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95,13%</w:t>
            </w:r>
          </w:p>
        </w:tc>
        <w:tc>
          <w:tcPr>
            <w:tcW w:w="1139" w:type="dxa"/>
            <w:tcBorders>
              <w:top w:val="single" w:sz="4" w:space="0" w:color="auto"/>
              <w:left w:val="single" w:sz="4" w:space="0" w:color="auto"/>
              <w:bottom w:val="single" w:sz="4" w:space="0" w:color="auto"/>
              <w:right w:val="single" w:sz="4" w:space="0" w:color="auto"/>
            </w:tcBorders>
            <w:shd w:val="clear" w:color="000000" w:fill="EEE784"/>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-0,09</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10</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Koszalin</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198,9</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212,5</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266,5</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96,4</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94,8</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90,7</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81,9</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99,69%</w:t>
            </w:r>
          </w:p>
        </w:tc>
        <w:tc>
          <w:tcPr>
            <w:tcW w:w="113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-0,74</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11</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Grudziądz</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327,4</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317,7</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325,6</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95,7</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91,1</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89,9</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87,8</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92,42%</w:t>
            </w:r>
          </w:p>
        </w:tc>
        <w:tc>
          <w:tcPr>
            <w:tcW w:w="1139"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-0,98</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12</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 xml:space="preserve">Kalisz </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343,1</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278</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275,2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88,4</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71,8</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91,3</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94,67%</w:t>
            </w:r>
          </w:p>
        </w:tc>
        <w:tc>
          <w:tcPr>
            <w:tcW w:w="1139"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-1,12</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13</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Wałbrzych</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252,2</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190,7</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323,4</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97,6</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78,2</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93,4</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97,2</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94,15%</w:t>
            </w:r>
          </w:p>
        </w:tc>
        <w:tc>
          <w:tcPr>
            <w:tcW w:w="1139"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-1,22</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14</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Jelenia Góra</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302,1</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212,3</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201,9</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96,8</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87</w:t>
            </w:r>
            <w:r w:rsidRPr="00D303A5">
              <w:rPr>
                <w:rFonts w:asciiTheme="minorHAnsi" w:eastAsia="Times New Roman" w:hAnsiTheme="minorHAnsi" w:cs="Arial"/>
                <w:sz w:val="20"/>
                <w:szCs w:val="20"/>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90,3</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100</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92,27%</w:t>
            </w:r>
          </w:p>
        </w:tc>
        <w:tc>
          <w:tcPr>
            <w:tcW w:w="1139"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-1,29</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 xml:space="preserve">Częstochowa </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367,3</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344,7</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286,4</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87,3</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73,3</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99,3</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88,22%</w:t>
            </w:r>
          </w:p>
        </w:tc>
        <w:tc>
          <w:tcPr>
            <w:tcW w:w="1139"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-1,76</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16</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Płock</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311,9</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238,3</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167,4</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96,2</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90</w:t>
            </w:r>
            <w:r w:rsidRPr="00D303A5">
              <w:rPr>
                <w:rFonts w:asciiTheme="minorHAnsi" w:eastAsia="Times New Roman" w:hAnsiTheme="minorHAnsi" w:cs="Arial"/>
                <w:sz w:val="20"/>
                <w:szCs w:val="20"/>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63,7</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95,1</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95,73%</w:t>
            </w:r>
          </w:p>
        </w:tc>
        <w:tc>
          <w:tcPr>
            <w:tcW w:w="1139"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-2,16</w:t>
            </w:r>
          </w:p>
        </w:tc>
      </w:tr>
      <w:tr w:rsidR="00D303A5" w:rsidRPr="00D303A5" w:rsidTr="00A8787F">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17</w:t>
            </w:r>
          </w:p>
        </w:tc>
        <w:tc>
          <w:tcPr>
            <w:tcW w:w="12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Głogów</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327,3</w:t>
            </w:r>
          </w:p>
        </w:tc>
        <w:tc>
          <w:tcPr>
            <w:tcW w:w="876"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356,9</w:t>
            </w:r>
          </w:p>
        </w:tc>
        <w:tc>
          <w:tcPr>
            <w:tcW w:w="877"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274,5</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97,9</w:t>
            </w:r>
          </w:p>
        </w:tc>
        <w:tc>
          <w:tcPr>
            <w:tcW w:w="811"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95,5</w:t>
            </w:r>
          </w:p>
        </w:tc>
        <w:tc>
          <w:tcPr>
            <w:tcW w:w="812"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93,6</w:t>
            </w:r>
            <w:r w:rsidRPr="00D303A5">
              <w:rPr>
                <w:rFonts w:asciiTheme="minorHAnsi" w:eastAsia="Times New Roman" w:hAnsiTheme="minorHAnsi" w:cs="Arial"/>
                <w:sz w:val="20"/>
                <w:szCs w:val="20"/>
                <w:lang w:eastAsia="pl-PL"/>
              </w:rPr>
              <w:t>%</w:t>
            </w:r>
          </w:p>
        </w:tc>
        <w:tc>
          <w:tcPr>
            <w:tcW w:w="1853"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28,6</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auto"/>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97,01%</w:t>
            </w:r>
          </w:p>
        </w:tc>
        <w:tc>
          <w:tcPr>
            <w:tcW w:w="1139"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-2,30</w:t>
            </w:r>
          </w:p>
        </w:tc>
      </w:tr>
      <w:tr w:rsidR="00D303A5" w:rsidRPr="00D303A5" w:rsidTr="00A8787F">
        <w:trPr>
          <w:trHeight w:val="255"/>
        </w:trPr>
        <w:tc>
          <w:tcPr>
            <w:tcW w:w="425" w:type="dxa"/>
            <w:tcBorders>
              <w:top w:val="nil"/>
              <w:left w:val="single" w:sz="4" w:space="0" w:color="auto"/>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18</w:t>
            </w:r>
          </w:p>
        </w:tc>
        <w:tc>
          <w:tcPr>
            <w:tcW w:w="1276"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Włocławek</w:t>
            </w:r>
          </w:p>
        </w:tc>
        <w:tc>
          <w:tcPr>
            <w:tcW w:w="876"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286,2</w:t>
            </w:r>
          </w:p>
        </w:tc>
        <w:tc>
          <w:tcPr>
            <w:tcW w:w="876"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235,2</w:t>
            </w:r>
          </w:p>
        </w:tc>
        <w:tc>
          <w:tcPr>
            <w:tcW w:w="877"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238,2</w:t>
            </w:r>
          </w:p>
        </w:tc>
        <w:tc>
          <w:tcPr>
            <w:tcW w:w="811"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96,9</w:t>
            </w:r>
          </w:p>
        </w:tc>
        <w:tc>
          <w:tcPr>
            <w:tcW w:w="811"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92,2</w:t>
            </w:r>
          </w:p>
        </w:tc>
        <w:tc>
          <w:tcPr>
            <w:tcW w:w="812"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75,4</w:t>
            </w:r>
          </w:p>
        </w:tc>
        <w:tc>
          <w:tcPr>
            <w:tcW w:w="1853"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67,9</w:t>
            </w:r>
            <w:r w:rsidRPr="00D303A5">
              <w:rPr>
                <w:rFonts w:asciiTheme="minorHAnsi" w:eastAsia="Times New Roman" w:hAnsiTheme="minorHAnsi" w:cs="Arial"/>
                <w:sz w:val="20"/>
                <w:szCs w:val="20"/>
                <w:lang w:eastAsia="pl-PL"/>
              </w:rPr>
              <w:t>%</w:t>
            </w:r>
          </w:p>
        </w:tc>
        <w:tc>
          <w:tcPr>
            <w:tcW w:w="1564" w:type="dxa"/>
            <w:tcBorders>
              <w:top w:val="nil"/>
              <w:left w:val="nil"/>
              <w:bottom w:val="single" w:sz="4" w:space="0" w:color="000000" w:themeColor="text1"/>
              <w:right w:val="single" w:sz="4" w:space="0" w:color="auto"/>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94,33%</w:t>
            </w:r>
          </w:p>
        </w:tc>
        <w:tc>
          <w:tcPr>
            <w:tcW w:w="1139" w:type="dxa"/>
            <w:tcBorders>
              <w:top w:val="single" w:sz="4" w:space="0" w:color="auto"/>
              <w:left w:val="single" w:sz="4" w:space="0" w:color="auto"/>
              <w:bottom w:val="single" w:sz="4" w:space="0" w:color="000000" w:themeColor="text1"/>
              <w:right w:val="single" w:sz="4" w:space="0" w:color="auto"/>
            </w:tcBorders>
            <w:shd w:val="clear" w:color="000000" w:fill="FBAA77"/>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-2,82</w:t>
            </w:r>
          </w:p>
        </w:tc>
      </w:tr>
      <w:tr w:rsidR="00D303A5" w:rsidRPr="00D303A5" w:rsidTr="00A8787F">
        <w:trPr>
          <w:trHeight w:val="255"/>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000000"/>
                <w:sz w:val="20"/>
                <w:szCs w:val="20"/>
                <w:lang w:eastAsia="pl-PL"/>
              </w:rPr>
            </w:pPr>
            <w:r w:rsidRPr="00B36C27">
              <w:rPr>
                <w:rFonts w:asciiTheme="minorHAnsi" w:eastAsia="Times New Roman" w:hAnsiTheme="minorHAnsi" w:cs="Arial"/>
                <w:color w:val="000000"/>
                <w:sz w:val="20"/>
                <w:szCs w:val="20"/>
                <w:lang w:eastAsia="pl-PL"/>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Rybnik</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380,5</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417,6</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279,7</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97,1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76,6</w:t>
            </w:r>
          </w:p>
        </w:tc>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58,2</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99,7</w:t>
            </w:r>
            <w:r w:rsidRPr="00D303A5">
              <w:rPr>
                <w:rFonts w:asciiTheme="minorHAnsi" w:eastAsia="Times New Roman" w:hAnsiTheme="minorHAnsi" w:cs="Arial"/>
                <w:sz w:val="20"/>
                <w:szCs w:val="20"/>
                <w:lang w:eastAsia="pl-PL"/>
              </w:rPr>
              <w:t>%</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75,19%</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8696B"/>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-4,91</w:t>
            </w:r>
          </w:p>
        </w:tc>
      </w:tr>
      <w:tr w:rsidR="00D303A5" w:rsidRPr="00D303A5" w:rsidTr="00A8787F">
        <w:trPr>
          <w:trHeight w:val="255"/>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lef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Wrocław</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442,5</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301,5</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478,4</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96,5</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91,5</w:t>
            </w:r>
          </w:p>
        </w:tc>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81,8</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95,7</w:t>
            </w:r>
            <w:r w:rsidRPr="00D303A5">
              <w:rPr>
                <w:rFonts w:asciiTheme="minorHAnsi" w:eastAsia="Times New Roman" w:hAnsiTheme="minorHAnsi" w:cs="Arial"/>
                <w:color w:val="FF0000"/>
                <w:sz w:val="20"/>
                <w:szCs w:val="20"/>
                <w:lang w:eastAsia="pl-PL"/>
              </w:rPr>
              <w:t>%</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color w:val="FF0000"/>
                <w:sz w:val="20"/>
                <w:szCs w:val="20"/>
                <w:lang w:eastAsia="pl-PL"/>
              </w:rPr>
            </w:pPr>
            <w:r w:rsidRPr="00B36C27">
              <w:rPr>
                <w:rFonts w:asciiTheme="minorHAnsi" w:eastAsia="Times New Roman" w:hAnsiTheme="minorHAnsi" w:cs="Arial"/>
                <w:color w:val="FF0000"/>
                <w:sz w:val="20"/>
                <w:szCs w:val="20"/>
                <w:lang w:eastAsia="pl-PL"/>
              </w:rPr>
              <w:t>96,62%</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B36C27" w:rsidRPr="00B36C27" w:rsidRDefault="00B36C27" w:rsidP="00B36C27">
            <w:pPr>
              <w:spacing w:line="240" w:lineRule="auto"/>
              <w:jc w:val="right"/>
              <w:rPr>
                <w:rFonts w:asciiTheme="minorHAnsi" w:eastAsia="Times New Roman" w:hAnsiTheme="minorHAnsi" w:cs="Arial"/>
                <w:sz w:val="20"/>
                <w:szCs w:val="20"/>
                <w:lang w:eastAsia="pl-PL"/>
              </w:rPr>
            </w:pPr>
            <w:r w:rsidRPr="00B36C27">
              <w:rPr>
                <w:rFonts w:asciiTheme="minorHAnsi" w:eastAsia="Times New Roman" w:hAnsiTheme="minorHAnsi" w:cs="Arial"/>
                <w:sz w:val="20"/>
                <w:szCs w:val="20"/>
                <w:lang w:eastAsia="pl-PL"/>
              </w:rPr>
              <w:t>1,4</w:t>
            </w:r>
            <w:r w:rsidRPr="00D303A5">
              <w:rPr>
                <w:rFonts w:asciiTheme="minorHAnsi" w:eastAsia="Times New Roman" w:hAnsiTheme="minorHAnsi" w:cs="Arial"/>
                <w:sz w:val="20"/>
                <w:szCs w:val="20"/>
                <w:lang w:eastAsia="pl-PL"/>
              </w:rPr>
              <w:t>3</w:t>
            </w:r>
          </w:p>
        </w:tc>
      </w:tr>
    </w:tbl>
    <w:p w:rsidR="009413A6" w:rsidRDefault="009413A6" w:rsidP="009413A6">
      <w:pPr>
        <w:rPr>
          <w:rFonts w:asciiTheme="minorHAnsi" w:hAnsiTheme="minorHAnsi"/>
          <w:sz w:val="20"/>
        </w:rPr>
      </w:pPr>
      <w:r w:rsidRPr="002E2D3F">
        <w:rPr>
          <w:rFonts w:asciiTheme="minorHAnsi" w:hAnsiTheme="minorHAnsi"/>
          <w:sz w:val="20"/>
        </w:rPr>
        <w:t>Źródło: opracowanie własne na podstawie danych GUS</w:t>
      </w:r>
      <w:r w:rsidR="002E2D3F" w:rsidRPr="002E2D3F">
        <w:rPr>
          <w:rFonts w:asciiTheme="minorHAnsi" w:hAnsiTheme="minorHAnsi"/>
          <w:sz w:val="20"/>
        </w:rPr>
        <w:t>,</w:t>
      </w:r>
      <w:r w:rsidRPr="002E2D3F">
        <w:rPr>
          <w:rFonts w:asciiTheme="minorHAnsi" w:hAnsiTheme="minorHAnsi"/>
          <w:sz w:val="20"/>
        </w:rPr>
        <w:t xml:space="preserve"> Bank Danych Lok</w:t>
      </w:r>
      <w:r w:rsidR="00625CC5" w:rsidRPr="002E2D3F">
        <w:rPr>
          <w:rFonts w:asciiTheme="minorHAnsi" w:hAnsiTheme="minorHAnsi"/>
          <w:sz w:val="20"/>
        </w:rPr>
        <w:t>alnych (dane na koniec 2012 </w:t>
      </w:r>
      <w:r w:rsidR="00FA185E" w:rsidRPr="002E2D3F">
        <w:rPr>
          <w:rFonts w:asciiTheme="minorHAnsi" w:hAnsiTheme="minorHAnsi"/>
          <w:sz w:val="20"/>
        </w:rPr>
        <w:t>r.)</w:t>
      </w:r>
      <w:r w:rsidR="0010032B">
        <w:rPr>
          <w:rFonts w:asciiTheme="minorHAnsi" w:hAnsiTheme="minorHAnsi"/>
          <w:sz w:val="20"/>
        </w:rPr>
        <w:t>.</w:t>
      </w:r>
    </w:p>
    <w:p w:rsidR="002E2D3F" w:rsidRPr="002E2D3F" w:rsidRDefault="002E2D3F" w:rsidP="009413A6">
      <w:pPr>
        <w:rPr>
          <w:rFonts w:asciiTheme="minorHAnsi" w:hAnsiTheme="minorHAnsi"/>
          <w:sz w:val="20"/>
        </w:rPr>
      </w:pPr>
    </w:p>
    <w:p w:rsidR="009413A6" w:rsidRDefault="009413A6" w:rsidP="009413A6">
      <w:pPr>
        <w:rPr>
          <w:rFonts w:asciiTheme="minorHAnsi" w:hAnsiTheme="minorHAnsi"/>
          <w:sz w:val="22"/>
        </w:rPr>
      </w:pPr>
      <w:r w:rsidRPr="00563EF2">
        <w:rPr>
          <w:rFonts w:asciiTheme="minorHAnsi" w:hAnsiTheme="minorHAnsi"/>
          <w:sz w:val="22"/>
        </w:rPr>
        <w:t>W zakresie infrastruktury technicznej Miasto Legnica wypada korzystnie na tle innych miast zajmując 7. miejsce w zestawieniu zbiorczym. Pozycja rankingowa w tym obszarze tematycznym jest silnie uwarunkowana charakterystyką miasta, a w szczególności jej rozproszeniem zabudowy oraz wielkością, stąd wysoka pozycja mniejszych miast jak Świdnica, Lubin, czy Ostrów Wielkopolski.</w:t>
      </w:r>
    </w:p>
    <w:p w:rsidR="00FA185E" w:rsidRPr="00563EF2" w:rsidRDefault="00FA185E" w:rsidP="009413A6">
      <w:pPr>
        <w:rPr>
          <w:rFonts w:asciiTheme="minorHAnsi" w:hAnsiTheme="minorHAnsi"/>
          <w:sz w:val="22"/>
        </w:rPr>
      </w:pPr>
    </w:p>
    <w:p w:rsidR="009413A6" w:rsidRDefault="009413A6" w:rsidP="009413A6">
      <w:pPr>
        <w:rPr>
          <w:rFonts w:asciiTheme="minorHAnsi" w:hAnsiTheme="minorHAnsi"/>
          <w:sz w:val="22"/>
        </w:rPr>
      </w:pPr>
      <w:r w:rsidRPr="00563EF2">
        <w:rPr>
          <w:rFonts w:asciiTheme="minorHAnsi" w:hAnsiTheme="minorHAnsi"/>
          <w:sz w:val="22"/>
        </w:rPr>
        <w:t>Miasto Legnica posiada rozbudowaną sieć podstawowych mediów oraz cechuje się wysoką dostępnością mies</w:t>
      </w:r>
      <w:r w:rsidR="00D303A5">
        <w:rPr>
          <w:rFonts w:asciiTheme="minorHAnsi" w:hAnsiTheme="minorHAnsi"/>
          <w:sz w:val="22"/>
        </w:rPr>
        <w:t>zkańców do usług kanalizacji (97%), wodociągów (99</w:t>
      </w:r>
      <w:r w:rsidRPr="00563EF2">
        <w:rPr>
          <w:rFonts w:asciiTheme="minorHAnsi" w:hAnsiTheme="minorHAnsi"/>
          <w:sz w:val="22"/>
        </w:rPr>
        <w:t xml:space="preserve">%) i gazu (93,9%). </w:t>
      </w:r>
      <w:r w:rsidR="00D303A5">
        <w:rPr>
          <w:rFonts w:asciiTheme="minorHAnsi" w:hAnsiTheme="minorHAnsi"/>
          <w:sz w:val="22"/>
        </w:rPr>
        <w:t xml:space="preserve">Także spory odsetek mieszkańców (97%) objęty jest </w:t>
      </w:r>
      <w:r w:rsidRPr="00563EF2">
        <w:rPr>
          <w:rFonts w:asciiTheme="minorHAnsi" w:hAnsiTheme="minorHAnsi"/>
          <w:sz w:val="22"/>
        </w:rPr>
        <w:t>usługami systematycznie rozbudowywanej i modernizowanej oczyszczalni ścieków.</w:t>
      </w:r>
      <w:r w:rsidR="00FA185E">
        <w:rPr>
          <w:rFonts w:asciiTheme="minorHAnsi" w:hAnsiTheme="minorHAnsi"/>
          <w:sz w:val="22"/>
        </w:rPr>
        <w:t xml:space="preserve"> </w:t>
      </w:r>
      <w:r w:rsidRPr="00563EF2">
        <w:rPr>
          <w:rFonts w:asciiTheme="minorHAnsi" w:hAnsiTheme="minorHAnsi"/>
          <w:sz w:val="22"/>
        </w:rPr>
        <w:t>W badanym roku Legnica posiadała jeden z najniższych wskaźników odpadów</w:t>
      </w:r>
      <w:r w:rsidR="00FA185E">
        <w:rPr>
          <w:rFonts w:asciiTheme="minorHAnsi" w:hAnsiTheme="minorHAnsi"/>
          <w:sz w:val="22"/>
        </w:rPr>
        <w:t xml:space="preserve"> innych niż komunalne</w:t>
      </w:r>
      <w:r w:rsidRPr="00563EF2">
        <w:rPr>
          <w:rFonts w:asciiTheme="minorHAnsi" w:hAnsiTheme="minorHAnsi"/>
          <w:sz w:val="22"/>
        </w:rPr>
        <w:t xml:space="preserve"> poddanych odzyskowi</w:t>
      </w:r>
      <w:r w:rsidR="00FA185E">
        <w:rPr>
          <w:rFonts w:asciiTheme="minorHAnsi" w:hAnsiTheme="minorHAnsi"/>
          <w:sz w:val="22"/>
        </w:rPr>
        <w:t xml:space="preserve"> (75,2%)</w:t>
      </w:r>
      <w:r w:rsidRPr="00563EF2">
        <w:rPr>
          <w:rFonts w:asciiTheme="minorHAnsi" w:hAnsiTheme="minorHAnsi"/>
          <w:sz w:val="22"/>
        </w:rPr>
        <w:t xml:space="preserve">, co znacząco wpłynęło na jej ogólny wynik. </w:t>
      </w:r>
    </w:p>
    <w:p w:rsidR="00FA185E" w:rsidRPr="00563EF2" w:rsidRDefault="00FA185E" w:rsidP="009413A6">
      <w:pPr>
        <w:rPr>
          <w:rFonts w:asciiTheme="minorHAnsi" w:hAnsiTheme="minorHAnsi"/>
          <w:sz w:val="22"/>
        </w:rPr>
      </w:pPr>
    </w:p>
    <w:p w:rsidR="009413A6" w:rsidRPr="00E235FE" w:rsidRDefault="009413A6" w:rsidP="009413A6">
      <w:pPr>
        <w:rPr>
          <w:rFonts w:asciiTheme="minorHAnsi" w:hAnsiTheme="minorHAnsi"/>
          <w:b/>
          <w:sz w:val="22"/>
        </w:rPr>
      </w:pPr>
      <w:r w:rsidRPr="00E235FE">
        <w:rPr>
          <w:rFonts w:asciiTheme="minorHAnsi" w:hAnsiTheme="minorHAnsi"/>
          <w:b/>
          <w:sz w:val="22"/>
        </w:rPr>
        <w:t>W sferze infrastruktury technicznej Legnica wykazuje wyraźny potencjał, który poprzez dotychczasowe, jak i przyszłe inwestycje przedsiębiorstw komunalnych, powinien systematycznie wzrastać i przyczynić się do zwiększenia atrakcyjności gospodarczej i mieszkaniowej Legnicy.</w:t>
      </w:r>
    </w:p>
    <w:p w:rsidR="009413A6" w:rsidRPr="00E235FE" w:rsidRDefault="009413A6" w:rsidP="009413A6">
      <w:pPr>
        <w:rPr>
          <w:rFonts w:asciiTheme="minorHAnsi" w:hAnsiTheme="minorHAnsi"/>
          <w:b/>
          <w:sz w:val="22"/>
        </w:rPr>
        <w:sectPr w:rsidR="009413A6" w:rsidRPr="00E235FE" w:rsidSect="00F51FAB">
          <w:pgSz w:w="11906" w:h="16838"/>
          <w:pgMar w:top="1417" w:right="1417" w:bottom="1417" w:left="1417" w:header="708" w:footer="708" w:gutter="0"/>
          <w:cols w:space="708"/>
          <w:docGrid w:linePitch="360"/>
        </w:sectPr>
      </w:pPr>
    </w:p>
    <w:p w:rsidR="009413A6" w:rsidRPr="007F6382" w:rsidRDefault="009413A6" w:rsidP="009413A6">
      <w:pPr>
        <w:rPr>
          <w:rFonts w:asciiTheme="minorHAnsi" w:hAnsiTheme="minorHAnsi"/>
          <w:sz w:val="20"/>
        </w:rPr>
      </w:pPr>
    </w:p>
    <w:p w:rsidR="009413A6" w:rsidRPr="007F6382" w:rsidRDefault="009413A6" w:rsidP="009413A6">
      <w:pPr>
        <w:pStyle w:val="Legenda"/>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5</w:t>
      </w:r>
      <w:r w:rsidR="00017794" w:rsidRPr="007F6382">
        <w:rPr>
          <w:rFonts w:asciiTheme="minorHAnsi" w:hAnsiTheme="minorHAnsi"/>
          <w:noProof/>
          <w:sz w:val="20"/>
          <w:szCs w:val="22"/>
        </w:rPr>
        <w:fldChar w:fldCharType="end"/>
      </w:r>
      <w:r w:rsidRPr="007F6382">
        <w:rPr>
          <w:rFonts w:asciiTheme="minorHAnsi" w:hAnsiTheme="minorHAnsi"/>
          <w:sz w:val="20"/>
          <w:szCs w:val="22"/>
        </w:rPr>
        <w:t>. Gospodarka</w:t>
      </w:r>
    </w:p>
    <w:tbl>
      <w:tblPr>
        <w:tblW w:w="14600" w:type="dxa"/>
        <w:tblCellMar>
          <w:left w:w="70" w:type="dxa"/>
          <w:right w:w="70" w:type="dxa"/>
        </w:tblCellMar>
        <w:tblLook w:val="04A0" w:firstRow="1" w:lastRow="0" w:firstColumn="1" w:lastColumn="0" w:noHBand="0" w:noVBand="1"/>
      </w:tblPr>
      <w:tblGrid>
        <w:gridCol w:w="686"/>
        <w:gridCol w:w="1574"/>
        <w:gridCol w:w="1221"/>
        <w:gridCol w:w="1769"/>
        <w:gridCol w:w="1482"/>
        <w:gridCol w:w="1548"/>
        <w:gridCol w:w="1627"/>
        <w:gridCol w:w="1704"/>
        <w:gridCol w:w="1713"/>
        <w:gridCol w:w="1276"/>
      </w:tblGrid>
      <w:tr w:rsidR="009413A6" w:rsidRPr="00563EF2" w:rsidTr="00EC5484">
        <w:trPr>
          <w:trHeight w:val="271"/>
        </w:trPr>
        <w:tc>
          <w:tcPr>
            <w:tcW w:w="686" w:type="dxa"/>
            <w:tcBorders>
              <w:top w:val="single" w:sz="8" w:space="0" w:color="auto"/>
              <w:left w:val="single" w:sz="8" w:space="0" w:color="auto"/>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Nr</w:t>
            </w:r>
          </w:p>
        </w:tc>
        <w:tc>
          <w:tcPr>
            <w:tcW w:w="1574"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Miasto</w:t>
            </w:r>
          </w:p>
        </w:tc>
        <w:tc>
          <w:tcPr>
            <w:tcW w:w="1221"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Podmioty wpisane do rejestru REGON na 10 tys. ludności</w:t>
            </w:r>
          </w:p>
        </w:tc>
        <w:tc>
          <w:tcPr>
            <w:tcW w:w="1769"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Osoby fizyczne prowadzące działalność gospodarczą na 100 osób w wieku produkcyjnym</w:t>
            </w:r>
          </w:p>
        </w:tc>
        <w:tc>
          <w:tcPr>
            <w:tcW w:w="1482"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Dochody budżetu Miasta z podatku PIT na 1 mieszkańca (w zł)</w:t>
            </w:r>
          </w:p>
        </w:tc>
        <w:tc>
          <w:tcPr>
            <w:tcW w:w="1548"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Dochody budżetu miasta z podatku CIT na 1 pracującego (w zł)</w:t>
            </w:r>
          </w:p>
        </w:tc>
        <w:tc>
          <w:tcPr>
            <w:tcW w:w="1627"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Rankingowa atrakcyjność inwestycyjna regionu dla działalności usługowej</w:t>
            </w:r>
          </w:p>
        </w:tc>
        <w:tc>
          <w:tcPr>
            <w:tcW w:w="1704"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Rankingowa atrakcyjność inwestycyjna regionu dla działalności przemysłowej</w:t>
            </w:r>
          </w:p>
        </w:tc>
        <w:tc>
          <w:tcPr>
            <w:tcW w:w="1713"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Rankingowa atrakcyjność inwestycyjna regionu dla działalności wysokich technologii</w:t>
            </w:r>
          </w:p>
        </w:tc>
        <w:tc>
          <w:tcPr>
            <w:tcW w:w="1276" w:type="dxa"/>
            <w:tcBorders>
              <w:top w:val="single" w:sz="8" w:space="0" w:color="auto"/>
              <w:left w:val="nil"/>
              <w:bottom w:val="single" w:sz="4" w:space="0" w:color="auto"/>
              <w:right w:val="single" w:sz="8" w:space="0" w:color="auto"/>
            </w:tcBorders>
            <w:shd w:val="clear" w:color="auto" w:fill="8496B0" w:themeFill="text2" w:themeFillTint="99"/>
            <w:noWrap/>
            <w:vAlign w:val="bottom"/>
            <w:hideMark/>
          </w:tcPr>
          <w:p w:rsidR="009413A6" w:rsidRPr="00563EF2" w:rsidRDefault="009413A6" w:rsidP="00EC5484">
            <w:pPr>
              <w:jc w:val="left"/>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Wskaźnik sumaryczny</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Bielsko-Biała</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1443</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1095,57</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224,02</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6,74</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Koszalin</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1680</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19,8</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929,47</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178,51</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3,95</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Jelenia Góra</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1523</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798,58</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188,14</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3,55</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Częstochowa </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1137</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13,5</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882,63</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147,72</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B0D580"/>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2,98</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Lubin</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994</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11,8</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1002,42</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1931,40</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1,90</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Świdnica</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1402</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13,5</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658,79</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167,17</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1,22</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7</w:t>
            </w:r>
          </w:p>
        </w:tc>
        <w:tc>
          <w:tcPr>
            <w:tcW w:w="157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Legnica</w:t>
            </w:r>
          </w:p>
        </w:tc>
        <w:tc>
          <w:tcPr>
            <w:tcW w:w="12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1298</w:t>
            </w:r>
          </w:p>
        </w:tc>
        <w:tc>
          <w:tcPr>
            <w:tcW w:w="17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13,7</w:t>
            </w:r>
          </w:p>
        </w:tc>
        <w:tc>
          <w:tcPr>
            <w:tcW w:w="14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hAnsiTheme="minorHAnsi" w:cs="Arial"/>
                <w:b/>
                <w:bCs/>
                <w:sz w:val="18"/>
                <w:szCs w:val="18"/>
              </w:rPr>
            </w:pPr>
            <w:r w:rsidRPr="00563EF2">
              <w:rPr>
                <w:rFonts w:asciiTheme="minorHAnsi" w:hAnsiTheme="minorHAnsi" w:cs="Arial"/>
                <w:b/>
                <w:bCs/>
                <w:sz w:val="18"/>
                <w:szCs w:val="18"/>
              </w:rPr>
              <w:t>842,84</w:t>
            </w:r>
          </w:p>
        </w:tc>
        <w:tc>
          <w:tcPr>
            <w:tcW w:w="154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hAnsiTheme="minorHAnsi" w:cs="Arial"/>
                <w:b/>
                <w:bCs/>
                <w:sz w:val="18"/>
                <w:szCs w:val="18"/>
              </w:rPr>
            </w:pPr>
            <w:r w:rsidRPr="00563EF2">
              <w:rPr>
                <w:rFonts w:asciiTheme="minorHAnsi" w:hAnsiTheme="minorHAnsi" w:cs="Arial"/>
                <w:b/>
                <w:bCs/>
                <w:sz w:val="18"/>
                <w:szCs w:val="18"/>
              </w:rPr>
              <w:t>456,67</w:t>
            </w:r>
          </w:p>
        </w:tc>
        <w:tc>
          <w:tcPr>
            <w:tcW w:w="162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1</w:t>
            </w:r>
          </w:p>
        </w:tc>
        <w:tc>
          <w:tcPr>
            <w:tcW w:w="171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9413A6" w:rsidRPr="00563EF2" w:rsidRDefault="009413A6" w:rsidP="00EC5484">
            <w:pPr>
              <w:rPr>
                <w:rFonts w:asciiTheme="minorHAnsi" w:eastAsia="Times New Roman" w:hAnsiTheme="minorHAnsi" w:cs="Arial"/>
                <w:b/>
                <w:bCs/>
                <w:sz w:val="18"/>
                <w:szCs w:val="18"/>
                <w:lang w:eastAsia="pl-PL"/>
              </w:rPr>
            </w:pPr>
            <w:r w:rsidRPr="00563EF2">
              <w:rPr>
                <w:rFonts w:asciiTheme="minorHAnsi" w:eastAsia="Times New Roman" w:hAnsiTheme="minorHAnsi" w:cs="Arial"/>
                <w:b/>
                <w:bCs/>
                <w:sz w:val="18"/>
                <w:szCs w:val="18"/>
                <w:lang w:eastAsia="pl-PL"/>
              </w:rPr>
              <w:t>0,31</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Głogów</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983</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11,1</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778,53</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1684,28</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-0,19</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Rybnik</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950</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907,25</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256,72</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-0,80</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Słupsk</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1401</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15,2</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844,90</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208,74</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-0,92</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Wałbrzych</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1176</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10,9</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577,45</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171,37</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-1,17</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Płock</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1007</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1112,67</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1644,18</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-1,28</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Kalisz </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1126</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878,25</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323,51</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-1,51</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Ostrów Wlkp.</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1232</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14,9</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640,10</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93,28</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-2,42</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15</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 xml:space="preserve">Elbląg </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991</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819,88</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130,04</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-3,25</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16</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Radom</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1118</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13,7</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769,98</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151,02</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-3,34</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17</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Włocławek</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1027</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11,8</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771,03</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422,07</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-3,39</w:t>
            </w:r>
          </w:p>
        </w:tc>
      </w:tr>
      <w:tr w:rsidR="009413A6" w:rsidRPr="00563EF2" w:rsidTr="00EC5484">
        <w:trPr>
          <w:trHeight w:val="25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18</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Tarnów</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986</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11,4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780,03</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238,32</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-5,33</w:t>
            </w:r>
          </w:p>
        </w:tc>
      </w:tr>
      <w:tr w:rsidR="009413A6" w:rsidRPr="00563EF2" w:rsidTr="00EC5484">
        <w:trPr>
          <w:trHeight w:val="271"/>
        </w:trPr>
        <w:tc>
          <w:tcPr>
            <w:tcW w:w="686"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19</w:t>
            </w:r>
          </w:p>
        </w:tc>
        <w:tc>
          <w:tcPr>
            <w:tcW w:w="1574"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Grudziądz</w:t>
            </w:r>
          </w:p>
        </w:tc>
        <w:tc>
          <w:tcPr>
            <w:tcW w:w="1221"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812</w:t>
            </w:r>
          </w:p>
        </w:tc>
        <w:tc>
          <w:tcPr>
            <w:tcW w:w="1769"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9,8</w:t>
            </w:r>
          </w:p>
        </w:tc>
        <w:tc>
          <w:tcPr>
            <w:tcW w:w="1482"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673,52</w:t>
            </w:r>
          </w:p>
        </w:tc>
        <w:tc>
          <w:tcPr>
            <w:tcW w:w="1548"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hAnsiTheme="minorHAnsi" w:cs="Arial"/>
                <w:sz w:val="18"/>
                <w:szCs w:val="18"/>
              </w:rPr>
            </w:pPr>
            <w:r w:rsidRPr="00563EF2">
              <w:rPr>
                <w:rFonts w:asciiTheme="minorHAnsi" w:hAnsiTheme="minorHAnsi" w:cs="Arial"/>
                <w:sz w:val="18"/>
                <w:szCs w:val="18"/>
              </w:rPr>
              <w:t>149,41</w:t>
            </w:r>
          </w:p>
        </w:tc>
        <w:tc>
          <w:tcPr>
            <w:tcW w:w="1627"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2</w:t>
            </w:r>
          </w:p>
        </w:tc>
        <w:tc>
          <w:tcPr>
            <w:tcW w:w="1704"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4</w:t>
            </w:r>
          </w:p>
        </w:tc>
        <w:tc>
          <w:tcPr>
            <w:tcW w:w="1713" w:type="dxa"/>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1</w:t>
            </w:r>
          </w:p>
        </w:tc>
        <w:tc>
          <w:tcPr>
            <w:tcW w:w="1276" w:type="dxa"/>
            <w:tcBorders>
              <w:top w:val="single" w:sz="4" w:space="0" w:color="auto"/>
              <w:left w:val="single" w:sz="4" w:space="0" w:color="auto"/>
              <w:bottom w:val="single" w:sz="4" w:space="0" w:color="FF0000"/>
              <w:right w:val="single" w:sz="4" w:space="0" w:color="auto"/>
            </w:tcBorders>
            <w:shd w:val="clear" w:color="000000" w:fill="F8696B"/>
            <w:noWrap/>
            <w:vAlign w:val="bottom"/>
            <w:hideMark/>
          </w:tcPr>
          <w:p w:rsidR="009413A6" w:rsidRPr="00563EF2" w:rsidRDefault="009413A6" w:rsidP="00EC5484">
            <w:pPr>
              <w:rPr>
                <w:rFonts w:asciiTheme="minorHAnsi" w:eastAsia="Times New Roman" w:hAnsiTheme="minorHAnsi" w:cs="Arial"/>
                <w:sz w:val="18"/>
                <w:szCs w:val="18"/>
                <w:lang w:eastAsia="pl-PL"/>
              </w:rPr>
            </w:pPr>
            <w:r w:rsidRPr="00563EF2">
              <w:rPr>
                <w:rFonts w:asciiTheme="minorHAnsi" w:eastAsia="Times New Roman" w:hAnsiTheme="minorHAnsi" w:cs="Arial"/>
                <w:sz w:val="18"/>
                <w:szCs w:val="18"/>
                <w:lang w:eastAsia="pl-PL"/>
              </w:rPr>
              <w:t>-6,94</w:t>
            </w:r>
          </w:p>
        </w:tc>
      </w:tr>
      <w:tr w:rsidR="009413A6" w:rsidRPr="00563EF2" w:rsidTr="00EC5484">
        <w:trPr>
          <w:trHeight w:val="256"/>
        </w:trPr>
        <w:tc>
          <w:tcPr>
            <w:tcW w:w="686"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sz w:val="18"/>
                <w:szCs w:val="18"/>
                <w:lang w:eastAsia="pl-PL"/>
              </w:rPr>
            </w:pPr>
          </w:p>
        </w:tc>
        <w:tc>
          <w:tcPr>
            <w:tcW w:w="1574"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Wrocław</w:t>
            </w:r>
          </w:p>
        </w:tc>
        <w:tc>
          <w:tcPr>
            <w:tcW w:w="1221"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1665</w:t>
            </w:r>
          </w:p>
        </w:tc>
        <w:tc>
          <w:tcPr>
            <w:tcW w:w="1769"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17,1</w:t>
            </w:r>
          </w:p>
        </w:tc>
        <w:tc>
          <w:tcPr>
            <w:tcW w:w="1482"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hAnsiTheme="minorHAnsi" w:cs="Arial"/>
                <w:b/>
                <w:bCs/>
                <w:color w:val="FF0000"/>
                <w:sz w:val="18"/>
                <w:szCs w:val="18"/>
              </w:rPr>
            </w:pPr>
            <w:r w:rsidRPr="00563EF2">
              <w:rPr>
                <w:rFonts w:asciiTheme="minorHAnsi" w:hAnsiTheme="minorHAnsi" w:cs="Arial"/>
                <w:b/>
                <w:bCs/>
                <w:color w:val="FF0000"/>
                <w:sz w:val="18"/>
                <w:szCs w:val="18"/>
              </w:rPr>
              <w:t>1238,93</w:t>
            </w:r>
          </w:p>
        </w:tc>
        <w:tc>
          <w:tcPr>
            <w:tcW w:w="1548"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hAnsiTheme="minorHAnsi" w:cs="Arial"/>
                <w:b/>
                <w:bCs/>
                <w:color w:val="FF0000"/>
                <w:sz w:val="18"/>
                <w:szCs w:val="18"/>
              </w:rPr>
            </w:pPr>
            <w:r w:rsidRPr="00563EF2">
              <w:rPr>
                <w:rFonts w:asciiTheme="minorHAnsi" w:hAnsiTheme="minorHAnsi" w:cs="Arial"/>
                <w:b/>
                <w:bCs/>
                <w:color w:val="FF0000"/>
                <w:sz w:val="18"/>
                <w:szCs w:val="18"/>
              </w:rPr>
              <w:t>322,49</w:t>
            </w:r>
          </w:p>
        </w:tc>
        <w:tc>
          <w:tcPr>
            <w:tcW w:w="1627"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5</w:t>
            </w:r>
          </w:p>
        </w:tc>
        <w:tc>
          <w:tcPr>
            <w:tcW w:w="1704"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5</w:t>
            </w:r>
          </w:p>
        </w:tc>
        <w:tc>
          <w:tcPr>
            <w:tcW w:w="1713"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5</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9413A6" w:rsidRPr="00563EF2" w:rsidRDefault="009413A6" w:rsidP="00EC5484">
            <w:pPr>
              <w:rPr>
                <w:rFonts w:asciiTheme="minorHAnsi" w:eastAsia="Times New Roman" w:hAnsiTheme="minorHAnsi" w:cs="Arial"/>
                <w:b/>
                <w:bCs/>
                <w:color w:val="FF0000"/>
                <w:sz w:val="18"/>
                <w:szCs w:val="18"/>
                <w:lang w:eastAsia="pl-PL"/>
              </w:rPr>
            </w:pPr>
            <w:r w:rsidRPr="00563EF2">
              <w:rPr>
                <w:rFonts w:asciiTheme="minorHAnsi" w:eastAsia="Times New Roman" w:hAnsiTheme="minorHAnsi" w:cs="Arial"/>
                <w:b/>
                <w:bCs/>
                <w:color w:val="FF0000"/>
                <w:sz w:val="18"/>
                <w:szCs w:val="18"/>
                <w:lang w:eastAsia="pl-PL"/>
              </w:rPr>
              <w:t>9,88</w:t>
            </w:r>
          </w:p>
        </w:tc>
      </w:tr>
    </w:tbl>
    <w:p w:rsidR="009413A6" w:rsidRPr="002E2D3F" w:rsidRDefault="009413A6" w:rsidP="009413A6">
      <w:pPr>
        <w:rPr>
          <w:rFonts w:asciiTheme="minorHAnsi" w:eastAsia="Times New Roman" w:hAnsiTheme="minorHAnsi" w:cs="Arial"/>
          <w:sz w:val="20"/>
          <w:lang w:eastAsia="pl-PL"/>
        </w:rPr>
      </w:pPr>
      <w:r w:rsidRPr="002E2D3F">
        <w:rPr>
          <w:rFonts w:asciiTheme="minorHAnsi" w:eastAsia="Times New Roman" w:hAnsiTheme="minorHAnsi" w:cs="Arial"/>
          <w:sz w:val="20"/>
          <w:lang w:eastAsia="pl-PL"/>
        </w:rPr>
        <w:t xml:space="preserve"> Źródło: opracowanie własne na podstawie danych GUS</w:t>
      </w:r>
      <w:r w:rsidR="002E2D3F">
        <w:rPr>
          <w:rFonts w:asciiTheme="minorHAnsi" w:eastAsia="Times New Roman" w:hAnsiTheme="minorHAnsi" w:cs="Arial"/>
          <w:sz w:val="20"/>
          <w:lang w:eastAsia="pl-PL"/>
        </w:rPr>
        <w:t>,</w:t>
      </w:r>
      <w:r w:rsidRPr="002E2D3F">
        <w:rPr>
          <w:rFonts w:asciiTheme="minorHAnsi" w:eastAsia="Times New Roman" w:hAnsiTheme="minorHAnsi" w:cs="Arial"/>
          <w:sz w:val="20"/>
          <w:lang w:eastAsia="pl-PL"/>
        </w:rPr>
        <w:t xml:space="preserve"> Bank Danych Lokalnych (dane na koniec 2012 r.)</w:t>
      </w:r>
      <w:r w:rsidR="0010032B">
        <w:rPr>
          <w:rFonts w:asciiTheme="minorHAnsi" w:eastAsia="Times New Roman" w:hAnsiTheme="minorHAnsi" w:cs="Arial"/>
          <w:sz w:val="20"/>
          <w:lang w:eastAsia="pl-PL"/>
        </w:rPr>
        <w:t>.</w:t>
      </w:r>
    </w:p>
    <w:p w:rsidR="009413A6" w:rsidRPr="00563EF2" w:rsidRDefault="009413A6" w:rsidP="009413A6">
      <w:pPr>
        <w:rPr>
          <w:rFonts w:asciiTheme="minorHAnsi" w:hAnsiTheme="minorHAnsi"/>
          <w:sz w:val="22"/>
        </w:rPr>
      </w:pPr>
    </w:p>
    <w:p w:rsidR="009413A6" w:rsidRPr="00563EF2" w:rsidRDefault="009413A6" w:rsidP="009413A6">
      <w:pPr>
        <w:pStyle w:val="Nagwek1"/>
        <w:rPr>
          <w:rFonts w:asciiTheme="minorHAnsi" w:hAnsiTheme="minorHAnsi"/>
          <w:sz w:val="22"/>
          <w:szCs w:val="22"/>
        </w:rPr>
        <w:sectPr w:rsidR="009413A6" w:rsidRPr="00563EF2" w:rsidSect="00B76DAC">
          <w:pgSz w:w="16838" w:h="11906" w:orient="landscape"/>
          <w:pgMar w:top="1417" w:right="1417" w:bottom="1417" w:left="1417" w:header="708" w:footer="708" w:gutter="0"/>
          <w:cols w:space="708"/>
          <w:docGrid w:linePitch="360"/>
        </w:sectPr>
      </w:pPr>
    </w:p>
    <w:p w:rsidR="009413A6" w:rsidRPr="00563EF2" w:rsidRDefault="009413A6" w:rsidP="009413A6">
      <w:pPr>
        <w:spacing w:after="160"/>
        <w:rPr>
          <w:rFonts w:asciiTheme="minorHAnsi" w:hAnsiTheme="minorHAnsi"/>
          <w:sz w:val="22"/>
        </w:rPr>
      </w:pPr>
      <w:r w:rsidRPr="00563EF2">
        <w:rPr>
          <w:rFonts w:asciiTheme="minorHAnsi" w:hAnsiTheme="minorHAnsi"/>
          <w:sz w:val="22"/>
        </w:rPr>
        <w:t xml:space="preserve">Liczba podmiotów gospodarczych przypadająca na 10 tys. mieszkańców wynosiła 1 298, co stanowiło średni poziom wśród rozpatrywanych miast. Podobnie na średnim poziomie kształtowała się  aktywność gospodarcza mieszkańców 13,7 mieszkańca w wieku produkcyjnym na stu prowadziło własną działalność gospodarczą. </w:t>
      </w:r>
    </w:p>
    <w:p w:rsidR="009413A6" w:rsidRPr="00563EF2" w:rsidRDefault="009413A6" w:rsidP="009413A6">
      <w:pPr>
        <w:spacing w:after="160"/>
        <w:rPr>
          <w:rFonts w:asciiTheme="minorHAnsi" w:hAnsiTheme="minorHAnsi"/>
          <w:sz w:val="22"/>
        </w:rPr>
      </w:pPr>
      <w:r w:rsidRPr="00563EF2">
        <w:rPr>
          <w:rFonts w:asciiTheme="minorHAnsi" w:hAnsiTheme="minorHAnsi"/>
          <w:sz w:val="22"/>
        </w:rPr>
        <w:t xml:space="preserve">Dochody miasta z podatku dochodowego PIT w przeliczeniu na mieszkańca były najwyższe spośród miast Dolnego Śląska, nie licząc Wrocławia i Lubina, na którego wynik ma wpływ lokalizacja siedziby przemysłowego hegemona w regionie, czyli KGHM „Polska Miedź” S.A. W porównaniu z miastami położonymi w innych częściach kraju pod względem przychodów z </w:t>
      </w:r>
      <w:r w:rsidR="00EC0CEE">
        <w:rPr>
          <w:rFonts w:asciiTheme="minorHAnsi" w:hAnsiTheme="minorHAnsi"/>
          <w:sz w:val="22"/>
        </w:rPr>
        <w:t>PIT Legnica plasowała się na 8. </w:t>
      </w:r>
      <w:r w:rsidRPr="00563EF2">
        <w:rPr>
          <w:rFonts w:asciiTheme="minorHAnsi" w:hAnsiTheme="minorHAnsi"/>
          <w:sz w:val="22"/>
        </w:rPr>
        <w:t xml:space="preserve">miejscu. </w:t>
      </w:r>
    </w:p>
    <w:p w:rsidR="009413A6" w:rsidRPr="00563EF2" w:rsidRDefault="009413A6" w:rsidP="009413A6">
      <w:pPr>
        <w:spacing w:after="160"/>
        <w:rPr>
          <w:rFonts w:asciiTheme="minorHAnsi" w:hAnsiTheme="minorHAnsi"/>
          <w:sz w:val="22"/>
        </w:rPr>
      </w:pPr>
      <w:r w:rsidRPr="00563EF2">
        <w:rPr>
          <w:rFonts w:asciiTheme="minorHAnsi" w:hAnsiTheme="minorHAnsi"/>
          <w:sz w:val="22"/>
        </w:rPr>
        <w:t>Wpływy z podatku dochodowego od przedsiębiorstw CIT były z kolei najwyższe spośród wszystkich miast, przy pominięciu ośrodków miejskich o monokulturowej, silnej gospodarce przemysłu wydobywczego  jak Lubin i  Głogów (KGHM S.A.) oraz petrochemicznego jak Płock (Orlen S.A.). Warto dodać, iż podatek od dochodu przedsiębiorstw realnie byłby wyższy, biorąc pod uwagę, że część przedsiębiorstw działa w Legnickiej Specjalnej Strefie Ekonomicznej i korzysta z okresowych ulg podatkowych.  Uzyskane wyniki świadczą o dobrej sytuacji gospodarczej i ekonomicznej legnickich przedsiębiorstw.</w:t>
      </w:r>
    </w:p>
    <w:p w:rsidR="009413A6" w:rsidRPr="00563EF2" w:rsidRDefault="009413A6" w:rsidP="009413A6">
      <w:pPr>
        <w:spacing w:after="160"/>
        <w:rPr>
          <w:rFonts w:asciiTheme="minorHAnsi" w:hAnsiTheme="minorHAnsi"/>
          <w:sz w:val="22"/>
        </w:rPr>
      </w:pPr>
      <w:r w:rsidRPr="00563EF2">
        <w:rPr>
          <w:rFonts w:asciiTheme="minorHAnsi" w:hAnsiTheme="minorHAnsi"/>
          <w:sz w:val="22"/>
        </w:rPr>
        <w:t>Atrakcyjność inwestycyjna Legnicy rozpatrywana jest dla całego obszaru LGOP, stąd taki sam wynik Głogowa i Lubina w tym obszarze. Atrakcyjność tego obszaru dla działalności usługowej oraz działalności wysokich technologii określona została jako dobra. Spowodowane jest to dobrą dostępnością komunikacyjną regionu, sporym zaludnieniem, oraz posiadanym kapitałem intelektualnym (bliskość ośrodków akademickich  w Legnicy i Wrocławiu) i ludzkim. Pozytywny wpływ na te typy działalności ma również siła gospodarcza KGHM S.A., który wpływa na zamożność regionu, a więc zainteresowanie usługami oraz podejmuje próby dywersyfikacji działalności</w:t>
      </w:r>
      <w:r w:rsidR="0077629C">
        <w:rPr>
          <w:rFonts w:asciiTheme="minorHAnsi" w:hAnsiTheme="minorHAnsi"/>
          <w:sz w:val="22"/>
        </w:rPr>
        <w:t xml:space="preserve">, </w:t>
      </w:r>
      <w:r w:rsidR="0077629C" w:rsidRPr="00563EF2">
        <w:rPr>
          <w:rFonts w:asciiTheme="minorHAnsi" w:hAnsiTheme="minorHAnsi"/>
          <w:sz w:val="22"/>
        </w:rPr>
        <w:t>ukierunkowane głównie na rozwój przedsiębiorstw z branż nowych technolog</w:t>
      </w:r>
      <w:r w:rsidR="0077629C">
        <w:rPr>
          <w:rFonts w:asciiTheme="minorHAnsi" w:hAnsiTheme="minorHAnsi"/>
          <w:sz w:val="22"/>
        </w:rPr>
        <w:t>ii</w:t>
      </w:r>
      <w:r w:rsidRPr="00563EF2">
        <w:rPr>
          <w:rFonts w:asciiTheme="minorHAnsi" w:hAnsiTheme="minorHAnsi"/>
          <w:sz w:val="22"/>
        </w:rPr>
        <w:t xml:space="preserve">. Siła przemysłu miedziowego wpływa także na obniżenie atrakcyjności inwestycyjnej dla innej działalności przemysłowej, głównie z powodu specjalizacji regionu oraz wysokich kosztów konkurowania na rynku pracy z KGHM. </w:t>
      </w:r>
    </w:p>
    <w:p w:rsidR="009413A6" w:rsidRPr="00E235FE" w:rsidRDefault="009413A6" w:rsidP="009413A6">
      <w:pPr>
        <w:spacing w:after="160"/>
        <w:rPr>
          <w:rFonts w:asciiTheme="minorHAnsi" w:hAnsiTheme="minorHAnsi"/>
          <w:b/>
          <w:sz w:val="22"/>
        </w:rPr>
      </w:pPr>
      <w:r w:rsidRPr="00E235FE">
        <w:rPr>
          <w:rFonts w:asciiTheme="minorHAnsi" w:hAnsiTheme="minorHAnsi"/>
          <w:b/>
          <w:sz w:val="22"/>
        </w:rPr>
        <w:t>Z analizy porównawczej wynika, iż Legnica posiada ustabilizowaną i dostatecznie silną sferę gospodarczą, aby konkurować z innymi miastami o podobnej wielkości. Zdywersyfikowanie działalności gospodarczej w porówn</w:t>
      </w:r>
      <w:r w:rsidR="0042069E" w:rsidRPr="00E235FE">
        <w:rPr>
          <w:rFonts w:asciiTheme="minorHAnsi" w:hAnsiTheme="minorHAnsi"/>
          <w:b/>
          <w:sz w:val="22"/>
        </w:rPr>
        <w:t>aniu z innymi miastami LGOP, a także</w:t>
      </w:r>
      <w:r w:rsidRPr="00E235FE">
        <w:rPr>
          <w:rFonts w:asciiTheme="minorHAnsi" w:hAnsiTheme="minorHAnsi"/>
          <w:b/>
          <w:sz w:val="22"/>
        </w:rPr>
        <w:t xml:space="preserve"> pote</w:t>
      </w:r>
      <w:r w:rsidR="0042069E" w:rsidRPr="00E235FE">
        <w:rPr>
          <w:rFonts w:asciiTheme="minorHAnsi" w:hAnsiTheme="minorHAnsi"/>
          <w:b/>
          <w:sz w:val="22"/>
        </w:rPr>
        <w:t>ncjał komunikacyjny, usługowy oraz</w:t>
      </w:r>
      <w:r w:rsidR="0077629C" w:rsidRPr="00E235FE">
        <w:rPr>
          <w:rFonts w:asciiTheme="minorHAnsi" w:hAnsiTheme="minorHAnsi"/>
          <w:b/>
          <w:sz w:val="22"/>
        </w:rPr>
        <w:t> </w:t>
      </w:r>
      <w:r w:rsidRPr="00E235FE">
        <w:rPr>
          <w:rFonts w:asciiTheme="minorHAnsi" w:hAnsiTheme="minorHAnsi"/>
          <w:b/>
          <w:sz w:val="22"/>
        </w:rPr>
        <w:t>intelektualny miasta, mogą  przyczynić się do dalszego rozwoj</w:t>
      </w:r>
      <w:r w:rsidR="00E235FE">
        <w:rPr>
          <w:rFonts w:asciiTheme="minorHAnsi" w:hAnsiTheme="minorHAnsi"/>
          <w:b/>
          <w:sz w:val="22"/>
        </w:rPr>
        <w:t>u sfery gospodarczej i </w:t>
      </w:r>
      <w:r w:rsidR="007829DC">
        <w:rPr>
          <w:rFonts w:asciiTheme="minorHAnsi" w:hAnsiTheme="minorHAnsi"/>
          <w:b/>
          <w:sz w:val="22"/>
        </w:rPr>
        <w:t>umacniania pozycji Legnicy jako kluczowego</w:t>
      </w:r>
      <w:r w:rsidRPr="00E235FE">
        <w:rPr>
          <w:rFonts w:asciiTheme="minorHAnsi" w:hAnsiTheme="minorHAnsi"/>
          <w:b/>
          <w:sz w:val="22"/>
        </w:rPr>
        <w:t xml:space="preserve"> o</w:t>
      </w:r>
      <w:r w:rsidR="007829DC">
        <w:rPr>
          <w:rFonts w:asciiTheme="minorHAnsi" w:hAnsiTheme="minorHAnsi"/>
          <w:b/>
          <w:sz w:val="22"/>
        </w:rPr>
        <w:t>środka miejskiego</w:t>
      </w:r>
      <w:r w:rsidR="004B5E76">
        <w:rPr>
          <w:rFonts w:asciiTheme="minorHAnsi" w:hAnsiTheme="minorHAnsi"/>
          <w:b/>
          <w:sz w:val="22"/>
        </w:rPr>
        <w:t xml:space="preserve"> </w:t>
      </w:r>
      <w:r w:rsidRPr="00E235FE">
        <w:rPr>
          <w:rFonts w:asciiTheme="minorHAnsi" w:hAnsiTheme="minorHAnsi"/>
          <w:b/>
          <w:sz w:val="22"/>
        </w:rPr>
        <w:t>regionu</w:t>
      </w:r>
      <w:r w:rsidR="004B5E76">
        <w:rPr>
          <w:rFonts w:asciiTheme="minorHAnsi" w:hAnsiTheme="minorHAnsi"/>
          <w:b/>
          <w:sz w:val="22"/>
        </w:rPr>
        <w:t xml:space="preserve">, będącego </w:t>
      </w:r>
      <w:r w:rsidRPr="00E235FE">
        <w:rPr>
          <w:rFonts w:asciiTheme="minorHAnsi" w:hAnsiTheme="minorHAnsi"/>
          <w:b/>
          <w:sz w:val="22"/>
        </w:rPr>
        <w:t>zapleczem usługowym i handlowym zagłębia miedziowego.</w:t>
      </w:r>
    </w:p>
    <w:p w:rsidR="009413A6" w:rsidRPr="00563EF2" w:rsidRDefault="009413A6" w:rsidP="009413A6">
      <w:pPr>
        <w:spacing w:after="160"/>
        <w:rPr>
          <w:rFonts w:asciiTheme="minorHAnsi" w:hAnsiTheme="minorHAnsi"/>
          <w:sz w:val="22"/>
        </w:rPr>
      </w:pPr>
    </w:p>
    <w:p w:rsidR="009413A6" w:rsidRPr="00563EF2" w:rsidRDefault="009413A6" w:rsidP="009413A6">
      <w:pPr>
        <w:spacing w:after="160"/>
        <w:rPr>
          <w:rFonts w:asciiTheme="minorHAnsi" w:hAnsiTheme="minorHAnsi"/>
          <w:sz w:val="22"/>
        </w:rPr>
      </w:pPr>
    </w:p>
    <w:p w:rsidR="009413A6" w:rsidRDefault="009413A6" w:rsidP="009413A6">
      <w:pPr>
        <w:spacing w:after="160"/>
        <w:rPr>
          <w:rFonts w:asciiTheme="minorHAnsi" w:hAnsiTheme="minorHAnsi"/>
          <w:sz w:val="22"/>
        </w:rPr>
      </w:pPr>
    </w:p>
    <w:p w:rsidR="0077629C" w:rsidRPr="00563EF2" w:rsidRDefault="0077629C" w:rsidP="009413A6">
      <w:pPr>
        <w:spacing w:after="160"/>
        <w:rPr>
          <w:rFonts w:asciiTheme="minorHAnsi" w:hAnsiTheme="minorHAnsi"/>
          <w:sz w:val="22"/>
        </w:rPr>
      </w:pPr>
    </w:p>
    <w:p w:rsidR="009413A6" w:rsidRPr="00563EF2" w:rsidRDefault="009413A6" w:rsidP="009413A6">
      <w:pPr>
        <w:spacing w:after="160"/>
        <w:rPr>
          <w:rFonts w:asciiTheme="minorHAnsi" w:hAnsiTheme="minorHAnsi"/>
          <w:sz w:val="22"/>
        </w:rPr>
      </w:pPr>
    </w:p>
    <w:p w:rsidR="009413A6" w:rsidRPr="00563EF2" w:rsidRDefault="009413A6" w:rsidP="009413A6">
      <w:pPr>
        <w:spacing w:after="160"/>
        <w:rPr>
          <w:rFonts w:asciiTheme="minorHAnsi" w:hAnsiTheme="minorHAnsi"/>
          <w:sz w:val="22"/>
        </w:rPr>
      </w:pPr>
    </w:p>
    <w:p w:rsidR="009413A6" w:rsidRPr="00563EF2" w:rsidRDefault="009413A6" w:rsidP="009413A6">
      <w:pPr>
        <w:spacing w:after="160"/>
        <w:rPr>
          <w:rFonts w:asciiTheme="minorHAnsi" w:hAnsiTheme="minorHAnsi"/>
          <w:sz w:val="22"/>
        </w:rPr>
      </w:pPr>
    </w:p>
    <w:p w:rsidR="009413A6" w:rsidRPr="00563EF2" w:rsidRDefault="009413A6" w:rsidP="009413A6">
      <w:pPr>
        <w:spacing w:after="160"/>
        <w:rPr>
          <w:rFonts w:asciiTheme="minorHAnsi" w:hAnsiTheme="minorHAnsi"/>
          <w:b/>
          <w:sz w:val="22"/>
        </w:rPr>
      </w:pPr>
      <w:r w:rsidRPr="00563EF2">
        <w:rPr>
          <w:rFonts w:asciiTheme="minorHAnsi" w:hAnsiTheme="minorHAnsi"/>
          <w:b/>
          <w:sz w:val="22"/>
        </w:rPr>
        <w:t>Ranking zbiorczy</w:t>
      </w:r>
    </w:p>
    <w:p w:rsidR="009413A6" w:rsidRPr="007F6382" w:rsidRDefault="009413A6" w:rsidP="009413A6">
      <w:pPr>
        <w:spacing w:after="160"/>
        <w:rPr>
          <w:rFonts w:asciiTheme="minorHAnsi" w:hAnsiTheme="minorHAnsi"/>
          <w:i/>
          <w:color w:val="1F3864" w:themeColor="accent5" w:themeShade="80"/>
          <w:sz w:val="20"/>
        </w:rPr>
      </w:pPr>
      <w:r w:rsidRPr="007F6382">
        <w:rPr>
          <w:rFonts w:asciiTheme="minorHAnsi" w:hAnsiTheme="minorHAnsi"/>
          <w:i/>
          <w:color w:val="1F3864" w:themeColor="accent5" w:themeShade="80"/>
          <w:sz w:val="20"/>
        </w:rPr>
        <w:t xml:space="preserve">Tabela </w:t>
      </w:r>
      <w:r w:rsidR="00017794" w:rsidRPr="007F6382">
        <w:rPr>
          <w:rFonts w:asciiTheme="minorHAnsi" w:hAnsiTheme="minorHAnsi"/>
          <w:i/>
          <w:color w:val="1F3864" w:themeColor="accent5" w:themeShade="80"/>
          <w:sz w:val="20"/>
        </w:rPr>
        <w:fldChar w:fldCharType="begin"/>
      </w:r>
      <w:r w:rsidRPr="007F6382">
        <w:rPr>
          <w:rFonts w:asciiTheme="minorHAnsi" w:hAnsiTheme="minorHAnsi"/>
          <w:i/>
          <w:color w:val="1F3864" w:themeColor="accent5" w:themeShade="80"/>
          <w:sz w:val="20"/>
        </w:rPr>
        <w:instrText xml:space="preserve"> SEQ Tabela \* ARABIC </w:instrText>
      </w:r>
      <w:r w:rsidR="00017794" w:rsidRPr="007F6382">
        <w:rPr>
          <w:rFonts w:asciiTheme="minorHAnsi" w:hAnsiTheme="minorHAnsi"/>
          <w:i/>
          <w:color w:val="1F3864" w:themeColor="accent5" w:themeShade="80"/>
          <w:sz w:val="20"/>
        </w:rPr>
        <w:fldChar w:fldCharType="separate"/>
      </w:r>
      <w:r w:rsidR="007B2916">
        <w:rPr>
          <w:rFonts w:asciiTheme="minorHAnsi" w:hAnsiTheme="minorHAnsi"/>
          <w:i/>
          <w:noProof/>
          <w:color w:val="1F3864" w:themeColor="accent5" w:themeShade="80"/>
          <w:sz w:val="20"/>
        </w:rPr>
        <w:t>6</w:t>
      </w:r>
      <w:r w:rsidR="00017794" w:rsidRPr="007F6382">
        <w:rPr>
          <w:rFonts w:asciiTheme="minorHAnsi" w:hAnsiTheme="minorHAnsi"/>
          <w:i/>
          <w:noProof/>
          <w:color w:val="1F3864" w:themeColor="accent5" w:themeShade="80"/>
          <w:sz w:val="20"/>
        </w:rPr>
        <w:fldChar w:fldCharType="end"/>
      </w:r>
      <w:r w:rsidRPr="007F6382">
        <w:rPr>
          <w:rFonts w:asciiTheme="minorHAnsi" w:hAnsiTheme="minorHAnsi"/>
          <w:i/>
          <w:color w:val="1F3864" w:themeColor="accent5" w:themeShade="80"/>
          <w:sz w:val="20"/>
        </w:rPr>
        <w:t>. Wskaźnik sumaryczny.</w:t>
      </w:r>
    </w:p>
    <w:tbl>
      <w:tblPr>
        <w:tblW w:w="77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317"/>
        <w:gridCol w:w="1242"/>
        <w:gridCol w:w="960"/>
        <w:gridCol w:w="1421"/>
        <w:gridCol w:w="1421"/>
        <w:gridCol w:w="1218"/>
      </w:tblGrid>
      <w:tr w:rsidR="009413A6" w:rsidRPr="00563EF2" w:rsidTr="00EC5484">
        <w:trPr>
          <w:trHeight w:val="255"/>
        </w:trPr>
        <w:tc>
          <w:tcPr>
            <w:tcW w:w="960"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Nr.</w:t>
            </w:r>
          </w:p>
        </w:tc>
        <w:tc>
          <w:tcPr>
            <w:tcW w:w="1231"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Miasto</w:t>
            </w:r>
          </w:p>
        </w:tc>
        <w:tc>
          <w:tcPr>
            <w:tcW w:w="1120"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Gospodarka</w:t>
            </w:r>
          </w:p>
        </w:tc>
        <w:tc>
          <w:tcPr>
            <w:tcW w:w="960"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Zasoby pracy</w:t>
            </w:r>
          </w:p>
        </w:tc>
        <w:tc>
          <w:tcPr>
            <w:tcW w:w="1209"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Infrastruktura techniczna</w:t>
            </w:r>
          </w:p>
        </w:tc>
        <w:tc>
          <w:tcPr>
            <w:tcW w:w="1209"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Infrastruktura społeczna</w:t>
            </w:r>
          </w:p>
        </w:tc>
        <w:tc>
          <w:tcPr>
            <w:tcW w:w="1097" w:type="dxa"/>
            <w:shd w:val="clear" w:color="auto" w:fill="8496B0" w:themeFill="text2" w:themeFillTint="99"/>
            <w:noWrap/>
            <w:vAlign w:val="bottom"/>
            <w:hideMark/>
          </w:tcPr>
          <w:p w:rsidR="009413A6" w:rsidRPr="00563EF2" w:rsidRDefault="009413A6" w:rsidP="00EC5484">
            <w:pPr>
              <w:rPr>
                <w:rFonts w:asciiTheme="minorHAnsi" w:eastAsia="Times New Roman" w:hAnsiTheme="minorHAnsi" w:cs="Arial"/>
                <w:b/>
                <w:lang w:eastAsia="pl-PL"/>
              </w:rPr>
            </w:pPr>
            <w:r w:rsidRPr="00563EF2">
              <w:rPr>
                <w:rFonts w:asciiTheme="minorHAnsi" w:eastAsia="Times New Roman" w:hAnsiTheme="minorHAnsi" w:cs="Arial"/>
                <w:b/>
                <w:sz w:val="22"/>
                <w:lang w:eastAsia="pl-PL"/>
              </w:rPr>
              <w:t>Wskaźnik sumaryczny</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Bielsko-Biała</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6,74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1,34</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2,69</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8,26</w:t>
            </w:r>
          </w:p>
        </w:tc>
        <w:tc>
          <w:tcPr>
            <w:tcW w:w="1097" w:type="dxa"/>
            <w:shd w:val="clear" w:color="000000" w:fill="63BE7B"/>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19,02</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Świdnica</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1,22</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-2,16</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9,16</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3,84</w:t>
            </w:r>
          </w:p>
        </w:tc>
        <w:tc>
          <w:tcPr>
            <w:tcW w:w="1097" w:type="dxa"/>
            <w:shd w:val="clear" w:color="000000" w:fill="97CD7E"/>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12,06</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Jelenia Góra</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3,55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-2,35</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-2,91</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10,36</w:t>
            </w:r>
          </w:p>
        </w:tc>
        <w:tc>
          <w:tcPr>
            <w:tcW w:w="1097" w:type="dxa"/>
            <w:shd w:val="clear" w:color="000000" w:fill="B0D580"/>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8,65</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Koszalin</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3,95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0,87</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-2,02</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2,75</w:t>
            </w:r>
          </w:p>
        </w:tc>
        <w:tc>
          <w:tcPr>
            <w:tcW w:w="1097" w:type="dxa"/>
            <w:shd w:val="clear" w:color="000000" w:fill="C7DB81"/>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5,55</w:t>
            </w:r>
          </w:p>
        </w:tc>
      </w:tr>
      <w:tr w:rsidR="009413A6" w:rsidRPr="00563EF2" w:rsidTr="00CD167A">
        <w:trPr>
          <w:trHeight w:val="255"/>
        </w:trPr>
        <w:tc>
          <w:tcPr>
            <w:tcW w:w="960" w:type="dxa"/>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lang w:eastAsia="pl-PL"/>
              </w:rPr>
            </w:pPr>
            <w:r w:rsidRPr="00563EF2">
              <w:rPr>
                <w:rFonts w:asciiTheme="minorHAnsi" w:eastAsia="Times New Roman" w:hAnsiTheme="minorHAnsi" w:cs="Arial"/>
                <w:b/>
                <w:bCs/>
                <w:sz w:val="22"/>
                <w:lang w:eastAsia="pl-PL"/>
              </w:rPr>
              <w:t>5</w:t>
            </w:r>
          </w:p>
        </w:tc>
        <w:tc>
          <w:tcPr>
            <w:tcW w:w="1231" w:type="dxa"/>
            <w:shd w:val="clear" w:color="auto" w:fill="2E74B5" w:themeFill="accent1" w:themeFillShade="BF"/>
            <w:noWrap/>
            <w:vAlign w:val="bottom"/>
            <w:hideMark/>
          </w:tcPr>
          <w:p w:rsidR="009413A6" w:rsidRPr="00563EF2" w:rsidRDefault="009413A6" w:rsidP="00EC5484">
            <w:pPr>
              <w:rPr>
                <w:rFonts w:asciiTheme="minorHAnsi" w:eastAsia="Times New Roman" w:hAnsiTheme="minorHAnsi" w:cs="Arial"/>
                <w:b/>
                <w:bCs/>
                <w:lang w:eastAsia="pl-PL"/>
              </w:rPr>
            </w:pPr>
            <w:r w:rsidRPr="00563EF2">
              <w:rPr>
                <w:rFonts w:asciiTheme="minorHAnsi" w:eastAsia="Times New Roman" w:hAnsiTheme="minorHAnsi" w:cs="Arial"/>
                <w:b/>
                <w:bCs/>
                <w:sz w:val="22"/>
                <w:lang w:eastAsia="pl-PL"/>
              </w:rPr>
              <w:t>Legnica</w:t>
            </w:r>
          </w:p>
        </w:tc>
        <w:tc>
          <w:tcPr>
            <w:tcW w:w="1120"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lang w:eastAsia="pl-PL"/>
              </w:rPr>
            </w:pPr>
            <w:r w:rsidRPr="00563EF2">
              <w:rPr>
                <w:rFonts w:asciiTheme="minorHAnsi" w:eastAsia="Times New Roman" w:hAnsiTheme="minorHAnsi" w:cs="Arial"/>
                <w:b/>
                <w:bCs/>
                <w:sz w:val="22"/>
                <w:lang w:eastAsia="pl-PL"/>
              </w:rPr>
              <w:t>0,31</w:t>
            </w:r>
          </w:p>
        </w:tc>
        <w:tc>
          <w:tcPr>
            <w:tcW w:w="960"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lang w:eastAsia="pl-PL"/>
              </w:rPr>
            </w:pPr>
            <w:r w:rsidRPr="00563EF2">
              <w:rPr>
                <w:rFonts w:asciiTheme="minorHAnsi" w:eastAsia="Times New Roman" w:hAnsiTheme="minorHAnsi" w:cs="Arial"/>
                <w:b/>
                <w:bCs/>
                <w:sz w:val="22"/>
                <w:lang w:eastAsia="pl-PL"/>
              </w:rPr>
              <w:t>2,25</w:t>
            </w:r>
          </w:p>
        </w:tc>
        <w:tc>
          <w:tcPr>
            <w:tcW w:w="1209" w:type="dxa"/>
            <w:shd w:val="clear" w:color="auto" w:fill="9CC2E5" w:themeFill="accent1" w:themeFillTint="99"/>
            <w:noWrap/>
            <w:vAlign w:val="bottom"/>
            <w:hideMark/>
          </w:tcPr>
          <w:p w:rsidR="009413A6" w:rsidRPr="00563EF2" w:rsidRDefault="00D303A5" w:rsidP="00EC5484">
            <w:pPr>
              <w:rPr>
                <w:rFonts w:asciiTheme="minorHAnsi" w:eastAsia="Times New Roman" w:hAnsiTheme="minorHAnsi" w:cs="Arial"/>
                <w:b/>
                <w:bCs/>
                <w:lang w:eastAsia="pl-PL"/>
              </w:rPr>
            </w:pPr>
            <w:r>
              <w:rPr>
                <w:rFonts w:asciiTheme="minorHAnsi" w:eastAsia="Times New Roman" w:hAnsiTheme="minorHAnsi" w:cs="Arial"/>
                <w:b/>
                <w:bCs/>
                <w:sz w:val="22"/>
                <w:lang w:eastAsia="pl-PL"/>
              </w:rPr>
              <w:t>1,25</w:t>
            </w:r>
          </w:p>
        </w:tc>
        <w:tc>
          <w:tcPr>
            <w:tcW w:w="1209" w:type="dxa"/>
            <w:shd w:val="clear" w:color="auto" w:fill="9CC2E5" w:themeFill="accent1" w:themeFillTint="99"/>
            <w:noWrap/>
            <w:vAlign w:val="bottom"/>
            <w:hideMark/>
          </w:tcPr>
          <w:p w:rsidR="009413A6" w:rsidRPr="00563EF2" w:rsidRDefault="009413A6" w:rsidP="00EC5484">
            <w:pPr>
              <w:rPr>
                <w:rFonts w:asciiTheme="minorHAnsi" w:eastAsia="Times New Roman" w:hAnsiTheme="minorHAnsi" w:cs="Arial"/>
                <w:b/>
                <w:bCs/>
                <w:lang w:eastAsia="pl-PL"/>
              </w:rPr>
            </w:pPr>
            <w:r w:rsidRPr="00563EF2">
              <w:rPr>
                <w:rFonts w:asciiTheme="minorHAnsi" w:eastAsia="Times New Roman" w:hAnsiTheme="minorHAnsi" w:cs="Arial"/>
                <w:b/>
                <w:bCs/>
                <w:sz w:val="22"/>
                <w:lang w:eastAsia="pl-PL"/>
              </w:rPr>
              <w:t>-0,29</w:t>
            </w:r>
          </w:p>
        </w:tc>
        <w:tc>
          <w:tcPr>
            <w:tcW w:w="1097" w:type="dxa"/>
            <w:shd w:val="clear" w:color="000000" w:fill="D5DF82"/>
            <w:noWrap/>
            <w:vAlign w:val="bottom"/>
            <w:hideMark/>
          </w:tcPr>
          <w:p w:rsidR="009413A6" w:rsidRPr="00563EF2" w:rsidRDefault="00D303A5" w:rsidP="00EC5484">
            <w:pPr>
              <w:rPr>
                <w:rFonts w:asciiTheme="minorHAnsi" w:eastAsia="Times New Roman" w:hAnsiTheme="minorHAnsi" w:cs="Arial"/>
                <w:b/>
                <w:bCs/>
                <w:lang w:eastAsia="pl-PL"/>
              </w:rPr>
            </w:pPr>
            <w:r>
              <w:rPr>
                <w:rFonts w:asciiTheme="minorHAnsi" w:eastAsia="Times New Roman" w:hAnsiTheme="minorHAnsi" w:cs="Arial"/>
                <w:b/>
                <w:bCs/>
                <w:sz w:val="22"/>
                <w:lang w:eastAsia="pl-PL"/>
              </w:rPr>
              <w:t>3,52</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Słupsk</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-0,92</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0,88</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4,04</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-1,58</w:t>
            </w:r>
          </w:p>
        </w:tc>
        <w:tc>
          <w:tcPr>
            <w:tcW w:w="1097" w:type="dxa"/>
            <w:shd w:val="clear" w:color="000000" w:fill="DEE283"/>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2,42</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7</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 xml:space="preserve">Częstochowa </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2,98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-1,43</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-3,11</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2,48</w:t>
            </w:r>
          </w:p>
        </w:tc>
        <w:tc>
          <w:tcPr>
            <w:tcW w:w="1097" w:type="dxa"/>
            <w:shd w:val="clear" w:color="000000" w:fill="E9E583"/>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0,92</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8</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Ostrów Wlkp.</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-2,42</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0,79</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5,13</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-2,67</w:t>
            </w:r>
          </w:p>
        </w:tc>
        <w:tc>
          <w:tcPr>
            <w:tcW w:w="1097" w:type="dxa"/>
            <w:shd w:val="clear" w:color="000000" w:fill="EAE583"/>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0,82</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9</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Lubin</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1,90</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0,28</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3,76</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-6,12</w:t>
            </w:r>
          </w:p>
        </w:tc>
        <w:tc>
          <w:tcPr>
            <w:tcW w:w="1097" w:type="dxa"/>
            <w:shd w:val="clear" w:color="000000" w:fill="F1E784"/>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-0,18</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10</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Tarnów</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-5,33</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-0,02</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3,71</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-0,46</w:t>
            </w:r>
          </w:p>
        </w:tc>
        <w:tc>
          <w:tcPr>
            <w:tcW w:w="1097" w:type="dxa"/>
            <w:shd w:val="clear" w:color="000000" w:fill="FFEB84"/>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-2,11</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11</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 xml:space="preserve">Kalisz </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-1,51</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-1,00</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-2,46</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1,00</w:t>
            </w:r>
          </w:p>
        </w:tc>
        <w:tc>
          <w:tcPr>
            <w:tcW w:w="1097" w:type="dxa"/>
            <w:shd w:val="clear" w:color="000000" w:fill="FEDC81"/>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-3,98</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12</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 xml:space="preserve">Elbląg </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-3,25</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0,35</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1,35</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-4,60</w:t>
            </w:r>
          </w:p>
        </w:tc>
        <w:tc>
          <w:tcPr>
            <w:tcW w:w="1097" w:type="dxa"/>
            <w:shd w:val="clear" w:color="000000" w:fill="FDCB7D"/>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-6,15</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13</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Wałbrzych</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-1,17</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-3,06</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-2,92</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0,35</w:t>
            </w:r>
          </w:p>
        </w:tc>
        <w:tc>
          <w:tcPr>
            <w:tcW w:w="1097" w:type="dxa"/>
            <w:shd w:val="clear" w:color="000000" w:fill="FDC67C"/>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-6,80</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14</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Głogów</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-0,19</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1,44</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-1,49</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-7,21</w:t>
            </w:r>
          </w:p>
        </w:tc>
        <w:tc>
          <w:tcPr>
            <w:tcW w:w="1097" w:type="dxa"/>
            <w:shd w:val="clear" w:color="000000" w:fill="FCC17C"/>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-7,45</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15</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Rybnik</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-0,80</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2,79</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-7,17</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-2,34</w:t>
            </w:r>
          </w:p>
        </w:tc>
        <w:tc>
          <w:tcPr>
            <w:tcW w:w="1097" w:type="dxa"/>
            <w:shd w:val="clear" w:color="000000" w:fill="FCC17B"/>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-7,51</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16</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Płock</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-1,28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0,99</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-4,95</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-3,00</w:t>
            </w:r>
          </w:p>
        </w:tc>
        <w:tc>
          <w:tcPr>
            <w:tcW w:w="1097" w:type="dxa"/>
            <w:shd w:val="clear" w:color="000000" w:fill="FCBB7A"/>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-8,23</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17</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Włocławek</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-3,39</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-2,84</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-4,41</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0,58</w:t>
            </w:r>
          </w:p>
        </w:tc>
        <w:tc>
          <w:tcPr>
            <w:tcW w:w="1097" w:type="dxa"/>
            <w:shd w:val="clear" w:color="000000" w:fill="FBAD78"/>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-10,06</w:t>
            </w:r>
          </w:p>
        </w:tc>
      </w:tr>
      <w:tr w:rsidR="009413A6" w:rsidRPr="00563EF2" w:rsidTr="00EC5484">
        <w:trPr>
          <w:trHeight w:val="255"/>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18</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Radom</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-3,34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-3,55</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-0,22</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-4,56</w:t>
            </w:r>
          </w:p>
        </w:tc>
        <w:tc>
          <w:tcPr>
            <w:tcW w:w="1097" w:type="dxa"/>
            <w:shd w:val="clear" w:color="000000" w:fill="FBA075"/>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-11,67</w:t>
            </w:r>
          </w:p>
        </w:tc>
      </w:tr>
      <w:tr w:rsidR="009413A6" w:rsidRPr="00563EF2" w:rsidTr="00EC5484">
        <w:trPr>
          <w:trHeight w:val="270"/>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19</w:t>
            </w: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Grudziądz</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-6,94</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-3,67</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-1,58</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-6,68</w:t>
            </w:r>
          </w:p>
        </w:tc>
        <w:tc>
          <w:tcPr>
            <w:tcW w:w="1097" w:type="dxa"/>
            <w:shd w:val="clear" w:color="000000" w:fill="F8696B"/>
            <w:noWrap/>
            <w:vAlign w:val="bottom"/>
            <w:hideMark/>
          </w:tcPr>
          <w:p w:rsidR="009413A6" w:rsidRPr="00563EF2" w:rsidRDefault="009413A6" w:rsidP="00EC5484">
            <w:pPr>
              <w:rPr>
                <w:rFonts w:asciiTheme="minorHAnsi" w:eastAsia="Times New Roman" w:hAnsiTheme="minorHAnsi" w:cs="Arial"/>
                <w:lang w:eastAsia="pl-PL"/>
              </w:rPr>
            </w:pPr>
            <w:r w:rsidRPr="00563EF2">
              <w:rPr>
                <w:rFonts w:asciiTheme="minorHAnsi" w:eastAsia="Times New Roman" w:hAnsiTheme="minorHAnsi" w:cs="Arial"/>
                <w:sz w:val="22"/>
                <w:lang w:eastAsia="pl-PL"/>
              </w:rPr>
              <w:t>-18,87</w:t>
            </w:r>
          </w:p>
        </w:tc>
      </w:tr>
      <w:tr w:rsidR="009413A6" w:rsidRPr="00563EF2" w:rsidTr="00EC5484">
        <w:trPr>
          <w:trHeight w:val="270"/>
        </w:trPr>
        <w:tc>
          <w:tcPr>
            <w:tcW w:w="960" w:type="dxa"/>
            <w:shd w:val="clear" w:color="auto" w:fill="auto"/>
            <w:noWrap/>
            <w:vAlign w:val="bottom"/>
            <w:hideMark/>
          </w:tcPr>
          <w:p w:rsidR="009413A6" w:rsidRPr="00563EF2" w:rsidRDefault="009413A6" w:rsidP="00EC5484">
            <w:pPr>
              <w:rPr>
                <w:rFonts w:asciiTheme="minorHAnsi" w:eastAsia="Times New Roman" w:hAnsiTheme="minorHAnsi" w:cs="Arial"/>
                <w:lang w:eastAsia="pl-PL"/>
              </w:rPr>
            </w:pPr>
          </w:p>
        </w:tc>
        <w:tc>
          <w:tcPr>
            <w:tcW w:w="1231"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Wrocław</w:t>
            </w:r>
          </w:p>
        </w:tc>
        <w:tc>
          <w:tcPr>
            <w:tcW w:w="1120"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9,88</w:t>
            </w:r>
          </w:p>
        </w:tc>
        <w:tc>
          <w:tcPr>
            <w:tcW w:w="960"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8,10</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2,03</w:t>
            </w:r>
          </w:p>
        </w:tc>
        <w:tc>
          <w:tcPr>
            <w:tcW w:w="1209"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8,00</w:t>
            </w:r>
          </w:p>
        </w:tc>
        <w:tc>
          <w:tcPr>
            <w:tcW w:w="1097" w:type="dxa"/>
            <w:shd w:val="clear" w:color="auto" w:fill="auto"/>
            <w:noWrap/>
            <w:vAlign w:val="bottom"/>
            <w:hideMark/>
          </w:tcPr>
          <w:p w:rsidR="009413A6" w:rsidRPr="00563EF2" w:rsidRDefault="009413A6" w:rsidP="00EC5484">
            <w:pPr>
              <w:rPr>
                <w:rFonts w:asciiTheme="minorHAnsi" w:eastAsia="Times New Roman" w:hAnsiTheme="minorHAnsi" w:cs="Arial"/>
                <w:b/>
                <w:color w:val="FF0000"/>
                <w:lang w:eastAsia="pl-PL"/>
              </w:rPr>
            </w:pPr>
            <w:r w:rsidRPr="00563EF2">
              <w:rPr>
                <w:rFonts w:asciiTheme="minorHAnsi" w:eastAsia="Times New Roman" w:hAnsiTheme="minorHAnsi" w:cs="Arial"/>
                <w:b/>
                <w:color w:val="FF0000"/>
                <w:sz w:val="22"/>
                <w:lang w:eastAsia="pl-PL"/>
              </w:rPr>
              <w:t>28,02</w:t>
            </w:r>
          </w:p>
        </w:tc>
      </w:tr>
    </w:tbl>
    <w:p w:rsidR="009413A6" w:rsidRPr="002E2D3F" w:rsidRDefault="009413A6" w:rsidP="009413A6">
      <w:pPr>
        <w:rPr>
          <w:rFonts w:asciiTheme="minorHAnsi" w:hAnsiTheme="minorHAnsi"/>
          <w:sz w:val="20"/>
        </w:rPr>
      </w:pPr>
      <w:r w:rsidRPr="002E2D3F">
        <w:rPr>
          <w:rFonts w:asciiTheme="minorHAnsi" w:hAnsiTheme="minorHAnsi"/>
          <w:sz w:val="20"/>
        </w:rPr>
        <w:t>Źródło: Opracowanie własne.</w:t>
      </w:r>
    </w:p>
    <w:p w:rsidR="009413A6" w:rsidRPr="00563EF2" w:rsidRDefault="009413A6" w:rsidP="009413A6">
      <w:pPr>
        <w:rPr>
          <w:rFonts w:asciiTheme="minorHAnsi" w:hAnsiTheme="minorHAnsi"/>
          <w:sz w:val="22"/>
        </w:rPr>
      </w:pPr>
    </w:p>
    <w:p w:rsidR="009413A6" w:rsidRPr="00563EF2" w:rsidRDefault="009413A6" w:rsidP="009413A6">
      <w:pPr>
        <w:rPr>
          <w:rFonts w:asciiTheme="minorHAnsi" w:hAnsiTheme="minorHAnsi"/>
          <w:sz w:val="22"/>
        </w:rPr>
      </w:pPr>
      <w:r w:rsidRPr="00563EF2">
        <w:rPr>
          <w:rFonts w:asciiTheme="minorHAnsi" w:hAnsiTheme="minorHAnsi"/>
          <w:sz w:val="22"/>
        </w:rPr>
        <w:t xml:space="preserve">Legnica, mimo średniego poziomu rankingowego w sferach infrastruktury społecznej, gospodarczej oraz infrastruktury technicznej, a także dzięki wysokiemu wskaźnikowi w sferze zasobów pracy uplasowała się na 5. miejscu w zbiorczym rankingu rozpatrywanych miast. Spośród miast-centralnych Regionalnych Obszarów Funkcjonalnych jedynie Bielsko-Biała i Koszalin uplasowały się wyżej. Także dwa dolnośląskie ośrodki miejskie okazały się lepsze w zestawieniu zbiorczym od Legnicy, były to Jelenia Góra oraz Świdnica.  </w:t>
      </w:r>
    </w:p>
    <w:p w:rsidR="009413A6" w:rsidRPr="00563EF2" w:rsidRDefault="009413A6" w:rsidP="009413A6">
      <w:pPr>
        <w:rPr>
          <w:rFonts w:asciiTheme="minorHAnsi" w:hAnsiTheme="minorHAnsi"/>
          <w:sz w:val="22"/>
        </w:rPr>
      </w:pPr>
    </w:p>
    <w:p w:rsidR="009413A6" w:rsidRPr="003C67A9" w:rsidRDefault="009413A6" w:rsidP="009413A6">
      <w:pPr>
        <w:rPr>
          <w:rFonts w:asciiTheme="minorHAnsi" w:hAnsiTheme="minorHAnsi"/>
          <w:b/>
          <w:sz w:val="22"/>
        </w:rPr>
      </w:pPr>
      <w:r w:rsidRPr="00563EF2">
        <w:rPr>
          <w:rFonts w:asciiTheme="minorHAnsi" w:hAnsiTheme="minorHAnsi"/>
          <w:sz w:val="22"/>
        </w:rPr>
        <w:t xml:space="preserve">Ranking zbiorczy, o czym wspomniano ma charakter poglądowy. Subiektywny dobór wskaźników oraz charakterystyka i specyfika rozpatrywanych miast miały wpływ na wyniki w poszczególnych sferach tematycznych. Ranking ten pozwala jednak dostrzec słabe i mocne strony miasta w odniesieniu do zasobów i potencjałów innych miast o podobnym znaczeniu regionalnym i strategicznym. </w:t>
      </w:r>
      <w:r w:rsidRPr="003C67A9">
        <w:rPr>
          <w:rFonts w:asciiTheme="minorHAnsi" w:hAnsiTheme="minorHAnsi"/>
          <w:b/>
          <w:sz w:val="22"/>
        </w:rPr>
        <w:t xml:space="preserve">Wysokie miejsce w rankingu Legnica zawdzięcza równomiernemu rozłożeniu potencjałów w każdej ze sfer.  Żadna ze sfer polityki miejskiej nie jest dominująca, brakuje także sfer o wyraźnych brakach rozwojowych co oznacza, że miasto rozwija się w sposób zrównoważony. </w:t>
      </w:r>
    </w:p>
    <w:p w:rsidR="009413A6" w:rsidRPr="003C67A9" w:rsidRDefault="009413A6" w:rsidP="009413A6">
      <w:pPr>
        <w:rPr>
          <w:rFonts w:asciiTheme="minorHAnsi" w:hAnsiTheme="minorHAnsi"/>
          <w:b/>
          <w:sz w:val="22"/>
        </w:rPr>
      </w:pPr>
    </w:p>
    <w:p w:rsidR="009413A6" w:rsidRPr="003C67A9" w:rsidRDefault="0042069E" w:rsidP="009413A6">
      <w:pPr>
        <w:rPr>
          <w:rFonts w:asciiTheme="minorHAnsi" w:hAnsiTheme="minorHAnsi"/>
          <w:b/>
          <w:sz w:val="22"/>
        </w:rPr>
      </w:pPr>
      <w:r w:rsidRPr="003C67A9">
        <w:rPr>
          <w:rFonts w:asciiTheme="minorHAnsi" w:hAnsiTheme="minorHAnsi"/>
          <w:b/>
          <w:sz w:val="22"/>
        </w:rPr>
        <w:t>Przeprowadzona a</w:t>
      </w:r>
      <w:r w:rsidR="009413A6" w:rsidRPr="003C67A9">
        <w:rPr>
          <w:rFonts w:asciiTheme="minorHAnsi" w:hAnsiTheme="minorHAnsi"/>
          <w:b/>
          <w:sz w:val="22"/>
        </w:rPr>
        <w:t>naliza pokazała również, że Legnica charakteryzuje się wysokim potencjałem kapitału ludzkiego na tle innych miast. Kapitał ludzki stanowi kluczowy element zrównoważonego rozwoju oraz podstawę gospodarki opartej na innowacjach. Polity</w:t>
      </w:r>
      <w:r w:rsidR="00625CC5" w:rsidRPr="003C67A9">
        <w:rPr>
          <w:rFonts w:asciiTheme="minorHAnsi" w:hAnsiTheme="minorHAnsi"/>
          <w:b/>
          <w:sz w:val="22"/>
        </w:rPr>
        <w:t>ka demograficzna i społeczna, a </w:t>
      </w:r>
      <w:r w:rsidR="009413A6" w:rsidRPr="003C67A9">
        <w:rPr>
          <w:rFonts w:asciiTheme="minorHAnsi" w:hAnsiTheme="minorHAnsi"/>
          <w:b/>
          <w:sz w:val="22"/>
        </w:rPr>
        <w:t>zwłaszcza problem starzenia się społeczeństwa i ujemnej migracji ludności stanowi kluczowe wyzwanie samorządów w całej Polsce w najbliższych dziesięciol</w:t>
      </w:r>
      <w:r w:rsidR="003C67A9">
        <w:rPr>
          <w:rFonts w:asciiTheme="minorHAnsi" w:hAnsiTheme="minorHAnsi"/>
          <w:b/>
          <w:sz w:val="22"/>
        </w:rPr>
        <w:t>eciach. Silna pozycja Legnicy w </w:t>
      </w:r>
      <w:r w:rsidR="009413A6" w:rsidRPr="003C67A9">
        <w:rPr>
          <w:rFonts w:asciiTheme="minorHAnsi" w:hAnsiTheme="minorHAnsi"/>
          <w:b/>
          <w:sz w:val="22"/>
        </w:rPr>
        <w:t>zakresie kapitału ludzkiego nie może być zaprzepaszczona, dlatego konieczne jest stworzenie podstaw dla jej rozwoju, poprzez działania niwelujące braki i słabości, a także wzmacniające posiadane przewagi, po to, aby Miasto Legnica stało się miejscem przyjaznym mieszkańcom</w:t>
      </w:r>
      <w:r w:rsidR="00A8787F" w:rsidRPr="003C67A9">
        <w:rPr>
          <w:rFonts w:asciiTheme="minorHAnsi" w:hAnsiTheme="minorHAnsi"/>
          <w:b/>
          <w:sz w:val="22"/>
        </w:rPr>
        <w:t>, umożliwiającym im społeczny i </w:t>
      </w:r>
      <w:r w:rsidR="009413A6" w:rsidRPr="003C67A9">
        <w:rPr>
          <w:rFonts w:asciiTheme="minorHAnsi" w:hAnsiTheme="minorHAnsi"/>
          <w:b/>
          <w:sz w:val="22"/>
        </w:rPr>
        <w:t xml:space="preserve">kulturowy rozwój. </w:t>
      </w:r>
    </w:p>
    <w:p w:rsidR="009413A6" w:rsidRPr="00563EF2" w:rsidRDefault="009413A6" w:rsidP="009413A6">
      <w:pPr>
        <w:rPr>
          <w:rFonts w:asciiTheme="minorHAnsi" w:hAnsiTheme="minorHAnsi"/>
          <w:sz w:val="22"/>
        </w:rPr>
      </w:pPr>
    </w:p>
    <w:p w:rsidR="005F6BC6" w:rsidRPr="00563EF2" w:rsidRDefault="005F6BC6">
      <w:pPr>
        <w:spacing w:after="160" w:line="259" w:lineRule="auto"/>
        <w:jc w:val="left"/>
        <w:rPr>
          <w:rFonts w:asciiTheme="minorHAnsi" w:eastAsiaTheme="majorEastAsia" w:hAnsiTheme="minorHAnsi" w:cstheme="majorBidi"/>
          <w:color w:val="2E74B5" w:themeColor="accent1" w:themeShade="BF"/>
          <w:sz w:val="32"/>
          <w:szCs w:val="32"/>
        </w:rPr>
      </w:pPr>
      <w:r w:rsidRPr="00563EF2">
        <w:rPr>
          <w:rFonts w:asciiTheme="minorHAnsi" w:hAnsiTheme="minorHAnsi"/>
        </w:rPr>
        <w:br w:type="page"/>
      </w:r>
    </w:p>
    <w:p w:rsidR="00511588" w:rsidRDefault="00511588" w:rsidP="0033475A">
      <w:pPr>
        <w:pStyle w:val="Nagwek1"/>
      </w:pPr>
      <w:bookmarkStart w:id="14" w:name="_Toc399756303"/>
    </w:p>
    <w:p w:rsidR="00EF3762" w:rsidRDefault="00EF3762" w:rsidP="0033475A">
      <w:pPr>
        <w:pStyle w:val="Nagwek1"/>
      </w:pPr>
      <w:r w:rsidRPr="00EB06A5">
        <w:t>Uwarunkowania wewnętrzne</w:t>
      </w:r>
      <w:r w:rsidR="008E1C17" w:rsidRPr="00EB06A5">
        <w:t xml:space="preserve"> – Diagnoza strategiczna</w:t>
      </w:r>
      <w:bookmarkEnd w:id="14"/>
    </w:p>
    <w:p w:rsidR="0033475A" w:rsidRPr="0033475A" w:rsidRDefault="0033475A" w:rsidP="0033475A"/>
    <w:p w:rsidR="005A2D65" w:rsidRPr="00EC5484" w:rsidRDefault="005A2D65" w:rsidP="00EC5484">
      <w:pPr>
        <w:pStyle w:val="Nagwek2"/>
      </w:pPr>
      <w:bookmarkStart w:id="15" w:name="_Toc399756304"/>
      <w:r w:rsidRPr="00EC5484">
        <w:t xml:space="preserve">Podstawowe informacje o </w:t>
      </w:r>
      <w:r w:rsidR="005F6BC6" w:rsidRPr="00EC5484">
        <w:t>Legnicy</w:t>
      </w:r>
      <w:bookmarkEnd w:id="15"/>
    </w:p>
    <w:p w:rsidR="005A2D65" w:rsidRPr="00563EF2" w:rsidRDefault="005A2D65" w:rsidP="00FD7676">
      <w:pPr>
        <w:rPr>
          <w:rFonts w:asciiTheme="minorHAnsi" w:hAnsiTheme="minorHAnsi"/>
          <w:sz w:val="22"/>
        </w:rPr>
      </w:pPr>
    </w:p>
    <w:p w:rsidR="005F6BC6" w:rsidRPr="005F6BC6" w:rsidRDefault="005A2D65" w:rsidP="005F6BC6">
      <w:pPr>
        <w:spacing w:after="160"/>
        <w:rPr>
          <w:rFonts w:asciiTheme="minorHAnsi" w:hAnsiTheme="minorHAnsi"/>
          <w:sz w:val="22"/>
        </w:rPr>
      </w:pPr>
      <w:r w:rsidRPr="00563EF2">
        <w:rPr>
          <w:rFonts w:asciiTheme="minorHAnsi" w:hAnsiTheme="minorHAnsi"/>
          <w:sz w:val="22"/>
        </w:rPr>
        <w:t xml:space="preserve">Miasto Legnica jest trzecim </w:t>
      </w:r>
      <w:r w:rsidR="00EA5574">
        <w:rPr>
          <w:rFonts w:asciiTheme="minorHAnsi" w:hAnsiTheme="minorHAnsi"/>
          <w:sz w:val="22"/>
        </w:rPr>
        <w:t>pod względem liczby mieszkańców</w:t>
      </w:r>
      <w:r w:rsidRPr="00563EF2">
        <w:rPr>
          <w:rFonts w:asciiTheme="minorHAnsi" w:hAnsiTheme="minorHAnsi"/>
          <w:sz w:val="22"/>
        </w:rPr>
        <w:t xml:space="preserve"> miastem województwa dolnośląskiego, po Wrocławiu i Wałbrzychu. Dawne miasto wojewódzkie, po reformie administracyjnej z 1997 r. stało się stolicą powiatu legnickiego oraz powiatem grodzkim. Długość granic administracyjnych Miasta wynosi około 46,1 km, natomiast jego powierzchnia 56,3 km</w:t>
      </w:r>
      <w:r w:rsidRPr="00563EF2">
        <w:rPr>
          <w:rFonts w:asciiTheme="minorHAnsi" w:hAnsiTheme="minorHAnsi" w:cs="Times New Roman"/>
          <w:sz w:val="22"/>
        </w:rPr>
        <w:t>²</w:t>
      </w:r>
      <w:r w:rsidRPr="00563EF2">
        <w:rPr>
          <w:rFonts w:asciiTheme="minorHAnsi" w:hAnsiTheme="minorHAnsi"/>
          <w:sz w:val="22"/>
        </w:rPr>
        <w:t>. Legnica położona jest na wysokości 109 – 181 m n.p.m. (najwyższy punkt stanowi hałda Huty Miedzi „Legnica”), przy czym 45% jej powierzchni leży na wysokości 120-130 m n.p.m. Gmina miejska Legnica graniczy z gminami powiatu legnickiego takimi jak: Gmina Miłkowice, Gmina Krotoszyce, Gmina Kunice i Gmina Legnickie Pole.</w:t>
      </w:r>
    </w:p>
    <w:p w:rsidR="005F6BC6" w:rsidRDefault="005F6BC6" w:rsidP="005F6BC6">
      <w:pPr>
        <w:autoSpaceDE w:val="0"/>
        <w:autoSpaceDN w:val="0"/>
        <w:adjustRightInd w:val="0"/>
        <w:spacing w:after="11"/>
        <w:rPr>
          <w:rFonts w:asciiTheme="minorHAnsi" w:hAnsiTheme="minorHAnsi" w:cs="Arial"/>
          <w:color w:val="000000"/>
          <w:sz w:val="22"/>
        </w:rPr>
      </w:pPr>
      <w:r w:rsidRPr="00563EF2">
        <w:rPr>
          <w:rFonts w:asciiTheme="minorHAnsi" w:hAnsiTheme="minorHAnsi" w:cs="Arial"/>
          <w:color w:val="000000"/>
          <w:sz w:val="22"/>
        </w:rPr>
        <w:t>W Legnicy mieści się s</w:t>
      </w:r>
      <w:r w:rsidRPr="005F6BC6">
        <w:rPr>
          <w:rFonts w:asciiTheme="minorHAnsi" w:hAnsiTheme="minorHAnsi" w:cs="Arial"/>
          <w:color w:val="000000"/>
          <w:sz w:val="22"/>
        </w:rPr>
        <w:t>zereg instytucji administracji publicznej, porządku i bezpieczeństwa publicznego,</w:t>
      </w:r>
      <w:r w:rsidRPr="00563EF2">
        <w:rPr>
          <w:rFonts w:asciiTheme="minorHAnsi" w:hAnsiTheme="minorHAnsi" w:cs="Arial"/>
          <w:color w:val="000000"/>
          <w:sz w:val="22"/>
        </w:rPr>
        <w:t xml:space="preserve"> oraz władz kościoła katolickiego</w:t>
      </w:r>
      <w:r w:rsidRPr="005F6BC6">
        <w:rPr>
          <w:rFonts w:asciiTheme="minorHAnsi" w:hAnsiTheme="minorHAnsi" w:cs="Arial"/>
          <w:color w:val="000000"/>
          <w:sz w:val="22"/>
        </w:rPr>
        <w:t xml:space="preserve"> </w:t>
      </w:r>
      <w:r w:rsidRPr="00563EF2">
        <w:rPr>
          <w:rFonts w:asciiTheme="minorHAnsi" w:hAnsiTheme="minorHAnsi" w:cs="Arial"/>
          <w:color w:val="000000"/>
          <w:sz w:val="22"/>
        </w:rPr>
        <w:t xml:space="preserve">m.in.: </w:t>
      </w:r>
      <w:r w:rsidRPr="005F6BC6">
        <w:rPr>
          <w:rFonts w:asciiTheme="minorHAnsi" w:hAnsiTheme="minorHAnsi" w:cs="Arial"/>
          <w:color w:val="000000"/>
          <w:sz w:val="22"/>
        </w:rPr>
        <w:t>Delegatura Dolnośląskiego Urzędu Wojewódzkiego</w:t>
      </w:r>
      <w:r w:rsidRPr="00563EF2">
        <w:rPr>
          <w:rFonts w:asciiTheme="minorHAnsi" w:hAnsiTheme="minorHAnsi" w:cs="Arial"/>
          <w:color w:val="000000"/>
          <w:sz w:val="22"/>
        </w:rPr>
        <w:t>,</w:t>
      </w:r>
      <w:r w:rsidRPr="005F6BC6">
        <w:rPr>
          <w:rFonts w:asciiTheme="minorHAnsi" w:hAnsiTheme="minorHAnsi" w:cs="Arial"/>
          <w:color w:val="000000"/>
          <w:sz w:val="22"/>
        </w:rPr>
        <w:t xml:space="preserve"> Ośrodek Zamiejscowy Izby Skarbowej we Wrocławiu</w:t>
      </w:r>
      <w:r w:rsidRPr="00563EF2">
        <w:rPr>
          <w:rFonts w:asciiTheme="minorHAnsi" w:hAnsiTheme="minorHAnsi" w:cs="Arial"/>
          <w:color w:val="000000"/>
          <w:sz w:val="22"/>
        </w:rPr>
        <w:t>, Zakład Ubezpieczeń Społecznych, Prokuratura Okręgowa,</w:t>
      </w:r>
      <w:r w:rsidRPr="005F6BC6">
        <w:rPr>
          <w:rFonts w:asciiTheme="minorHAnsi" w:hAnsiTheme="minorHAnsi" w:cs="Arial"/>
          <w:color w:val="000000"/>
          <w:sz w:val="22"/>
        </w:rPr>
        <w:t xml:space="preserve"> </w:t>
      </w:r>
      <w:r w:rsidRPr="00563EF2">
        <w:rPr>
          <w:rFonts w:asciiTheme="minorHAnsi" w:hAnsiTheme="minorHAnsi" w:cs="Arial"/>
          <w:color w:val="000000"/>
          <w:sz w:val="22"/>
        </w:rPr>
        <w:t>Prokuratura Rejonowa,</w:t>
      </w:r>
      <w:r w:rsidRPr="005F6BC6">
        <w:rPr>
          <w:rFonts w:asciiTheme="minorHAnsi" w:hAnsiTheme="minorHAnsi" w:cs="Arial"/>
          <w:color w:val="000000"/>
          <w:sz w:val="22"/>
        </w:rPr>
        <w:t xml:space="preserve"> </w:t>
      </w:r>
      <w:r w:rsidRPr="00563EF2">
        <w:rPr>
          <w:rFonts w:asciiTheme="minorHAnsi" w:hAnsiTheme="minorHAnsi" w:cs="Arial"/>
          <w:color w:val="000000"/>
          <w:sz w:val="22"/>
        </w:rPr>
        <w:t>Sąd Rejonowy, Sąd Okręgowy, Komenda Miejska Policji, Straż Miejska,</w:t>
      </w:r>
      <w:r w:rsidRPr="005F6BC6">
        <w:rPr>
          <w:rFonts w:asciiTheme="minorHAnsi" w:hAnsiTheme="minorHAnsi" w:cs="Arial"/>
          <w:color w:val="000000"/>
          <w:sz w:val="22"/>
        </w:rPr>
        <w:t xml:space="preserve"> Komenda Miejska Pa</w:t>
      </w:r>
      <w:r w:rsidRPr="00563EF2">
        <w:rPr>
          <w:rFonts w:asciiTheme="minorHAnsi" w:hAnsiTheme="minorHAnsi" w:cs="Arial"/>
          <w:color w:val="000000"/>
          <w:sz w:val="22"/>
        </w:rPr>
        <w:t>ństwowej Straży Pożarnej,</w:t>
      </w:r>
      <w:r w:rsidRPr="005F6BC6">
        <w:rPr>
          <w:rFonts w:asciiTheme="minorHAnsi" w:hAnsiTheme="minorHAnsi" w:cs="Arial"/>
          <w:color w:val="000000"/>
          <w:sz w:val="22"/>
        </w:rPr>
        <w:t xml:space="preserve"> Siedzi</w:t>
      </w:r>
      <w:r w:rsidRPr="00563EF2">
        <w:rPr>
          <w:rFonts w:asciiTheme="minorHAnsi" w:hAnsiTheme="minorHAnsi" w:cs="Arial"/>
          <w:color w:val="000000"/>
          <w:sz w:val="22"/>
        </w:rPr>
        <w:t>ba Ochotniczej</w:t>
      </w:r>
      <w:r w:rsidR="004B5E76">
        <w:rPr>
          <w:rFonts w:asciiTheme="minorHAnsi" w:hAnsiTheme="minorHAnsi" w:cs="Arial"/>
          <w:color w:val="000000"/>
          <w:sz w:val="22"/>
        </w:rPr>
        <w:t xml:space="preserve"> Straży Pożarnej, Urząd Celny, </w:t>
      </w:r>
      <w:r w:rsidRPr="005F6BC6">
        <w:rPr>
          <w:rFonts w:asciiTheme="minorHAnsi" w:hAnsiTheme="minorHAnsi" w:cs="Arial"/>
          <w:color w:val="000000"/>
          <w:sz w:val="22"/>
        </w:rPr>
        <w:t xml:space="preserve">Ośrodek Zamiejscowy Urzędu </w:t>
      </w:r>
      <w:r w:rsidRPr="00563EF2">
        <w:rPr>
          <w:rFonts w:asciiTheme="minorHAnsi" w:hAnsiTheme="minorHAnsi" w:cs="Arial"/>
          <w:color w:val="000000"/>
          <w:sz w:val="22"/>
        </w:rPr>
        <w:t>Kontroli Skarbowej we Wrocławiu,</w:t>
      </w:r>
      <w:r w:rsidRPr="005F6BC6">
        <w:rPr>
          <w:rFonts w:asciiTheme="minorHAnsi" w:hAnsiTheme="minorHAnsi" w:cs="Arial"/>
          <w:color w:val="000000"/>
          <w:sz w:val="22"/>
        </w:rPr>
        <w:t xml:space="preserve"> Starostwo Powiatowe</w:t>
      </w:r>
      <w:r w:rsidR="004B5E76">
        <w:rPr>
          <w:rFonts w:asciiTheme="minorHAnsi" w:hAnsiTheme="minorHAnsi" w:cs="Arial"/>
          <w:color w:val="000000"/>
          <w:sz w:val="22"/>
        </w:rPr>
        <w:t>, Powiatowy Urząd Pracy</w:t>
      </w:r>
      <w:r w:rsidRPr="00563EF2">
        <w:rPr>
          <w:rFonts w:asciiTheme="minorHAnsi" w:hAnsiTheme="minorHAnsi" w:cs="Arial"/>
          <w:color w:val="000000"/>
          <w:sz w:val="22"/>
        </w:rPr>
        <w:t xml:space="preserve">, </w:t>
      </w:r>
      <w:r w:rsidRPr="005F6BC6">
        <w:rPr>
          <w:rFonts w:asciiTheme="minorHAnsi" w:hAnsiTheme="minorHAnsi" w:cs="Arial"/>
          <w:color w:val="000000"/>
          <w:sz w:val="22"/>
        </w:rPr>
        <w:t>Miejski Ośrodek Pomocy Społecznej</w:t>
      </w:r>
      <w:r w:rsidRPr="00563EF2">
        <w:rPr>
          <w:rFonts w:asciiTheme="minorHAnsi" w:hAnsiTheme="minorHAnsi" w:cs="Arial"/>
          <w:color w:val="000000"/>
          <w:sz w:val="22"/>
        </w:rPr>
        <w:t xml:space="preserve">, </w:t>
      </w:r>
      <w:r w:rsidRPr="005F6BC6">
        <w:rPr>
          <w:rFonts w:asciiTheme="minorHAnsi" w:hAnsiTheme="minorHAnsi" w:cs="Arial"/>
          <w:color w:val="000000"/>
          <w:sz w:val="22"/>
        </w:rPr>
        <w:t>Powiatowa Stacja Sanitarno – Epidemiologiczna</w:t>
      </w:r>
      <w:r w:rsidRPr="00563EF2">
        <w:rPr>
          <w:rFonts w:asciiTheme="minorHAnsi" w:hAnsiTheme="minorHAnsi" w:cs="Arial"/>
          <w:color w:val="000000"/>
          <w:sz w:val="22"/>
        </w:rPr>
        <w:t>,</w:t>
      </w:r>
      <w:r w:rsidRPr="005F6BC6">
        <w:rPr>
          <w:rFonts w:asciiTheme="minorHAnsi" w:hAnsiTheme="minorHAnsi" w:cs="Arial"/>
          <w:color w:val="000000"/>
          <w:sz w:val="22"/>
        </w:rPr>
        <w:t xml:space="preserve"> Powiatowe </w:t>
      </w:r>
      <w:r w:rsidRPr="00563EF2">
        <w:rPr>
          <w:rFonts w:asciiTheme="minorHAnsi" w:hAnsiTheme="minorHAnsi" w:cs="Arial"/>
          <w:color w:val="000000"/>
          <w:sz w:val="22"/>
        </w:rPr>
        <w:t>C</w:t>
      </w:r>
      <w:r w:rsidR="003C67A9">
        <w:rPr>
          <w:rFonts w:asciiTheme="minorHAnsi" w:hAnsiTheme="minorHAnsi" w:cs="Arial"/>
          <w:color w:val="000000"/>
          <w:sz w:val="22"/>
        </w:rPr>
        <w:t xml:space="preserve">entrum Zarządzania Kryzysowego </w:t>
      </w:r>
      <w:r w:rsidR="008D2BC4">
        <w:rPr>
          <w:rFonts w:asciiTheme="minorHAnsi" w:hAnsiTheme="minorHAnsi" w:cs="Arial"/>
          <w:color w:val="000000"/>
          <w:sz w:val="22"/>
        </w:rPr>
        <w:t>oraz siedziba D</w:t>
      </w:r>
      <w:r w:rsidRPr="00563EF2">
        <w:rPr>
          <w:rFonts w:asciiTheme="minorHAnsi" w:hAnsiTheme="minorHAnsi" w:cs="Arial"/>
          <w:color w:val="000000"/>
          <w:sz w:val="22"/>
        </w:rPr>
        <w:t>iecezji Legnickiej.</w:t>
      </w:r>
    </w:p>
    <w:p w:rsidR="00EF729B" w:rsidRDefault="00EF729B" w:rsidP="005F6BC6">
      <w:pPr>
        <w:autoSpaceDE w:val="0"/>
        <w:autoSpaceDN w:val="0"/>
        <w:adjustRightInd w:val="0"/>
        <w:spacing w:after="11"/>
        <w:rPr>
          <w:rFonts w:asciiTheme="minorHAnsi" w:hAnsiTheme="minorHAnsi" w:cs="Arial"/>
          <w:color w:val="000000"/>
          <w:sz w:val="22"/>
        </w:rPr>
      </w:pPr>
    </w:p>
    <w:p w:rsidR="00EF729B" w:rsidRDefault="00EF729B" w:rsidP="005F6BC6">
      <w:pPr>
        <w:autoSpaceDE w:val="0"/>
        <w:autoSpaceDN w:val="0"/>
        <w:adjustRightInd w:val="0"/>
        <w:spacing w:after="11"/>
        <w:rPr>
          <w:rFonts w:asciiTheme="minorHAnsi" w:hAnsiTheme="minorHAnsi" w:cs="Arial"/>
          <w:color w:val="000000"/>
          <w:sz w:val="22"/>
        </w:rPr>
      </w:pPr>
      <w:r w:rsidRPr="00EF729B">
        <w:rPr>
          <w:rFonts w:asciiTheme="minorHAnsi" w:hAnsiTheme="minorHAnsi" w:cs="Arial"/>
          <w:color w:val="000000"/>
          <w:sz w:val="22"/>
        </w:rPr>
        <w:t>Legnica związana jest umowami partnerskimi z Wuppertalem w Niemczech, Drohobyczem na Ukrainie, Blanskiem w Czechach i Roanne we Francji. Angażuje się także</w:t>
      </w:r>
      <w:r w:rsidR="00BC5391">
        <w:rPr>
          <w:rFonts w:asciiTheme="minorHAnsi" w:hAnsiTheme="minorHAnsi" w:cs="Arial"/>
          <w:color w:val="000000"/>
          <w:sz w:val="22"/>
        </w:rPr>
        <w:t xml:space="preserve"> we współpracę Dolnego Śląska z </w:t>
      </w:r>
      <w:r w:rsidRPr="00EF729B">
        <w:rPr>
          <w:rFonts w:asciiTheme="minorHAnsi" w:hAnsiTheme="minorHAnsi" w:cs="Arial"/>
          <w:color w:val="000000"/>
          <w:sz w:val="22"/>
        </w:rPr>
        <w:t>Saksonią, Alzacją oraz regionem Dniepropietrowskim i Kirowogradzkim na Ukrainie.</w:t>
      </w:r>
      <w:r>
        <w:rPr>
          <w:rStyle w:val="Odwoanieprzypisudolnego"/>
          <w:rFonts w:asciiTheme="minorHAnsi" w:hAnsiTheme="minorHAnsi" w:cs="Arial"/>
          <w:color w:val="000000"/>
          <w:sz w:val="22"/>
        </w:rPr>
        <w:footnoteReference w:id="4"/>
      </w:r>
    </w:p>
    <w:p w:rsidR="00EA6DD4" w:rsidRDefault="00EA6DD4" w:rsidP="005F6BC6">
      <w:pPr>
        <w:autoSpaceDE w:val="0"/>
        <w:autoSpaceDN w:val="0"/>
        <w:adjustRightInd w:val="0"/>
        <w:spacing w:after="11"/>
        <w:rPr>
          <w:rFonts w:asciiTheme="minorHAnsi" w:hAnsiTheme="minorHAnsi" w:cs="Arial"/>
          <w:color w:val="000000"/>
          <w:sz w:val="22"/>
        </w:rPr>
      </w:pPr>
    </w:p>
    <w:p w:rsidR="00EA6DD4" w:rsidRDefault="00EA6DD4" w:rsidP="00EA6DD4">
      <w:pPr>
        <w:pStyle w:val="Nagwek2"/>
      </w:pPr>
      <w:bookmarkStart w:id="16" w:name="_Toc399756305"/>
      <w:r>
        <w:t>Zarys historii Miasta</w:t>
      </w:r>
      <w:bookmarkEnd w:id="16"/>
    </w:p>
    <w:p w:rsidR="00EA6DD4" w:rsidRDefault="00EA6DD4" w:rsidP="00EA6DD4"/>
    <w:p w:rsidR="00EA6DD4" w:rsidRPr="000959F0" w:rsidRDefault="00EA6DD4" w:rsidP="00EA6DD4">
      <w:pPr>
        <w:pStyle w:val="Default"/>
        <w:spacing w:line="276" w:lineRule="auto"/>
        <w:jc w:val="both"/>
        <w:rPr>
          <w:rFonts w:asciiTheme="minorHAnsi" w:hAnsiTheme="minorHAnsi" w:cs="Arial"/>
          <w:sz w:val="22"/>
          <w:szCs w:val="22"/>
        </w:rPr>
      </w:pPr>
      <w:r w:rsidRPr="000959F0">
        <w:rPr>
          <w:rFonts w:asciiTheme="minorHAnsi" w:hAnsiTheme="minorHAnsi" w:cs="Arial"/>
          <w:sz w:val="22"/>
          <w:szCs w:val="22"/>
        </w:rPr>
        <w:t xml:space="preserve">Nizinne tereny w dolinie Kaczawy, Czarnej Wody i Wierzbiaka stanowiły od pradziejów dogodny rejon dla rozwoju osadnictwa. </w:t>
      </w:r>
      <w:r w:rsidRPr="000959F0">
        <w:rPr>
          <w:rFonts w:asciiTheme="minorHAnsi" w:hAnsiTheme="minorHAnsi"/>
          <w:sz w:val="22"/>
          <w:szCs w:val="22"/>
        </w:rPr>
        <w:t>W czasach rzymskich istniała prawdopodobnie na terenie obecnego miasta Legnicy miejscowość zwana Lugidium</w:t>
      </w:r>
      <w:r>
        <w:rPr>
          <w:rFonts w:asciiTheme="minorHAnsi" w:hAnsiTheme="minorHAnsi"/>
          <w:sz w:val="22"/>
          <w:szCs w:val="22"/>
        </w:rPr>
        <w:t>,</w:t>
      </w:r>
      <w:r w:rsidRPr="000959F0">
        <w:rPr>
          <w:rFonts w:asciiTheme="minorHAnsi" w:hAnsiTheme="minorHAnsi"/>
          <w:sz w:val="22"/>
          <w:szCs w:val="22"/>
        </w:rPr>
        <w:t xml:space="preserve"> według części analiz stolica plemienia Lugiów. </w:t>
      </w:r>
      <w:r w:rsidRPr="000959F0">
        <w:rPr>
          <w:rFonts w:asciiTheme="minorHAnsi" w:hAnsiTheme="minorHAnsi" w:cs="Arial"/>
          <w:sz w:val="22"/>
          <w:szCs w:val="22"/>
        </w:rPr>
        <w:t xml:space="preserve">Wczesnymi śladami osadnictwa w obrębie obecnego miasta są cmentarzyska łużyckie, odkryte już w XVIII wieku, natomiast istnienie osady nad Kaczawą w okresie późnego antyku potwierdzają znaleziska z okresu lateńskiego. </w:t>
      </w:r>
    </w:p>
    <w:p w:rsidR="00EA6DD4" w:rsidRPr="000959F0" w:rsidRDefault="00EA6DD4" w:rsidP="00EA6DD4">
      <w:pPr>
        <w:pStyle w:val="Default"/>
        <w:spacing w:line="276" w:lineRule="auto"/>
        <w:jc w:val="both"/>
        <w:rPr>
          <w:rFonts w:asciiTheme="minorHAnsi" w:hAnsiTheme="minorHAnsi" w:cs="Arial"/>
          <w:sz w:val="22"/>
          <w:szCs w:val="22"/>
        </w:rPr>
      </w:pPr>
    </w:p>
    <w:p w:rsidR="00EA6DD4" w:rsidRDefault="00EA6DD4" w:rsidP="00EA6DD4">
      <w:pPr>
        <w:rPr>
          <w:rFonts w:asciiTheme="minorHAnsi" w:eastAsia="Times New Roman" w:hAnsiTheme="minorHAnsi" w:cs="Times New Roman"/>
          <w:sz w:val="22"/>
          <w:lang w:eastAsia="pl-PL"/>
        </w:rPr>
      </w:pPr>
      <w:r w:rsidRPr="000959F0">
        <w:rPr>
          <w:rFonts w:asciiTheme="minorHAnsi" w:hAnsiTheme="minorHAnsi" w:cs="Arial"/>
          <w:color w:val="000000"/>
          <w:sz w:val="22"/>
        </w:rPr>
        <w:t>Przedlokacyjna Legnica była targiem - miastem według prawa polskiego.</w:t>
      </w:r>
      <w:r w:rsidRPr="000959F0">
        <w:rPr>
          <w:rFonts w:asciiTheme="minorHAnsi" w:eastAsia="Times New Roman" w:hAnsiTheme="minorHAnsi" w:cs="Times New Roman"/>
          <w:sz w:val="22"/>
          <w:lang w:eastAsia="pl-PL"/>
        </w:rPr>
        <w:t xml:space="preserve"> </w:t>
      </w:r>
      <w:r>
        <w:rPr>
          <w:rFonts w:asciiTheme="minorHAnsi" w:hAnsiTheme="minorHAnsi"/>
          <w:sz w:val="22"/>
        </w:rPr>
        <w:t>Źródła z</w:t>
      </w:r>
      <w:r w:rsidRPr="000959F0">
        <w:rPr>
          <w:rFonts w:asciiTheme="minorHAnsi" w:hAnsiTheme="minorHAnsi"/>
          <w:sz w:val="22"/>
        </w:rPr>
        <w:t xml:space="preserve"> 1149 roku potwierdzają istnienie grodu należącego do kaplicy św. Benedykta</w:t>
      </w:r>
      <w:r w:rsidR="004E6137">
        <w:rPr>
          <w:rFonts w:asciiTheme="minorHAnsi" w:hAnsiTheme="minorHAnsi"/>
          <w:sz w:val="22"/>
        </w:rPr>
        <w:t xml:space="preserve"> klasztoru Premonstratensów św. </w:t>
      </w:r>
      <w:r w:rsidRPr="000959F0">
        <w:rPr>
          <w:rFonts w:asciiTheme="minorHAnsi" w:hAnsiTheme="minorHAnsi"/>
          <w:sz w:val="22"/>
        </w:rPr>
        <w:t xml:space="preserve">Wincentego we Wrocławiu. </w:t>
      </w:r>
      <w:r w:rsidRPr="000959F0">
        <w:rPr>
          <w:rFonts w:asciiTheme="minorHAnsi" w:hAnsiTheme="minorHAnsi" w:cs="Arial"/>
          <w:color w:val="000000"/>
          <w:sz w:val="22"/>
        </w:rPr>
        <w:t>W dokumencie</w:t>
      </w:r>
      <w:r w:rsidRPr="00784FC2">
        <w:rPr>
          <w:rFonts w:asciiTheme="minorHAnsi" w:eastAsia="Times New Roman" w:hAnsiTheme="minorHAnsi" w:cs="Times New Roman"/>
          <w:sz w:val="22"/>
          <w:lang w:eastAsia="pl-PL"/>
        </w:rPr>
        <w:t xml:space="preserve"> pisanym</w:t>
      </w:r>
      <w:r>
        <w:rPr>
          <w:rFonts w:asciiTheme="minorHAnsi" w:eastAsia="Times New Roman" w:hAnsiTheme="minorHAnsi" w:cs="Times New Roman"/>
          <w:sz w:val="22"/>
          <w:lang w:eastAsia="pl-PL"/>
        </w:rPr>
        <w:t xml:space="preserve"> przez Bolesława Kędzierzawego</w:t>
      </w:r>
      <w:r w:rsidRPr="00784FC2">
        <w:rPr>
          <w:rFonts w:asciiTheme="minorHAnsi" w:eastAsia="Times New Roman" w:hAnsiTheme="minorHAnsi" w:cs="Times New Roman"/>
          <w:sz w:val="22"/>
          <w:lang w:eastAsia="pl-PL"/>
        </w:rPr>
        <w:t xml:space="preserve"> zwierzchniego księcia Polski</w:t>
      </w:r>
      <w:r w:rsidRPr="000959F0">
        <w:rPr>
          <w:rFonts w:asciiTheme="minorHAnsi" w:hAnsiTheme="minorHAnsi" w:cs="Arial"/>
          <w:color w:val="000000"/>
          <w:sz w:val="22"/>
        </w:rPr>
        <w:t xml:space="preserve"> z 1175 roku po raz pierwszy gród wraz z osadą został określony jako potestas Legnicensis.</w:t>
      </w:r>
      <w:r w:rsidRPr="00784FC2">
        <w:rPr>
          <w:rFonts w:asciiTheme="minorHAnsi" w:eastAsia="Times New Roman" w:hAnsiTheme="minorHAnsi" w:cs="Times New Roman"/>
          <w:sz w:val="22"/>
          <w:lang w:eastAsia="pl-PL"/>
        </w:rPr>
        <w:t xml:space="preserve"> U podnóża piastowskiego zamku dzięki nadanym prawom magdeburskim</w:t>
      </w:r>
      <w:r w:rsidRPr="000959F0">
        <w:rPr>
          <w:rFonts w:asciiTheme="minorHAnsi" w:eastAsia="Times New Roman" w:hAnsiTheme="minorHAnsi" w:cs="Times New Roman"/>
          <w:sz w:val="22"/>
          <w:lang w:eastAsia="pl-PL"/>
        </w:rPr>
        <w:t xml:space="preserve"> (około 1232 r.)</w:t>
      </w:r>
      <w:r w:rsidRPr="00784FC2">
        <w:rPr>
          <w:rFonts w:asciiTheme="minorHAnsi" w:eastAsia="Times New Roman" w:hAnsiTheme="minorHAnsi" w:cs="Times New Roman"/>
          <w:sz w:val="22"/>
          <w:lang w:eastAsia="pl-PL"/>
        </w:rPr>
        <w:t xml:space="preserve"> prężnie zaczęło</w:t>
      </w:r>
      <w:r>
        <w:rPr>
          <w:rFonts w:asciiTheme="minorHAnsi" w:eastAsia="Times New Roman" w:hAnsiTheme="minorHAnsi" w:cs="Times New Roman"/>
          <w:sz w:val="22"/>
          <w:lang w:eastAsia="pl-PL"/>
        </w:rPr>
        <w:t xml:space="preserve"> się rozwijać </w:t>
      </w:r>
      <w:r w:rsidRPr="00784FC2">
        <w:rPr>
          <w:rFonts w:asciiTheme="minorHAnsi" w:eastAsia="Times New Roman" w:hAnsiTheme="minorHAnsi" w:cs="Times New Roman"/>
          <w:sz w:val="22"/>
          <w:lang w:eastAsia="pl-PL"/>
        </w:rPr>
        <w:t>miasto. Tutaj bowiem krzyżowały się ważne szlaki handlowe średniowiecznej Europy - z Niemiec, poprzez Wrocław i Kraków do Kijowa oraz z Wielkopolski na Południe. Takie usytuowanie sprzyjało osadnictwu oraz rozwojowi handlu i rzemiosła.</w:t>
      </w:r>
    </w:p>
    <w:p w:rsidR="00EA6DD4" w:rsidRPr="00784FC2" w:rsidRDefault="00EA6DD4" w:rsidP="00EA6DD4">
      <w:pPr>
        <w:rPr>
          <w:rFonts w:asciiTheme="minorHAnsi" w:eastAsia="Times New Roman" w:hAnsiTheme="minorHAnsi" w:cs="Times New Roman"/>
          <w:sz w:val="22"/>
          <w:lang w:eastAsia="pl-PL"/>
        </w:rPr>
      </w:pPr>
    </w:p>
    <w:p w:rsidR="00EA6DD4" w:rsidRDefault="00EA6DD4" w:rsidP="00EA6DD4">
      <w:pPr>
        <w:rPr>
          <w:rFonts w:asciiTheme="minorHAnsi" w:eastAsia="Times New Roman" w:hAnsiTheme="minorHAnsi" w:cs="Times New Roman"/>
          <w:sz w:val="22"/>
          <w:lang w:eastAsia="pl-PL"/>
        </w:rPr>
      </w:pPr>
      <w:r w:rsidRPr="00784FC2">
        <w:rPr>
          <w:rFonts w:asciiTheme="minorHAnsi" w:eastAsia="Times New Roman" w:hAnsiTheme="minorHAnsi" w:cs="Times New Roman"/>
          <w:sz w:val="22"/>
          <w:lang w:eastAsia="pl-PL"/>
        </w:rPr>
        <w:t>W 1241 roku pod Legnicą rozegrała się słynna bitwa z Mongołami, która zdaniem historyków - mimo porażki wojsk chrześcijańskich pod wodzą księcia legnickiego Henryka Pobożnego - uratowała Europę i kulturę zachodnią przed ekspansją islamu. Legnica była w tym czasie drugim, po Wrocławiu, największym miastem śląskim. W 1329 roku liczył</w:t>
      </w:r>
      <w:r w:rsidR="004E6137">
        <w:rPr>
          <w:rFonts w:asciiTheme="minorHAnsi" w:eastAsia="Times New Roman" w:hAnsiTheme="minorHAnsi" w:cs="Times New Roman"/>
          <w:sz w:val="22"/>
          <w:lang w:eastAsia="pl-PL"/>
        </w:rPr>
        <w:t>a już ponad 10 tys. m</w:t>
      </w:r>
      <w:r w:rsidRPr="000959F0">
        <w:rPr>
          <w:rFonts w:asciiTheme="minorHAnsi" w:eastAsia="Times New Roman" w:hAnsiTheme="minorHAnsi" w:cs="Times New Roman"/>
          <w:sz w:val="22"/>
          <w:lang w:eastAsia="pl-PL"/>
        </w:rPr>
        <w:t xml:space="preserve">ieszkańców. </w:t>
      </w:r>
    </w:p>
    <w:p w:rsidR="00EA6DD4" w:rsidRPr="000959F0" w:rsidRDefault="00EA6DD4" w:rsidP="00EA6DD4">
      <w:pPr>
        <w:rPr>
          <w:rFonts w:asciiTheme="minorHAnsi" w:eastAsia="Times New Roman" w:hAnsiTheme="minorHAnsi" w:cs="Times New Roman"/>
          <w:sz w:val="22"/>
          <w:lang w:eastAsia="pl-PL"/>
        </w:rPr>
      </w:pPr>
    </w:p>
    <w:p w:rsidR="00EA6DD4" w:rsidRPr="000959F0" w:rsidRDefault="00EA6DD4" w:rsidP="00EA6DD4">
      <w:pPr>
        <w:pStyle w:val="Default"/>
        <w:spacing w:line="276" w:lineRule="auto"/>
        <w:jc w:val="both"/>
        <w:rPr>
          <w:rFonts w:asciiTheme="minorHAnsi" w:hAnsiTheme="minorHAnsi" w:cs="Arial"/>
          <w:sz w:val="22"/>
          <w:szCs w:val="22"/>
        </w:rPr>
      </w:pPr>
      <w:r w:rsidRPr="000959F0">
        <w:rPr>
          <w:rFonts w:asciiTheme="minorHAnsi" w:hAnsiTheme="minorHAnsi" w:cs="Arial"/>
          <w:sz w:val="22"/>
          <w:szCs w:val="22"/>
        </w:rPr>
        <w:t xml:space="preserve">W 1338 </w:t>
      </w:r>
      <w:r>
        <w:rPr>
          <w:rFonts w:asciiTheme="minorHAnsi" w:hAnsiTheme="minorHAnsi" w:cs="Arial"/>
          <w:sz w:val="22"/>
          <w:szCs w:val="22"/>
        </w:rPr>
        <w:t>r. ogromny pożar strawił miasto</w:t>
      </w:r>
      <w:r w:rsidRPr="000959F0">
        <w:rPr>
          <w:rFonts w:asciiTheme="minorHAnsi" w:hAnsiTheme="minorHAnsi" w:cs="Arial"/>
          <w:sz w:val="22"/>
          <w:szCs w:val="22"/>
        </w:rPr>
        <w:t xml:space="preserve">, na skutek czego zmieniono linie obwarowań powiększając obszar </w:t>
      </w:r>
      <w:r w:rsidR="004E6137">
        <w:rPr>
          <w:rFonts w:asciiTheme="minorHAnsi" w:hAnsiTheme="minorHAnsi" w:cs="Arial"/>
          <w:sz w:val="22"/>
          <w:szCs w:val="22"/>
        </w:rPr>
        <w:t xml:space="preserve">miasta oraz przebudowano część </w:t>
      </w:r>
      <w:r>
        <w:rPr>
          <w:rFonts w:asciiTheme="minorHAnsi" w:hAnsiTheme="minorHAnsi" w:cs="Arial"/>
          <w:sz w:val="22"/>
          <w:szCs w:val="22"/>
        </w:rPr>
        <w:t>obiektów</w:t>
      </w:r>
      <w:r w:rsidRPr="000959F0">
        <w:rPr>
          <w:rFonts w:asciiTheme="minorHAnsi" w:hAnsiTheme="minorHAnsi" w:cs="Arial"/>
          <w:sz w:val="22"/>
          <w:szCs w:val="22"/>
        </w:rPr>
        <w:t>, np. niektóre kościoły drewniane zostały zastąpi</w:t>
      </w:r>
      <w:r>
        <w:rPr>
          <w:rFonts w:asciiTheme="minorHAnsi" w:hAnsiTheme="minorHAnsi" w:cs="Arial"/>
          <w:sz w:val="22"/>
          <w:szCs w:val="22"/>
        </w:rPr>
        <w:t>one kościołami o kamiennej konstrukcji</w:t>
      </w:r>
      <w:r w:rsidRPr="000959F0">
        <w:rPr>
          <w:rFonts w:asciiTheme="minorHAnsi" w:hAnsiTheme="minorHAnsi" w:cs="Arial"/>
          <w:sz w:val="22"/>
          <w:szCs w:val="22"/>
        </w:rPr>
        <w:t xml:space="preserve">. </w:t>
      </w:r>
      <w:r w:rsidRPr="00784FC2">
        <w:rPr>
          <w:rFonts w:asciiTheme="minorHAnsi" w:hAnsiTheme="minorHAnsi" w:cs="Arial"/>
          <w:sz w:val="22"/>
          <w:szCs w:val="22"/>
        </w:rPr>
        <w:t xml:space="preserve">Do 1675 roku, do śmierci księcia Jerzego Wilhelma, miasto było siedzibą potomków królewskiej dynastii Piastów. </w:t>
      </w:r>
    </w:p>
    <w:p w:rsidR="00EA6DD4" w:rsidRDefault="00EA6DD4" w:rsidP="00EA6DD4">
      <w:pPr>
        <w:pStyle w:val="Default"/>
        <w:spacing w:line="276" w:lineRule="auto"/>
        <w:jc w:val="both"/>
        <w:rPr>
          <w:rFonts w:asciiTheme="minorHAnsi" w:hAnsiTheme="minorHAnsi" w:cs="Arial"/>
          <w:sz w:val="22"/>
          <w:szCs w:val="22"/>
        </w:rPr>
      </w:pPr>
    </w:p>
    <w:p w:rsidR="00EA6DD4" w:rsidRPr="000959F0"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W Legnicy przez wiele wieków ścierały się wpływy polskie, czeskie i niemieckie. Miasto przechodziło kolejno pod panowanie Habsburgów i Hohenzollernów.</w:t>
      </w:r>
    </w:p>
    <w:p w:rsidR="00EA6DD4" w:rsidRPr="000959F0" w:rsidRDefault="00EA6DD4" w:rsidP="00EA6DD4">
      <w:pPr>
        <w:pStyle w:val="Default"/>
        <w:spacing w:line="276" w:lineRule="auto"/>
        <w:jc w:val="both"/>
        <w:rPr>
          <w:rFonts w:asciiTheme="minorHAnsi" w:hAnsiTheme="minorHAnsi" w:cs="Arial"/>
          <w:sz w:val="22"/>
          <w:szCs w:val="22"/>
        </w:rPr>
      </w:pPr>
    </w:p>
    <w:p w:rsidR="00EA6DD4" w:rsidRPr="000959F0"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Po latach zastoju, spowodowanych wojnami śląskimi, pod koniec XV</w:t>
      </w:r>
      <w:r w:rsidR="00BC5391">
        <w:rPr>
          <w:rFonts w:asciiTheme="minorHAnsi" w:hAnsiTheme="minorHAnsi" w:cs="Arial"/>
          <w:sz w:val="22"/>
          <w:szCs w:val="22"/>
        </w:rPr>
        <w:t>III wieku nastąpiło ożywienie w </w:t>
      </w:r>
      <w:r w:rsidRPr="00784FC2">
        <w:rPr>
          <w:rFonts w:asciiTheme="minorHAnsi" w:hAnsiTheme="minorHAnsi" w:cs="Arial"/>
          <w:sz w:val="22"/>
          <w:szCs w:val="22"/>
        </w:rPr>
        <w:t xml:space="preserve">życiu </w:t>
      </w:r>
      <w:r>
        <w:rPr>
          <w:rFonts w:asciiTheme="minorHAnsi" w:hAnsiTheme="minorHAnsi" w:cs="Arial"/>
          <w:sz w:val="22"/>
          <w:szCs w:val="22"/>
        </w:rPr>
        <w:t>gospodarczym miasta</w:t>
      </w:r>
      <w:r w:rsidRPr="00784FC2">
        <w:rPr>
          <w:rFonts w:asciiTheme="minorHAnsi" w:hAnsiTheme="minorHAnsi" w:cs="Arial"/>
          <w:sz w:val="22"/>
          <w:szCs w:val="22"/>
        </w:rPr>
        <w:t>.</w:t>
      </w:r>
      <w:r w:rsidRPr="000959F0">
        <w:rPr>
          <w:rFonts w:asciiTheme="minorHAnsi" w:hAnsiTheme="minorHAnsi" w:cs="Arial"/>
          <w:sz w:val="22"/>
          <w:szCs w:val="22"/>
        </w:rPr>
        <w:t xml:space="preserve"> </w:t>
      </w:r>
      <w:r>
        <w:rPr>
          <w:rFonts w:asciiTheme="minorHAnsi" w:hAnsiTheme="minorHAnsi" w:cs="Arial"/>
          <w:sz w:val="22"/>
          <w:szCs w:val="22"/>
        </w:rPr>
        <w:t>W</w:t>
      </w:r>
      <w:r w:rsidRPr="000959F0">
        <w:rPr>
          <w:rFonts w:asciiTheme="minorHAnsi" w:hAnsiTheme="minorHAnsi" w:cs="Arial"/>
          <w:sz w:val="22"/>
          <w:szCs w:val="22"/>
        </w:rPr>
        <w:t xml:space="preserve"> latach 1700-1740 powstały najzn</w:t>
      </w:r>
      <w:r w:rsidR="004E6137">
        <w:rPr>
          <w:rFonts w:asciiTheme="minorHAnsi" w:hAnsiTheme="minorHAnsi" w:cs="Arial"/>
          <w:sz w:val="22"/>
          <w:szCs w:val="22"/>
        </w:rPr>
        <w:t>amienitsze dzieła architektury, p</w:t>
      </w:r>
      <w:r>
        <w:rPr>
          <w:rFonts w:asciiTheme="minorHAnsi" w:hAnsiTheme="minorHAnsi" w:cs="Arial"/>
          <w:sz w:val="22"/>
          <w:szCs w:val="22"/>
        </w:rPr>
        <w:t>ojawiły się</w:t>
      </w:r>
      <w:r w:rsidR="004E6137">
        <w:rPr>
          <w:rFonts w:asciiTheme="minorHAnsi" w:hAnsiTheme="minorHAnsi" w:cs="Arial"/>
          <w:sz w:val="22"/>
          <w:szCs w:val="22"/>
        </w:rPr>
        <w:t xml:space="preserve"> też</w:t>
      </w:r>
      <w:r w:rsidRPr="00784FC2">
        <w:rPr>
          <w:rFonts w:asciiTheme="minorHAnsi" w:hAnsiTheme="minorHAnsi" w:cs="Arial"/>
          <w:sz w:val="22"/>
          <w:szCs w:val="22"/>
        </w:rPr>
        <w:t xml:space="preserve"> pierwsze manufaktury. Rozwojowi miasta sprzyjała rozbudowa dróg bitych oraz infrastruktury komunalnej i komunikacyjnej. W 1844 roku połączono Legnicę z Wrocławiem linią kolejową. </w:t>
      </w:r>
    </w:p>
    <w:p w:rsidR="00EA6DD4" w:rsidRPr="00784FC2" w:rsidRDefault="00EA6DD4" w:rsidP="00EA6DD4">
      <w:pPr>
        <w:pStyle w:val="Default"/>
        <w:spacing w:line="276" w:lineRule="auto"/>
        <w:jc w:val="both"/>
        <w:rPr>
          <w:rFonts w:asciiTheme="minorHAnsi" w:hAnsiTheme="minorHAnsi" w:cs="Arial"/>
          <w:sz w:val="22"/>
          <w:szCs w:val="22"/>
        </w:rPr>
      </w:pPr>
    </w:p>
    <w:p w:rsidR="00EA6DD4" w:rsidRPr="000959F0"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Współczesny kształt przestrzenny miasta określony został w końcu XIX i na początku XX wieku. Legnica stała się dużym ośrodkiem gospodarczym i administracyjnym Dolnego Śląska - siedzibą rejencji. Strukturę gospodarczą miasta cechowała duża różnorodność, obok przemysłu istniał dobrze rozwinięty handel i rzemiosło, funkcjonowała sieć banków. Znaczącą rolę w życiu miasta odgrywały ogrodnictwo, hodowla oraz przemysł rolno - spożywczy. Powstałe na początku XIX wieku Legnickie Towarzystwo Rolnicze organizowało coroczne wystawy zwierząt hodowlanych, roślin przemysłowych, maszyn rolniczych, owoców i kwiatów. W granicach miasta znajdowało się dużo terenów zielonych. W Legnicy tworzono liczne parki z egzotyczną roślinnością, ogrody, palmiarnie i wystawy kwiatów.</w:t>
      </w:r>
    </w:p>
    <w:p w:rsidR="00EA6DD4" w:rsidRPr="00784FC2" w:rsidRDefault="00EA6DD4" w:rsidP="00EA6DD4">
      <w:pPr>
        <w:pStyle w:val="Default"/>
        <w:spacing w:line="276" w:lineRule="auto"/>
        <w:jc w:val="both"/>
        <w:rPr>
          <w:rFonts w:asciiTheme="minorHAnsi" w:hAnsiTheme="minorHAnsi" w:cs="Arial"/>
          <w:sz w:val="22"/>
          <w:szCs w:val="22"/>
        </w:rPr>
      </w:pPr>
    </w:p>
    <w:p w:rsidR="00EA6DD4"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Dynamiczny rozwój Legnicy przerwany został w XX wieku przez dwie kolejne wojny</w:t>
      </w:r>
      <w:r>
        <w:rPr>
          <w:rFonts w:asciiTheme="minorHAnsi" w:hAnsiTheme="minorHAnsi" w:cs="Arial"/>
          <w:sz w:val="22"/>
          <w:szCs w:val="22"/>
        </w:rPr>
        <w:t xml:space="preserve"> światowe</w:t>
      </w:r>
      <w:r w:rsidRPr="00784FC2">
        <w:rPr>
          <w:rFonts w:asciiTheme="minorHAnsi" w:hAnsiTheme="minorHAnsi" w:cs="Arial"/>
          <w:sz w:val="22"/>
          <w:szCs w:val="22"/>
        </w:rPr>
        <w:t>.</w:t>
      </w:r>
      <w:r w:rsidRPr="000959F0">
        <w:rPr>
          <w:rFonts w:asciiTheme="minorHAnsi" w:hAnsiTheme="minorHAnsi" w:cs="Arial"/>
          <w:sz w:val="22"/>
          <w:szCs w:val="22"/>
        </w:rPr>
        <w:t xml:space="preserve"> </w:t>
      </w:r>
      <w:r w:rsidRPr="00784FC2">
        <w:rPr>
          <w:rFonts w:asciiTheme="minorHAnsi" w:hAnsiTheme="minorHAnsi" w:cs="Arial"/>
          <w:sz w:val="22"/>
          <w:szCs w:val="22"/>
        </w:rPr>
        <w:t xml:space="preserve">Zwłaszcza II wojna światowa odcisnęła na gospodarce miasta negatywne piętno. </w:t>
      </w:r>
    </w:p>
    <w:p w:rsidR="00EA6DD4" w:rsidRPr="00784FC2" w:rsidRDefault="00EA6DD4" w:rsidP="00EA6DD4">
      <w:pPr>
        <w:pStyle w:val="Default"/>
        <w:spacing w:line="276" w:lineRule="auto"/>
        <w:jc w:val="both"/>
        <w:rPr>
          <w:rFonts w:asciiTheme="minorHAnsi" w:hAnsiTheme="minorHAnsi" w:cs="Arial"/>
          <w:sz w:val="22"/>
          <w:szCs w:val="22"/>
        </w:rPr>
      </w:pPr>
    </w:p>
    <w:p w:rsidR="00EA6DD4" w:rsidRPr="000959F0" w:rsidRDefault="00B868C3" w:rsidP="00EA6DD4">
      <w:pPr>
        <w:pStyle w:val="Default"/>
        <w:spacing w:line="276" w:lineRule="auto"/>
        <w:jc w:val="both"/>
        <w:rPr>
          <w:rFonts w:asciiTheme="minorHAnsi" w:hAnsiTheme="minorHAnsi" w:cs="Arial"/>
          <w:sz w:val="22"/>
          <w:szCs w:val="22"/>
        </w:rPr>
      </w:pPr>
      <w:r>
        <w:rPr>
          <w:rFonts w:asciiTheme="minorHAnsi" w:hAnsiTheme="minorHAnsi" w:cs="Arial"/>
          <w:sz w:val="22"/>
          <w:szCs w:val="22"/>
        </w:rPr>
        <w:t>Okres II wojny światowej, jak i sama operacja zdobywania miasta przez Armię Czerwoną w</w:t>
      </w:r>
      <w:r w:rsidR="00EA6DD4" w:rsidRPr="00784FC2">
        <w:rPr>
          <w:rFonts w:asciiTheme="minorHAnsi" w:hAnsiTheme="minorHAnsi" w:cs="Arial"/>
          <w:sz w:val="22"/>
          <w:szCs w:val="22"/>
        </w:rPr>
        <w:t xml:space="preserve"> </w:t>
      </w:r>
      <w:r>
        <w:rPr>
          <w:rFonts w:asciiTheme="minorHAnsi" w:hAnsiTheme="minorHAnsi" w:cs="Arial"/>
          <w:sz w:val="22"/>
          <w:szCs w:val="22"/>
        </w:rPr>
        <w:t>lutym 1945 r. nie przyniosły większych strat w substancji budowlanej miasta. Niestety po zakończeniu działań wojennych w maju 1945 r. w wyniku pożarów znacznie ucierpiała zabytkowa starówka Legnicy. Mimo, iż po</w:t>
      </w:r>
      <w:r w:rsidR="006C220C">
        <w:rPr>
          <w:rFonts w:asciiTheme="minorHAnsi" w:hAnsiTheme="minorHAnsi" w:cs="Arial"/>
          <w:sz w:val="22"/>
          <w:szCs w:val="22"/>
        </w:rPr>
        <w:t xml:space="preserve"> wojnie Legnica</w:t>
      </w:r>
      <w:r>
        <w:rPr>
          <w:rFonts w:asciiTheme="minorHAnsi" w:hAnsiTheme="minorHAnsi" w:cs="Arial"/>
          <w:sz w:val="22"/>
          <w:szCs w:val="22"/>
        </w:rPr>
        <w:t xml:space="preserve"> wróciła do</w:t>
      </w:r>
      <w:r w:rsidR="00EA6DD4" w:rsidRPr="00784FC2">
        <w:rPr>
          <w:rFonts w:asciiTheme="minorHAnsi" w:hAnsiTheme="minorHAnsi" w:cs="Arial"/>
          <w:sz w:val="22"/>
          <w:szCs w:val="22"/>
        </w:rPr>
        <w:t xml:space="preserve"> Polski, </w:t>
      </w:r>
      <w:r>
        <w:rPr>
          <w:rFonts w:asciiTheme="minorHAnsi" w:hAnsiTheme="minorHAnsi" w:cs="Arial"/>
          <w:sz w:val="22"/>
          <w:szCs w:val="22"/>
        </w:rPr>
        <w:t>to</w:t>
      </w:r>
      <w:r w:rsidR="00EA6DD4" w:rsidRPr="00784FC2">
        <w:rPr>
          <w:rFonts w:asciiTheme="minorHAnsi" w:hAnsiTheme="minorHAnsi" w:cs="Arial"/>
          <w:sz w:val="22"/>
          <w:szCs w:val="22"/>
        </w:rPr>
        <w:t xml:space="preserve"> w wyniku narzuconego Polsce układu jałtańskiego stała się siedzibą Północnej Grupy Wojsk Armii </w:t>
      </w:r>
      <w:r w:rsidR="00EA6DD4">
        <w:rPr>
          <w:rFonts w:asciiTheme="minorHAnsi" w:hAnsiTheme="minorHAnsi" w:cs="Arial"/>
          <w:sz w:val="22"/>
          <w:szCs w:val="22"/>
        </w:rPr>
        <w:t>Radzieckie</w:t>
      </w:r>
      <w:r w:rsidR="00EA6DD4" w:rsidRPr="00784FC2">
        <w:rPr>
          <w:rFonts w:asciiTheme="minorHAnsi" w:hAnsiTheme="minorHAnsi" w:cs="Arial"/>
          <w:sz w:val="22"/>
          <w:szCs w:val="22"/>
        </w:rPr>
        <w:t>j.</w:t>
      </w:r>
      <w:r w:rsidR="00EA6DD4" w:rsidRPr="000959F0">
        <w:rPr>
          <w:rFonts w:asciiTheme="minorHAnsi" w:hAnsiTheme="minorHAnsi" w:cs="Arial"/>
          <w:sz w:val="22"/>
          <w:szCs w:val="22"/>
        </w:rPr>
        <w:t xml:space="preserve"> W latach 1945-1993 </w:t>
      </w:r>
      <w:r>
        <w:rPr>
          <w:rFonts w:asciiTheme="minorHAnsi" w:hAnsiTheme="minorHAnsi" w:cs="Arial"/>
          <w:sz w:val="22"/>
          <w:szCs w:val="22"/>
        </w:rPr>
        <w:t>w mieście stacjonował</w:t>
      </w:r>
      <w:r w:rsidR="00EA6DD4" w:rsidRPr="000959F0">
        <w:rPr>
          <w:rFonts w:asciiTheme="minorHAnsi" w:hAnsiTheme="minorHAnsi" w:cs="Arial"/>
          <w:sz w:val="22"/>
          <w:szCs w:val="22"/>
        </w:rPr>
        <w:t xml:space="preserve"> potężny sowiecki garnizon.</w:t>
      </w:r>
      <w:r>
        <w:rPr>
          <w:rFonts w:asciiTheme="minorHAnsi" w:hAnsiTheme="minorHAnsi" w:cs="Arial"/>
          <w:sz w:val="22"/>
          <w:szCs w:val="22"/>
        </w:rPr>
        <w:t xml:space="preserve"> </w:t>
      </w:r>
      <w:r w:rsidRPr="000959F0">
        <w:rPr>
          <w:rFonts w:asciiTheme="minorHAnsi" w:hAnsiTheme="minorHAnsi" w:cs="Arial"/>
          <w:sz w:val="22"/>
          <w:szCs w:val="22"/>
        </w:rPr>
        <w:t>Głównym czynnikiem warunkującym umieszczenie JAR</w:t>
      </w:r>
      <w:r>
        <w:rPr>
          <w:rFonts w:asciiTheme="minorHAnsi" w:hAnsiTheme="minorHAnsi" w:cs="Arial"/>
          <w:sz w:val="22"/>
          <w:szCs w:val="22"/>
        </w:rPr>
        <w:t xml:space="preserve"> w Legnicy</w:t>
      </w:r>
      <w:r w:rsidRPr="000959F0">
        <w:rPr>
          <w:rFonts w:asciiTheme="minorHAnsi" w:hAnsiTheme="minorHAnsi" w:cs="Arial"/>
          <w:sz w:val="22"/>
          <w:szCs w:val="22"/>
        </w:rPr>
        <w:t xml:space="preserve"> była lokalizacja</w:t>
      </w:r>
      <w:r w:rsidR="00BC5391">
        <w:rPr>
          <w:rFonts w:asciiTheme="minorHAnsi" w:hAnsiTheme="minorHAnsi" w:cs="Arial"/>
          <w:sz w:val="22"/>
          <w:szCs w:val="22"/>
        </w:rPr>
        <w:t xml:space="preserve"> w </w:t>
      </w:r>
      <w:r w:rsidRPr="00784FC2">
        <w:rPr>
          <w:rFonts w:asciiTheme="minorHAnsi" w:hAnsiTheme="minorHAnsi" w:cs="Arial"/>
          <w:sz w:val="22"/>
          <w:szCs w:val="22"/>
        </w:rPr>
        <w:t>mie</w:t>
      </w:r>
      <w:r>
        <w:rPr>
          <w:rFonts w:asciiTheme="minorHAnsi" w:hAnsiTheme="minorHAnsi" w:cs="Arial"/>
          <w:sz w:val="22"/>
          <w:szCs w:val="22"/>
        </w:rPr>
        <w:t>ście znacznej liczby obiektów o </w:t>
      </w:r>
      <w:r w:rsidRPr="00784FC2">
        <w:rPr>
          <w:rFonts w:asciiTheme="minorHAnsi" w:hAnsiTheme="minorHAnsi" w:cs="Arial"/>
          <w:sz w:val="22"/>
          <w:szCs w:val="22"/>
        </w:rPr>
        <w:t>charakterze wojskowym oraz nie zniszczona w wyniku działań wojennych infrastruktura komunalna i mieszkaniowa.</w:t>
      </w:r>
      <w:r w:rsidRPr="000959F0">
        <w:rPr>
          <w:rFonts w:asciiTheme="minorHAnsi" w:hAnsiTheme="minorHAnsi" w:cs="Arial"/>
          <w:sz w:val="22"/>
          <w:szCs w:val="22"/>
        </w:rPr>
        <w:t xml:space="preserve"> </w:t>
      </w:r>
      <w:r w:rsidR="006C220C">
        <w:rPr>
          <w:rFonts w:asciiTheme="minorHAnsi" w:hAnsiTheme="minorHAnsi" w:cs="Arial"/>
          <w:sz w:val="22"/>
          <w:szCs w:val="22"/>
        </w:rPr>
        <w:t>Na skutek</w:t>
      </w:r>
      <w:r w:rsidRPr="000959F0">
        <w:rPr>
          <w:rFonts w:asciiTheme="minorHAnsi" w:hAnsiTheme="minorHAnsi" w:cs="Arial"/>
          <w:sz w:val="22"/>
          <w:szCs w:val="22"/>
        </w:rPr>
        <w:t xml:space="preserve"> tej decyzji</w:t>
      </w:r>
      <w:r w:rsidR="006C220C">
        <w:rPr>
          <w:rFonts w:asciiTheme="minorHAnsi" w:hAnsiTheme="minorHAnsi" w:cs="Arial"/>
          <w:sz w:val="22"/>
          <w:szCs w:val="22"/>
        </w:rPr>
        <w:t xml:space="preserve"> </w:t>
      </w:r>
      <w:r w:rsidR="00D32E37">
        <w:rPr>
          <w:rFonts w:asciiTheme="minorHAnsi" w:hAnsiTheme="minorHAnsi" w:cs="Arial"/>
          <w:sz w:val="22"/>
          <w:szCs w:val="22"/>
        </w:rPr>
        <w:t>znaczna część miasta znalazła</w:t>
      </w:r>
      <w:r>
        <w:rPr>
          <w:rFonts w:asciiTheme="minorHAnsi" w:hAnsiTheme="minorHAnsi" w:cs="Arial"/>
          <w:sz w:val="22"/>
          <w:szCs w:val="22"/>
        </w:rPr>
        <w:t xml:space="preserve"> się w dyspozycji PGWAR</w:t>
      </w:r>
      <w:r w:rsidRPr="00784FC2">
        <w:rPr>
          <w:rFonts w:asciiTheme="minorHAnsi" w:hAnsiTheme="minorHAnsi" w:cs="Arial"/>
          <w:sz w:val="22"/>
          <w:szCs w:val="22"/>
        </w:rPr>
        <w:t>, co w</w:t>
      </w:r>
      <w:r w:rsidR="006C220C">
        <w:rPr>
          <w:rFonts w:asciiTheme="minorHAnsi" w:hAnsiTheme="minorHAnsi" w:cs="Arial"/>
          <w:sz w:val="22"/>
          <w:szCs w:val="22"/>
        </w:rPr>
        <w:t xml:space="preserve"> połączeniu z wprowadzony</w:t>
      </w:r>
      <w:r w:rsidR="00BC5391">
        <w:rPr>
          <w:rFonts w:asciiTheme="minorHAnsi" w:hAnsiTheme="minorHAnsi" w:cs="Arial"/>
          <w:sz w:val="22"/>
          <w:szCs w:val="22"/>
        </w:rPr>
        <w:t>m przez władze socjalistyczne w </w:t>
      </w:r>
      <w:r w:rsidR="006C220C">
        <w:rPr>
          <w:rFonts w:asciiTheme="minorHAnsi" w:hAnsiTheme="minorHAnsi" w:cs="Arial"/>
          <w:sz w:val="22"/>
          <w:szCs w:val="22"/>
        </w:rPr>
        <w:t>latach 60 XX w. programem „odbudowy” miasta</w:t>
      </w:r>
      <w:r w:rsidRPr="00784FC2">
        <w:rPr>
          <w:rFonts w:asciiTheme="minorHAnsi" w:hAnsiTheme="minorHAnsi" w:cs="Arial"/>
          <w:sz w:val="22"/>
          <w:szCs w:val="22"/>
        </w:rPr>
        <w:t xml:space="preserve"> </w:t>
      </w:r>
      <w:r w:rsidR="006C220C">
        <w:rPr>
          <w:rFonts w:asciiTheme="minorHAnsi" w:hAnsiTheme="minorHAnsi" w:cs="Arial"/>
          <w:sz w:val="22"/>
          <w:szCs w:val="22"/>
        </w:rPr>
        <w:t>doprowadziło do degradacji</w:t>
      </w:r>
      <w:r w:rsidR="00D32E37">
        <w:rPr>
          <w:rFonts w:asciiTheme="minorHAnsi" w:hAnsiTheme="minorHAnsi" w:cs="Arial"/>
          <w:sz w:val="22"/>
          <w:szCs w:val="22"/>
        </w:rPr>
        <w:t xml:space="preserve"> zabytkowej</w:t>
      </w:r>
      <w:r w:rsidR="00BC5391">
        <w:rPr>
          <w:rFonts w:asciiTheme="minorHAnsi" w:hAnsiTheme="minorHAnsi" w:cs="Arial"/>
          <w:sz w:val="22"/>
          <w:szCs w:val="22"/>
        </w:rPr>
        <w:t xml:space="preserve"> zabudowy i </w:t>
      </w:r>
      <w:r w:rsidR="006C220C">
        <w:rPr>
          <w:rFonts w:asciiTheme="minorHAnsi" w:hAnsiTheme="minorHAnsi" w:cs="Arial"/>
          <w:sz w:val="22"/>
          <w:szCs w:val="22"/>
        </w:rPr>
        <w:t>zaburzenia staromiejskiego układu urbanistycznego Legnicy</w:t>
      </w:r>
      <w:r>
        <w:rPr>
          <w:rFonts w:asciiTheme="minorHAnsi" w:hAnsiTheme="minorHAnsi" w:cs="Arial"/>
          <w:sz w:val="22"/>
          <w:szCs w:val="22"/>
        </w:rPr>
        <w:t>.</w:t>
      </w:r>
      <w:r w:rsidR="00EA6DD4" w:rsidRPr="000959F0">
        <w:rPr>
          <w:rFonts w:asciiTheme="minorHAnsi" w:hAnsiTheme="minorHAnsi" w:cs="Arial"/>
          <w:sz w:val="22"/>
          <w:szCs w:val="22"/>
        </w:rPr>
        <w:t xml:space="preserve"> Miasto przez pół wieku nie posiadało realnej suwerenności</w:t>
      </w:r>
      <w:r w:rsidR="006C220C">
        <w:rPr>
          <w:rFonts w:asciiTheme="minorHAnsi" w:hAnsiTheme="minorHAnsi" w:cs="Arial"/>
          <w:sz w:val="22"/>
          <w:szCs w:val="22"/>
        </w:rPr>
        <w:t>, co</w:t>
      </w:r>
      <w:r w:rsidR="00D32E37">
        <w:rPr>
          <w:rFonts w:asciiTheme="minorHAnsi" w:hAnsiTheme="minorHAnsi" w:cs="Arial"/>
          <w:sz w:val="22"/>
          <w:szCs w:val="22"/>
        </w:rPr>
        <w:t xml:space="preserve"> w istotny sposób hamowało jego</w:t>
      </w:r>
      <w:r w:rsidR="006C220C">
        <w:rPr>
          <w:rFonts w:asciiTheme="minorHAnsi" w:hAnsiTheme="minorHAnsi" w:cs="Arial"/>
          <w:sz w:val="22"/>
          <w:szCs w:val="22"/>
        </w:rPr>
        <w:t xml:space="preserve"> właściwy rozwój</w:t>
      </w:r>
      <w:r w:rsidR="00EA6DD4" w:rsidRPr="000959F0">
        <w:rPr>
          <w:rFonts w:asciiTheme="minorHAnsi" w:hAnsiTheme="minorHAnsi" w:cs="Arial"/>
          <w:sz w:val="22"/>
          <w:szCs w:val="22"/>
        </w:rPr>
        <w:t>. Decyzje władz komunalnych musiały być konsultowane z radzieckimi dowódcami.</w:t>
      </w:r>
      <w:r w:rsidR="00EA6DD4" w:rsidRPr="00784FC2">
        <w:rPr>
          <w:rFonts w:asciiTheme="minorHAnsi" w:hAnsiTheme="minorHAnsi" w:cs="Arial"/>
          <w:sz w:val="22"/>
          <w:szCs w:val="22"/>
        </w:rPr>
        <w:t xml:space="preserve"> </w:t>
      </w:r>
      <w:r w:rsidR="00EA6DD4" w:rsidRPr="000959F0">
        <w:rPr>
          <w:rFonts w:asciiTheme="minorHAnsi" w:hAnsiTheme="minorHAnsi" w:cs="Arial"/>
          <w:sz w:val="22"/>
          <w:szCs w:val="22"/>
        </w:rPr>
        <w:t xml:space="preserve">W tym okresie w Legnicy zapadały strategiczne decyzje dotyczące bezpieczeństwa Europy i świata, stąd bowiem wojska radzieckie ruszyły w sierpniu 1968 r. na Czechosłowację. </w:t>
      </w:r>
    </w:p>
    <w:p w:rsidR="00EA6DD4" w:rsidRPr="00784FC2" w:rsidRDefault="00EA6DD4" w:rsidP="00EA6DD4">
      <w:pPr>
        <w:pStyle w:val="Default"/>
        <w:spacing w:line="276" w:lineRule="auto"/>
        <w:jc w:val="both"/>
        <w:rPr>
          <w:rFonts w:asciiTheme="minorHAnsi" w:hAnsiTheme="minorHAnsi" w:cs="Arial"/>
          <w:sz w:val="22"/>
          <w:szCs w:val="22"/>
        </w:rPr>
      </w:pPr>
    </w:p>
    <w:p w:rsidR="00EA6DD4" w:rsidRPr="000959F0"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Swój wielkomiejski charakter</w:t>
      </w:r>
      <w:r>
        <w:rPr>
          <w:rFonts w:asciiTheme="minorHAnsi" w:hAnsiTheme="minorHAnsi" w:cs="Arial"/>
          <w:sz w:val="22"/>
          <w:szCs w:val="22"/>
        </w:rPr>
        <w:t xml:space="preserve"> Legnica zaczęła powoli odzyskiwać</w:t>
      </w:r>
      <w:r w:rsidRPr="00784FC2">
        <w:rPr>
          <w:rFonts w:asciiTheme="minorHAnsi" w:hAnsiTheme="minorHAnsi" w:cs="Arial"/>
          <w:sz w:val="22"/>
          <w:szCs w:val="22"/>
        </w:rPr>
        <w:t xml:space="preserve"> na początku lat sześćdziesiątych obecnego stulecia w związku z</w:t>
      </w:r>
      <w:r w:rsidR="00D32E37">
        <w:rPr>
          <w:rFonts w:asciiTheme="minorHAnsi" w:hAnsiTheme="minorHAnsi" w:cs="Arial"/>
          <w:sz w:val="22"/>
          <w:szCs w:val="22"/>
        </w:rPr>
        <w:t xml:space="preserve"> otwarciem Huty Miedzi oraz odkryciem w 1957 r. w okolicach Sieroszowic</w:t>
      </w:r>
      <w:r w:rsidRPr="00784FC2">
        <w:rPr>
          <w:rFonts w:asciiTheme="minorHAnsi" w:hAnsiTheme="minorHAnsi" w:cs="Arial"/>
          <w:sz w:val="22"/>
          <w:szCs w:val="22"/>
        </w:rPr>
        <w:t xml:space="preserve"> bogatych złóż miedzi. </w:t>
      </w:r>
      <w:r w:rsidR="007615B5">
        <w:rPr>
          <w:rFonts w:asciiTheme="minorHAnsi" w:hAnsiTheme="minorHAnsi" w:cs="Arial"/>
          <w:sz w:val="22"/>
          <w:szCs w:val="22"/>
        </w:rPr>
        <w:t>Wydarzenia te przyczyniły się do</w:t>
      </w:r>
      <w:r w:rsidRPr="00784FC2">
        <w:rPr>
          <w:rFonts w:asciiTheme="minorHAnsi" w:hAnsiTheme="minorHAnsi" w:cs="Arial"/>
          <w:sz w:val="22"/>
          <w:szCs w:val="22"/>
        </w:rPr>
        <w:t xml:space="preserve"> </w:t>
      </w:r>
      <w:r w:rsidR="007615B5">
        <w:rPr>
          <w:rFonts w:asciiTheme="minorHAnsi" w:hAnsiTheme="minorHAnsi" w:cs="Arial"/>
          <w:sz w:val="22"/>
          <w:szCs w:val="22"/>
        </w:rPr>
        <w:t>wybudowania</w:t>
      </w:r>
      <w:r w:rsidRPr="00784FC2">
        <w:rPr>
          <w:rFonts w:asciiTheme="minorHAnsi" w:hAnsiTheme="minorHAnsi" w:cs="Arial"/>
          <w:sz w:val="22"/>
          <w:szCs w:val="22"/>
        </w:rPr>
        <w:t xml:space="preserve"> w mieście</w:t>
      </w:r>
      <w:r w:rsidR="007615B5">
        <w:rPr>
          <w:rFonts w:asciiTheme="minorHAnsi" w:hAnsiTheme="minorHAnsi" w:cs="Arial"/>
          <w:sz w:val="22"/>
          <w:szCs w:val="22"/>
        </w:rPr>
        <w:t xml:space="preserve"> Z</w:t>
      </w:r>
      <w:r w:rsidRPr="00784FC2">
        <w:rPr>
          <w:rFonts w:asciiTheme="minorHAnsi" w:hAnsiTheme="minorHAnsi" w:cs="Arial"/>
          <w:sz w:val="22"/>
          <w:szCs w:val="22"/>
        </w:rPr>
        <w:t>akładów Mechanicznych "Legmet" oraz Fabryki Przewodów Nawojowych "Elpena".</w:t>
      </w:r>
    </w:p>
    <w:p w:rsidR="00EA6DD4" w:rsidRPr="00784FC2" w:rsidRDefault="00EA6DD4" w:rsidP="00EA6DD4">
      <w:pPr>
        <w:pStyle w:val="Default"/>
        <w:spacing w:line="276" w:lineRule="auto"/>
        <w:jc w:val="both"/>
        <w:rPr>
          <w:rFonts w:asciiTheme="minorHAnsi" w:hAnsiTheme="minorHAnsi" w:cs="Arial"/>
          <w:sz w:val="22"/>
          <w:szCs w:val="22"/>
        </w:rPr>
      </w:pPr>
    </w:p>
    <w:p w:rsidR="00EA6DD4" w:rsidRPr="000959F0"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 xml:space="preserve">W </w:t>
      </w:r>
      <w:r>
        <w:rPr>
          <w:rFonts w:asciiTheme="minorHAnsi" w:hAnsiTheme="minorHAnsi" w:cs="Arial"/>
          <w:sz w:val="22"/>
          <w:szCs w:val="22"/>
        </w:rPr>
        <w:t>nowym, wprowadzonym w 1975 roku</w:t>
      </w:r>
      <w:r w:rsidRPr="00784FC2">
        <w:rPr>
          <w:rFonts w:asciiTheme="minorHAnsi" w:hAnsiTheme="minorHAnsi" w:cs="Arial"/>
          <w:sz w:val="22"/>
          <w:szCs w:val="22"/>
        </w:rPr>
        <w:t xml:space="preserve"> podziale administracyjnym kraju Legnica stała się siedzibą władz wojewódzkich i jednym ze znaczących ośrodków administracyjnych Dolnego Śląska. Był to początek odzyskiwan</w:t>
      </w:r>
      <w:r>
        <w:rPr>
          <w:rFonts w:asciiTheme="minorHAnsi" w:hAnsiTheme="minorHAnsi" w:cs="Arial"/>
          <w:sz w:val="22"/>
          <w:szCs w:val="22"/>
        </w:rPr>
        <w:t>ia przez Legnicę należnego jej m</w:t>
      </w:r>
      <w:r w:rsidRPr="00784FC2">
        <w:rPr>
          <w:rFonts w:asciiTheme="minorHAnsi" w:hAnsiTheme="minorHAnsi" w:cs="Arial"/>
          <w:sz w:val="22"/>
          <w:szCs w:val="22"/>
        </w:rPr>
        <w:t xml:space="preserve">iejsca na mapie gospodarczej Polski. </w:t>
      </w:r>
    </w:p>
    <w:p w:rsidR="00EA6DD4" w:rsidRPr="00784FC2" w:rsidRDefault="00EA6DD4" w:rsidP="00EA6DD4">
      <w:pPr>
        <w:pStyle w:val="Default"/>
        <w:spacing w:line="276" w:lineRule="auto"/>
        <w:jc w:val="both"/>
        <w:rPr>
          <w:rFonts w:asciiTheme="minorHAnsi" w:hAnsiTheme="minorHAnsi" w:cs="Arial"/>
          <w:sz w:val="22"/>
          <w:szCs w:val="22"/>
        </w:rPr>
      </w:pPr>
    </w:p>
    <w:p w:rsidR="00EA6DD4" w:rsidRDefault="00EA6DD4" w:rsidP="00EA6DD4">
      <w:pPr>
        <w:pStyle w:val="Default"/>
        <w:spacing w:line="276" w:lineRule="auto"/>
        <w:jc w:val="both"/>
        <w:rPr>
          <w:rFonts w:asciiTheme="minorHAnsi" w:hAnsiTheme="minorHAnsi" w:cs="Arial"/>
          <w:sz w:val="22"/>
          <w:szCs w:val="22"/>
        </w:rPr>
      </w:pPr>
      <w:r w:rsidRPr="00784FC2">
        <w:rPr>
          <w:rFonts w:asciiTheme="minorHAnsi" w:hAnsiTheme="minorHAnsi" w:cs="Arial"/>
          <w:sz w:val="22"/>
          <w:szCs w:val="22"/>
        </w:rPr>
        <w:t>W najnowszych dziejach miasta wa</w:t>
      </w:r>
      <w:r>
        <w:rPr>
          <w:rFonts w:asciiTheme="minorHAnsi" w:hAnsiTheme="minorHAnsi" w:cs="Arial"/>
          <w:sz w:val="22"/>
          <w:szCs w:val="22"/>
        </w:rPr>
        <w:t>rto odnotować następujące wydarzenia:</w:t>
      </w:r>
    </w:p>
    <w:p w:rsidR="00EA6DD4" w:rsidRDefault="00EA6DD4" w:rsidP="00E6635A">
      <w:pPr>
        <w:pStyle w:val="Default"/>
        <w:numPr>
          <w:ilvl w:val="0"/>
          <w:numId w:val="39"/>
        </w:numPr>
        <w:spacing w:line="276" w:lineRule="auto"/>
        <w:jc w:val="both"/>
        <w:rPr>
          <w:rFonts w:asciiTheme="minorHAnsi" w:hAnsiTheme="minorHAnsi" w:cs="Arial"/>
          <w:sz w:val="22"/>
          <w:szCs w:val="22"/>
        </w:rPr>
      </w:pPr>
      <w:r w:rsidRPr="00784FC2">
        <w:rPr>
          <w:rFonts w:asciiTheme="minorHAnsi" w:hAnsiTheme="minorHAnsi" w:cs="Arial"/>
          <w:sz w:val="22"/>
          <w:szCs w:val="22"/>
        </w:rPr>
        <w:t>wyznaczenie w marcu 1992 roku Legnicy na stolicę nowo utworzone</w:t>
      </w:r>
      <w:r>
        <w:rPr>
          <w:rFonts w:asciiTheme="minorHAnsi" w:hAnsiTheme="minorHAnsi" w:cs="Arial"/>
          <w:sz w:val="22"/>
          <w:szCs w:val="22"/>
        </w:rPr>
        <w:t>j Diecezji Legnickiej Kościoła R</w:t>
      </w:r>
      <w:r w:rsidRPr="00784FC2">
        <w:rPr>
          <w:rFonts w:asciiTheme="minorHAnsi" w:hAnsiTheme="minorHAnsi" w:cs="Arial"/>
          <w:sz w:val="22"/>
          <w:szCs w:val="22"/>
        </w:rPr>
        <w:t>zymskokatolick</w:t>
      </w:r>
      <w:r>
        <w:rPr>
          <w:rFonts w:asciiTheme="minorHAnsi" w:hAnsiTheme="minorHAnsi" w:cs="Arial"/>
          <w:sz w:val="22"/>
          <w:szCs w:val="22"/>
        </w:rPr>
        <w:t>iego,</w:t>
      </w:r>
    </w:p>
    <w:p w:rsidR="00EA6DD4" w:rsidRDefault="00EA6DD4" w:rsidP="00E6635A">
      <w:pPr>
        <w:pStyle w:val="Default"/>
        <w:numPr>
          <w:ilvl w:val="0"/>
          <w:numId w:val="39"/>
        </w:numPr>
        <w:spacing w:line="276" w:lineRule="auto"/>
        <w:jc w:val="both"/>
        <w:rPr>
          <w:rFonts w:asciiTheme="minorHAnsi" w:hAnsiTheme="minorHAnsi" w:cs="Arial"/>
          <w:sz w:val="22"/>
          <w:szCs w:val="22"/>
        </w:rPr>
      </w:pPr>
      <w:r w:rsidRPr="000959F0">
        <w:rPr>
          <w:rFonts w:asciiTheme="minorHAnsi" w:hAnsiTheme="minorHAnsi" w:cs="Arial"/>
          <w:sz w:val="22"/>
          <w:szCs w:val="22"/>
        </w:rPr>
        <w:t>opuszczenie 16 września</w:t>
      </w:r>
      <w:r w:rsidRPr="00784FC2">
        <w:rPr>
          <w:rFonts w:asciiTheme="minorHAnsi" w:hAnsiTheme="minorHAnsi" w:cs="Arial"/>
          <w:sz w:val="22"/>
          <w:szCs w:val="22"/>
        </w:rPr>
        <w:t xml:space="preserve"> 1993 roku Legnicy przez ostatniego żołnie</w:t>
      </w:r>
      <w:r w:rsidR="0033475A">
        <w:rPr>
          <w:rFonts w:asciiTheme="minorHAnsi" w:hAnsiTheme="minorHAnsi" w:cs="Arial"/>
          <w:sz w:val="22"/>
          <w:szCs w:val="22"/>
        </w:rPr>
        <w:t>rza rosyjskiego (w ciągu 15 </w:t>
      </w:r>
      <w:r w:rsidRPr="000959F0">
        <w:rPr>
          <w:rFonts w:asciiTheme="minorHAnsi" w:hAnsiTheme="minorHAnsi" w:cs="Arial"/>
          <w:sz w:val="22"/>
          <w:szCs w:val="22"/>
        </w:rPr>
        <w:t>lat od tego momentu udał</w:t>
      </w:r>
      <w:r>
        <w:rPr>
          <w:rFonts w:asciiTheme="minorHAnsi" w:hAnsiTheme="minorHAnsi" w:cs="Arial"/>
          <w:sz w:val="22"/>
          <w:szCs w:val="22"/>
        </w:rPr>
        <w:t>o</w:t>
      </w:r>
      <w:r w:rsidRPr="000959F0">
        <w:rPr>
          <w:rFonts w:asciiTheme="minorHAnsi" w:hAnsiTheme="minorHAnsi" w:cs="Arial"/>
          <w:sz w:val="22"/>
          <w:szCs w:val="22"/>
        </w:rPr>
        <w:t xml:space="preserve"> się zagospodarować całe ogromne mi</w:t>
      </w:r>
      <w:r w:rsidR="004B5E76">
        <w:rPr>
          <w:rFonts w:asciiTheme="minorHAnsi" w:hAnsiTheme="minorHAnsi" w:cs="Arial"/>
          <w:sz w:val="22"/>
          <w:szCs w:val="22"/>
        </w:rPr>
        <w:t>enie pozostawione przez Rosjan),</w:t>
      </w:r>
      <w:r w:rsidRPr="000959F0">
        <w:rPr>
          <w:rFonts w:asciiTheme="minorHAnsi" w:hAnsiTheme="minorHAnsi" w:cs="Arial"/>
          <w:sz w:val="22"/>
          <w:szCs w:val="22"/>
        </w:rPr>
        <w:t xml:space="preserve"> </w:t>
      </w:r>
    </w:p>
    <w:p w:rsidR="00EA6DD4" w:rsidRDefault="00EA6DD4" w:rsidP="00E6635A">
      <w:pPr>
        <w:pStyle w:val="Default"/>
        <w:numPr>
          <w:ilvl w:val="0"/>
          <w:numId w:val="39"/>
        </w:numPr>
        <w:spacing w:line="276" w:lineRule="auto"/>
        <w:jc w:val="both"/>
        <w:rPr>
          <w:rFonts w:asciiTheme="minorHAnsi" w:hAnsiTheme="minorHAnsi" w:cs="Arial"/>
          <w:sz w:val="22"/>
          <w:szCs w:val="22"/>
        </w:rPr>
      </w:pPr>
      <w:r>
        <w:rPr>
          <w:rFonts w:asciiTheme="minorHAnsi" w:hAnsiTheme="minorHAnsi" w:cs="Arial"/>
          <w:sz w:val="22"/>
          <w:szCs w:val="22"/>
        </w:rPr>
        <w:t>wizytę</w:t>
      </w:r>
      <w:r w:rsidRPr="00784FC2">
        <w:rPr>
          <w:rFonts w:asciiTheme="minorHAnsi" w:hAnsiTheme="minorHAnsi" w:cs="Arial"/>
          <w:sz w:val="22"/>
          <w:szCs w:val="22"/>
        </w:rPr>
        <w:t xml:space="preserve"> Oj</w:t>
      </w:r>
      <w:r>
        <w:rPr>
          <w:rFonts w:asciiTheme="minorHAnsi" w:hAnsiTheme="minorHAnsi" w:cs="Arial"/>
          <w:sz w:val="22"/>
          <w:szCs w:val="22"/>
        </w:rPr>
        <w:t>ca Świętego w czerwcu 1997 roku,</w:t>
      </w:r>
    </w:p>
    <w:p w:rsidR="00EA6DD4" w:rsidRPr="000959F0" w:rsidRDefault="00EA6DD4" w:rsidP="00E6635A">
      <w:pPr>
        <w:pStyle w:val="Default"/>
        <w:numPr>
          <w:ilvl w:val="0"/>
          <w:numId w:val="39"/>
        </w:numPr>
        <w:spacing w:line="276" w:lineRule="auto"/>
        <w:jc w:val="both"/>
        <w:rPr>
          <w:rFonts w:asciiTheme="minorHAnsi" w:hAnsiTheme="minorHAnsi" w:cs="Arial"/>
          <w:sz w:val="22"/>
          <w:szCs w:val="22"/>
        </w:rPr>
      </w:pPr>
      <w:r>
        <w:rPr>
          <w:rFonts w:asciiTheme="minorHAnsi" w:hAnsiTheme="minorHAnsi" w:cs="Arial"/>
          <w:sz w:val="22"/>
          <w:szCs w:val="22"/>
        </w:rPr>
        <w:t xml:space="preserve">utworzenie </w:t>
      </w:r>
      <w:r w:rsidRPr="000959F0">
        <w:rPr>
          <w:rFonts w:asciiTheme="minorHAnsi" w:hAnsiTheme="minorHAnsi" w:cs="Arial"/>
          <w:sz w:val="22"/>
          <w:szCs w:val="22"/>
        </w:rPr>
        <w:t>Rozporządzeniem Rady Ministrów z dnia 15 kwietnia 1997 r</w:t>
      </w:r>
      <w:r>
        <w:rPr>
          <w:rFonts w:asciiTheme="minorHAnsi" w:hAnsiTheme="minorHAnsi" w:cs="Arial"/>
          <w:sz w:val="22"/>
          <w:szCs w:val="22"/>
        </w:rPr>
        <w:t>.</w:t>
      </w:r>
      <w:r w:rsidRPr="000959F0">
        <w:rPr>
          <w:rFonts w:asciiTheme="minorHAnsi" w:hAnsiTheme="minorHAnsi" w:cs="Arial"/>
          <w:sz w:val="22"/>
          <w:szCs w:val="22"/>
        </w:rPr>
        <w:t xml:space="preserve"> Legnickiej Specjalnej Strefy Ekonomicznej</w:t>
      </w:r>
      <w:r>
        <w:rPr>
          <w:rFonts w:asciiTheme="minorHAnsi" w:hAnsiTheme="minorHAnsi" w:cs="Arial"/>
          <w:sz w:val="22"/>
          <w:szCs w:val="22"/>
        </w:rPr>
        <w:t>,</w:t>
      </w:r>
    </w:p>
    <w:p w:rsidR="00EA6DD4" w:rsidRDefault="00EA6DD4" w:rsidP="00E6635A">
      <w:pPr>
        <w:pStyle w:val="Default"/>
        <w:numPr>
          <w:ilvl w:val="0"/>
          <w:numId w:val="39"/>
        </w:numPr>
        <w:spacing w:line="276" w:lineRule="auto"/>
        <w:jc w:val="both"/>
        <w:rPr>
          <w:rFonts w:asciiTheme="minorHAnsi" w:hAnsiTheme="minorHAnsi" w:cs="Arial"/>
          <w:sz w:val="22"/>
          <w:szCs w:val="22"/>
        </w:rPr>
      </w:pPr>
      <w:r>
        <w:rPr>
          <w:rFonts w:asciiTheme="minorHAnsi" w:hAnsiTheme="minorHAnsi" w:cs="Arial"/>
          <w:sz w:val="22"/>
          <w:szCs w:val="22"/>
        </w:rPr>
        <w:t>utratę</w:t>
      </w:r>
      <w:r w:rsidRPr="00784FC2">
        <w:rPr>
          <w:rFonts w:asciiTheme="minorHAnsi" w:hAnsiTheme="minorHAnsi" w:cs="Arial"/>
          <w:sz w:val="22"/>
          <w:szCs w:val="22"/>
        </w:rPr>
        <w:t xml:space="preserve"> statutu miasta wojewódzkiego w dniu 1 stycznia 1999 roku </w:t>
      </w:r>
      <w:r w:rsidRPr="000959F0">
        <w:rPr>
          <w:rFonts w:asciiTheme="minorHAnsi" w:hAnsiTheme="minorHAnsi" w:cs="Arial"/>
          <w:sz w:val="22"/>
          <w:szCs w:val="22"/>
        </w:rPr>
        <w:t>na skutek</w:t>
      </w:r>
      <w:r>
        <w:rPr>
          <w:rFonts w:asciiTheme="minorHAnsi" w:hAnsiTheme="minorHAnsi" w:cs="Arial"/>
          <w:sz w:val="22"/>
          <w:szCs w:val="22"/>
        </w:rPr>
        <w:t xml:space="preserve"> reformy administracyjnej kraju,</w:t>
      </w:r>
    </w:p>
    <w:p w:rsidR="00EA6DD4" w:rsidRDefault="00EA6DD4" w:rsidP="00E6635A">
      <w:pPr>
        <w:pStyle w:val="Default"/>
        <w:numPr>
          <w:ilvl w:val="0"/>
          <w:numId w:val="39"/>
        </w:numPr>
        <w:spacing w:line="276" w:lineRule="auto"/>
        <w:jc w:val="both"/>
        <w:rPr>
          <w:rFonts w:asciiTheme="minorHAnsi" w:hAnsiTheme="minorHAnsi" w:cs="Arial"/>
          <w:sz w:val="22"/>
          <w:szCs w:val="22"/>
        </w:rPr>
      </w:pPr>
      <w:r>
        <w:rPr>
          <w:rFonts w:asciiTheme="minorHAnsi" w:hAnsiTheme="minorHAnsi" w:cs="Arial"/>
          <w:sz w:val="22"/>
          <w:szCs w:val="22"/>
        </w:rPr>
        <w:t>wejście Polski do Unii Europejskiej 1 maja 2004 r.</w:t>
      </w:r>
      <w:r>
        <w:rPr>
          <w:rStyle w:val="Odwoanieprzypisudolnego"/>
          <w:rFonts w:asciiTheme="minorHAnsi" w:hAnsiTheme="minorHAnsi" w:cs="Arial"/>
          <w:sz w:val="22"/>
          <w:szCs w:val="22"/>
        </w:rPr>
        <w:footnoteReference w:id="5"/>
      </w:r>
    </w:p>
    <w:p w:rsidR="00EA6DD4" w:rsidRPr="005F6BC6" w:rsidRDefault="00EA6DD4" w:rsidP="005F6BC6">
      <w:pPr>
        <w:autoSpaceDE w:val="0"/>
        <w:autoSpaceDN w:val="0"/>
        <w:adjustRightInd w:val="0"/>
        <w:spacing w:after="11"/>
        <w:rPr>
          <w:rFonts w:asciiTheme="minorHAnsi" w:hAnsiTheme="minorHAnsi" w:cs="Arial"/>
          <w:color w:val="000000"/>
          <w:sz w:val="22"/>
        </w:rPr>
      </w:pPr>
    </w:p>
    <w:p w:rsidR="00EA6DD4" w:rsidRDefault="00EA6DD4" w:rsidP="00FD7676">
      <w:pPr>
        <w:spacing w:after="160"/>
        <w:rPr>
          <w:rFonts w:asciiTheme="minorHAnsi" w:hAnsiTheme="minorHAnsi"/>
          <w:sz w:val="22"/>
        </w:rPr>
        <w:sectPr w:rsidR="00EA6DD4" w:rsidSect="000535DD">
          <w:footerReference w:type="default" r:id="rId23"/>
          <w:headerReference w:type="first" r:id="rId24"/>
          <w:footerReference w:type="first" r:id="rId25"/>
          <w:pgSz w:w="11906" w:h="16838"/>
          <w:pgMar w:top="1417" w:right="1417" w:bottom="1417" w:left="1417" w:header="708" w:footer="708" w:gutter="0"/>
          <w:cols w:space="708"/>
          <w:docGrid w:linePitch="360"/>
        </w:sectPr>
      </w:pPr>
    </w:p>
    <w:p w:rsidR="000535DD" w:rsidRPr="00EC5484" w:rsidRDefault="000535DD" w:rsidP="00EC5484">
      <w:pPr>
        <w:pStyle w:val="Nagwek2"/>
      </w:pPr>
      <w:bookmarkStart w:id="17" w:name="_Toc399756306"/>
      <w:r w:rsidRPr="00EC5484">
        <w:t>Sfera społeczna</w:t>
      </w:r>
      <w:bookmarkEnd w:id="17"/>
    </w:p>
    <w:p w:rsidR="000535DD" w:rsidRPr="00EB06A5" w:rsidRDefault="000535DD" w:rsidP="00EC5484">
      <w:pPr>
        <w:pStyle w:val="Nagwek3"/>
      </w:pPr>
      <w:bookmarkStart w:id="18" w:name="_Toc399756307"/>
      <w:r w:rsidRPr="00EB06A5">
        <w:t>Demografia</w:t>
      </w:r>
      <w:bookmarkEnd w:id="18"/>
    </w:p>
    <w:p w:rsidR="000535DD" w:rsidRPr="00563EF2" w:rsidRDefault="000535DD" w:rsidP="00FD7676">
      <w:pPr>
        <w:rPr>
          <w:rFonts w:asciiTheme="minorHAnsi" w:hAnsiTheme="minorHAnsi"/>
          <w:sz w:val="22"/>
        </w:rPr>
      </w:pPr>
    </w:p>
    <w:p w:rsidR="000535DD" w:rsidRPr="00563EF2" w:rsidRDefault="000535DD" w:rsidP="00FD7676">
      <w:pPr>
        <w:rPr>
          <w:rFonts w:asciiTheme="minorHAnsi" w:hAnsiTheme="minorHAnsi"/>
          <w:sz w:val="22"/>
        </w:rPr>
      </w:pPr>
      <w:r w:rsidRPr="00563EF2">
        <w:rPr>
          <w:rFonts w:asciiTheme="minorHAnsi" w:hAnsiTheme="minorHAnsi"/>
          <w:sz w:val="22"/>
        </w:rPr>
        <w:t>Ludność Miasta Legnicy w 2012 r. wynosiła 102 422 osób, co stanowi 3</w:t>
      </w:r>
      <w:r w:rsidR="006D27EA" w:rsidRPr="00563EF2">
        <w:rPr>
          <w:rFonts w:asciiTheme="minorHAnsi" w:hAnsiTheme="minorHAnsi"/>
          <w:sz w:val="22"/>
        </w:rPr>
        <w:t>,5% ludności całego województwa</w:t>
      </w:r>
      <w:r w:rsidRPr="00563EF2">
        <w:rPr>
          <w:rFonts w:asciiTheme="minorHAnsi" w:hAnsiTheme="minorHAnsi"/>
          <w:sz w:val="22"/>
        </w:rPr>
        <w:t xml:space="preserve"> oraz lokuje Legnicę na trzecim miejscu pod względem ludności w województwie dolnośląskim za Wrocławiem i Wałbrzychem. Liczba mężczyzn zamieszkujących Legnicę wynosiła 48 553 (47,4%), a kobiet  53 869 (52,6%). Na przestrzeni ostatniej dekady notowano systematyczny spadek liczby mieszkańców miasta. W 2012 r. Legnicę zamieszkiwał</w:t>
      </w:r>
      <w:r w:rsidR="0033475A">
        <w:rPr>
          <w:rFonts w:asciiTheme="minorHAnsi" w:hAnsiTheme="minorHAnsi"/>
          <w:sz w:val="22"/>
        </w:rPr>
        <w:t>o o 4 473 osoby mniej</w:t>
      </w:r>
      <w:r w:rsidR="004B5E76">
        <w:rPr>
          <w:rFonts w:asciiTheme="minorHAnsi" w:hAnsiTheme="minorHAnsi"/>
          <w:sz w:val="22"/>
        </w:rPr>
        <w:t>,</w:t>
      </w:r>
      <w:r w:rsidR="0033475A">
        <w:rPr>
          <w:rFonts w:asciiTheme="minorHAnsi" w:hAnsiTheme="minorHAnsi"/>
          <w:sz w:val="22"/>
        </w:rPr>
        <w:t xml:space="preserve"> aniżeli w </w:t>
      </w:r>
      <w:r w:rsidRPr="00563EF2">
        <w:rPr>
          <w:rFonts w:asciiTheme="minorHAnsi" w:hAnsiTheme="minorHAnsi"/>
          <w:sz w:val="22"/>
        </w:rPr>
        <w:t xml:space="preserve">2002 r. Jednocześnie w tym samym okresie zaobserwować można wzrost liczby ludności zamieszkującej gminy powiatu legnickiego o blisko 1 800 osób.   </w:t>
      </w:r>
    </w:p>
    <w:p w:rsidR="000535DD" w:rsidRPr="007F6382" w:rsidRDefault="000535DD"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1</w:t>
      </w:r>
      <w:r w:rsidR="005A0296" w:rsidRPr="007F6382">
        <w:rPr>
          <w:rFonts w:asciiTheme="minorHAnsi" w:hAnsiTheme="minorHAnsi"/>
          <w:sz w:val="20"/>
          <w:szCs w:val="22"/>
        </w:rPr>
        <w:fldChar w:fldCharType="end"/>
      </w:r>
      <w:r w:rsidRPr="007F6382">
        <w:rPr>
          <w:rFonts w:asciiTheme="minorHAnsi" w:hAnsiTheme="minorHAnsi"/>
          <w:sz w:val="20"/>
          <w:szCs w:val="22"/>
        </w:rPr>
        <w:t>. Ludność faktycznie zamieszkała w Legnicy i powiecie legnickim w latach 2002-2012.</w:t>
      </w:r>
    </w:p>
    <w:p w:rsidR="000535DD" w:rsidRPr="00563EF2" w:rsidRDefault="000535DD" w:rsidP="00FD7676">
      <w:pPr>
        <w:rPr>
          <w:rFonts w:asciiTheme="minorHAnsi" w:hAnsiTheme="minorHAnsi"/>
          <w:sz w:val="22"/>
        </w:rPr>
      </w:pPr>
      <w:r w:rsidRPr="00563EF2">
        <w:rPr>
          <w:rFonts w:asciiTheme="minorHAnsi" w:hAnsiTheme="minorHAnsi"/>
          <w:noProof/>
          <w:sz w:val="22"/>
          <w:lang w:eastAsia="pl-PL"/>
        </w:rPr>
        <w:drawing>
          <wp:inline distT="0" distB="0" distL="0" distR="0" wp14:anchorId="3D543F33" wp14:editId="640950E1">
            <wp:extent cx="5613400" cy="2743200"/>
            <wp:effectExtent l="19050" t="0" r="2540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35DD" w:rsidRPr="002E2D3F" w:rsidRDefault="000535DD" w:rsidP="00FD7676">
      <w:pPr>
        <w:rPr>
          <w:rFonts w:asciiTheme="minorHAnsi" w:hAnsiTheme="minorHAnsi"/>
          <w:sz w:val="20"/>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xml:space="preserve"> GUS.</w:t>
      </w:r>
    </w:p>
    <w:p w:rsidR="000535DD" w:rsidRPr="00563EF2" w:rsidRDefault="000535DD" w:rsidP="00FD7676">
      <w:pPr>
        <w:rPr>
          <w:rFonts w:asciiTheme="minorHAnsi" w:hAnsiTheme="minorHAnsi"/>
          <w:sz w:val="22"/>
        </w:rPr>
      </w:pPr>
    </w:p>
    <w:p w:rsidR="000535DD" w:rsidRPr="00563EF2" w:rsidRDefault="000535DD" w:rsidP="00FD7676">
      <w:pPr>
        <w:rPr>
          <w:rFonts w:asciiTheme="minorHAnsi" w:hAnsiTheme="minorHAnsi"/>
          <w:sz w:val="22"/>
        </w:rPr>
      </w:pPr>
      <w:r w:rsidRPr="00563EF2">
        <w:rPr>
          <w:rFonts w:asciiTheme="minorHAnsi" w:hAnsiTheme="minorHAnsi"/>
          <w:sz w:val="22"/>
        </w:rPr>
        <w:t>Przyrost naturalny w latach 2007-2012 nie osiągał dodatnich poziomów, a od 2010 r. widoczny jest jego spadek. Wpływ na to ma utrzymujący się wysoki poziom zgonów, przewyższający, choć nieznacznie</w:t>
      </w:r>
      <w:r w:rsidR="00442F34" w:rsidRPr="00563EF2">
        <w:rPr>
          <w:rFonts w:asciiTheme="minorHAnsi" w:hAnsiTheme="minorHAnsi"/>
          <w:sz w:val="22"/>
        </w:rPr>
        <w:t>,</w:t>
      </w:r>
      <w:r w:rsidRPr="00563EF2">
        <w:rPr>
          <w:rFonts w:asciiTheme="minorHAnsi" w:hAnsiTheme="minorHAnsi"/>
          <w:sz w:val="22"/>
        </w:rPr>
        <w:t xml:space="preserve"> wskaźnik urodzeń żywych. W przypadku wskaźnika zawieranych małżeństw w latach 2008-2011 widoczny był jego stopniowy spadek, jednak w 2012 r. odnotowano niewielki wzrost tego wskaźnika i wynosił on 5,3.  </w:t>
      </w:r>
    </w:p>
    <w:p w:rsidR="000535DD" w:rsidRPr="007F6382" w:rsidRDefault="000535DD"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07DD7"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7</w:t>
      </w:r>
      <w:r w:rsidR="00017794" w:rsidRPr="007F6382">
        <w:rPr>
          <w:rFonts w:asciiTheme="minorHAnsi" w:hAnsiTheme="minorHAnsi"/>
          <w:sz w:val="20"/>
          <w:szCs w:val="22"/>
        </w:rPr>
        <w:fldChar w:fldCharType="end"/>
      </w:r>
      <w:r w:rsidRPr="007F6382">
        <w:rPr>
          <w:rFonts w:asciiTheme="minorHAnsi" w:hAnsiTheme="minorHAnsi"/>
          <w:sz w:val="20"/>
          <w:szCs w:val="22"/>
        </w:rPr>
        <w:t>. Wskaźniki ruchu naturalnego ludności w latach 2007-2012.</w:t>
      </w:r>
    </w:p>
    <w:tbl>
      <w:tblPr>
        <w:tblStyle w:val="Jasnasiatkaakcent5"/>
        <w:tblW w:w="9133" w:type="dxa"/>
        <w:tblLook w:val="04A0" w:firstRow="1" w:lastRow="0" w:firstColumn="1" w:lastColumn="0" w:noHBand="0" w:noVBand="1"/>
      </w:tblPr>
      <w:tblGrid>
        <w:gridCol w:w="3091"/>
        <w:gridCol w:w="1007"/>
        <w:gridCol w:w="1007"/>
        <w:gridCol w:w="1007"/>
        <w:gridCol w:w="1007"/>
        <w:gridCol w:w="1007"/>
        <w:gridCol w:w="1007"/>
      </w:tblGrid>
      <w:tr w:rsidR="000535DD" w:rsidRPr="00546BC9" w:rsidTr="00546BC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1" w:type="dxa"/>
            <w:noWrap/>
            <w:hideMark/>
          </w:tcPr>
          <w:p w:rsidR="000535DD" w:rsidRPr="00546BC9" w:rsidRDefault="000535DD" w:rsidP="00FD7676">
            <w:pPr>
              <w:rPr>
                <w:rFonts w:asciiTheme="minorHAnsi" w:eastAsia="Times New Roman" w:hAnsiTheme="minorHAnsi" w:cs="Arial"/>
                <w:b w:val="0"/>
                <w:sz w:val="22"/>
              </w:rPr>
            </w:pPr>
            <w:r w:rsidRPr="00546BC9">
              <w:rPr>
                <w:rFonts w:asciiTheme="minorHAnsi" w:eastAsia="Times New Roman" w:hAnsiTheme="minorHAnsi" w:cs="Arial"/>
                <w:sz w:val="22"/>
              </w:rPr>
              <w:t>Wskaźniki na 1000 mieszkańców</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2007</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2008</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2009</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2010</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2011</w:t>
            </w:r>
          </w:p>
        </w:tc>
        <w:tc>
          <w:tcPr>
            <w:tcW w:w="1007" w:type="dxa"/>
            <w:noWrap/>
            <w:hideMark/>
          </w:tcPr>
          <w:p w:rsidR="000535DD" w:rsidRPr="00546BC9" w:rsidRDefault="000535DD"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rPr>
            </w:pPr>
            <w:r w:rsidRPr="00546BC9">
              <w:rPr>
                <w:rFonts w:asciiTheme="minorHAnsi" w:eastAsia="Times New Roman" w:hAnsiTheme="minorHAnsi" w:cs="Arial"/>
                <w:sz w:val="22"/>
              </w:rPr>
              <w:t>2012</w:t>
            </w:r>
          </w:p>
        </w:tc>
      </w:tr>
      <w:tr w:rsidR="000535DD" w:rsidRPr="00546BC9" w:rsidTr="00546BC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1" w:type="dxa"/>
            <w:noWrap/>
            <w:hideMark/>
          </w:tcPr>
          <w:p w:rsidR="000535DD" w:rsidRPr="00546BC9" w:rsidRDefault="000535DD" w:rsidP="00FD7676">
            <w:pPr>
              <w:rPr>
                <w:rFonts w:asciiTheme="minorHAnsi" w:eastAsia="Times New Roman" w:hAnsiTheme="minorHAnsi" w:cs="Arial"/>
                <w:b w:val="0"/>
                <w:sz w:val="22"/>
              </w:rPr>
            </w:pPr>
            <w:r w:rsidRPr="00546BC9">
              <w:rPr>
                <w:rFonts w:asciiTheme="minorHAnsi" w:eastAsia="Times New Roman" w:hAnsiTheme="minorHAnsi" w:cs="Arial"/>
                <w:sz w:val="22"/>
              </w:rPr>
              <w:t>zgony</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10,1</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10,7</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10,3</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10,1</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10,4</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10,7</w:t>
            </w:r>
          </w:p>
        </w:tc>
      </w:tr>
      <w:tr w:rsidR="000535DD" w:rsidRPr="00546BC9" w:rsidTr="00546BC9">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1" w:type="dxa"/>
            <w:noWrap/>
            <w:hideMark/>
          </w:tcPr>
          <w:p w:rsidR="000535DD" w:rsidRPr="00546BC9" w:rsidRDefault="000535DD" w:rsidP="00FD7676">
            <w:pPr>
              <w:rPr>
                <w:rFonts w:asciiTheme="minorHAnsi" w:eastAsia="Times New Roman" w:hAnsiTheme="minorHAnsi" w:cs="Arial"/>
                <w:b w:val="0"/>
                <w:sz w:val="22"/>
              </w:rPr>
            </w:pPr>
            <w:r w:rsidRPr="00546BC9">
              <w:rPr>
                <w:rFonts w:asciiTheme="minorHAnsi" w:eastAsia="Times New Roman" w:hAnsiTheme="minorHAnsi" w:cs="Arial"/>
                <w:sz w:val="22"/>
              </w:rPr>
              <w:t>przyrost naturalny</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-0,2</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-0,9</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-0,6</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0,0</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-1,4</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-1,5</w:t>
            </w:r>
          </w:p>
        </w:tc>
      </w:tr>
      <w:tr w:rsidR="000535DD" w:rsidRPr="00546BC9" w:rsidTr="00546BC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1" w:type="dxa"/>
            <w:noWrap/>
            <w:hideMark/>
          </w:tcPr>
          <w:p w:rsidR="000535DD" w:rsidRPr="00546BC9" w:rsidRDefault="000535DD" w:rsidP="00FD7676">
            <w:pPr>
              <w:rPr>
                <w:rFonts w:asciiTheme="minorHAnsi" w:eastAsia="Times New Roman" w:hAnsiTheme="minorHAnsi" w:cs="Arial"/>
                <w:b w:val="0"/>
                <w:sz w:val="22"/>
              </w:rPr>
            </w:pPr>
            <w:r w:rsidRPr="00546BC9">
              <w:rPr>
                <w:rFonts w:asciiTheme="minorHAnsi" w:eastAsia="Times New Roman" w:hAnsiTheme="minorHAnsi" w:cs="Arial"/>
                <w:sz w:val="22"/>
              </w:rPr>
              <w:t>urodzenia żywe</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9,9</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9,8</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9,7</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10,2</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9,0</w:t>
            </w:r>
          </w:p>
        </w:tc>
        <w:tc>
          <w:tcPr>
            <w:tcW w:w="1007" w:type="dxa"/>
            <w:noWrap/>
            <w:hideMark/>
          </w:tcPr>
          <w:p w:rsidR="000535DD" w:rsidRPr="00546BC9" w:rsidRDefault="000535DD"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9,1</w:t>
            </w:r>
          </w:p>
        </w:tc>
      </w:tr>
      <w:tr w:rsidR="000535DD" w:rsidRPr="00546BC9" w:rsidTr="00546BC9">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1" w:type="dxa"/>
            <w:noWrap/>
            <w:hideMark/>
          </w:tcPr>
          <w:p w:rsidR="000535DD" w:rsidRPr="00546BC9" w:rsidRDefault="000535DD" w:rsidP="00FD7676">
            <w:pPr>
              <w:rPr>
                <w:rFonts w:asciiTheme="minorHAnsi" w:eastAsia="Times New Roman" w:hAnsiTheme="minorHAnsi" w:cs="Arial"/>
                <w:b w:val="0"/>
                <w:sz w:val="22"/>
              </w:rPr>
            </w:pPr>
            <w:r w:rsidRPr="00546BC9">
              <w:rPr>
                <w:rFonts w:asciiTheme="minorHAnsi" w:eastAsia="Times New Roman" w:hAnsiTheme="minorHAnsi" w:cs="Arial"/>
                <w:sz w:val="22"/>
              </w:rPr>
              <w:t>małżeństwa zawarte w ciągu roku</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6,1</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6,2</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5,9</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5,7</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5,0</w:t>
            </w:r>
          </w:p>
        </w:tc>
        <w:tc>
          <w:tcPr>
            <w:tcW w:w="1007" w:type="dxa"/>
            <w:noWrap/>
            <w:hideMark/>
          </w:tcPr>
          <w:p w:rsidR="000535DD" w:rsidRPr="00546BC9" w:rsidRDefault="000535DD"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5,3</w:t>
            </w:r>
          </w:p>
        </w:tc>
      </w:tr>
    </w:tbl>
    <w:p w:rsidR="000535DD" w:rsidRPr="002E2D3F" w:rsidRDefault="000535DD" w:rsidP="00FD7676">
      <w:pPr>
        <w:rPr>
          <w:rFonts w:asciiTheme="minorHAnsi" w:hAnsiTheme="minorHAnsi"/>
          <w:sz w:val="20"/>
        </w:rPr>
      </w:pPr>
      <w:r w:rsidRPr="002E2D3F">
        <w:rPr>
          <w:rFonts w:asciiTheme="minorHAnsi" w:hAnsiTheme="minorHAnsi"/>
          <w:sz w:val="20"/>
        </w:rPr>
        <w:t xml:space="preserve">Źródło: </w:t>
      </w:r>
      <w:r w:rsidRPr="002E2D3F">
        <w:rPr>
          <w:rFonts w:asciiTheme="minorHAnsi" w:hAnsiTheme="minorHAnsi"/>
          <w:i/>
          <w:sz w:val="20"/>
        </w:rPr>
        <w:t>Bank Danych Lokalnych,</w:t>
      </w:r>
      <w:r w:rsidRPr="002E2D3F">
        <w:rPr>
          <w:rFonts w:asciiTheme="minorHAnsi" w:hAnsiTheme="minorHAnsi"/>
          <w:sz w:val="20"/>
        </w:rPr>
        <w:t xml:space="preserve"> GUS.</w:t>
      </w:r>
    </w:p>
    <w:p w:rsidR="00706540" w:rsidRPr="007F6382" w:rsidRDefault="00706540"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2</w:t>
      </w:r>
      <w:r w:rsidR="005A0296" w:rsidRPr="007F6382">
        <w:rPr>
          <w:rFonts w:asciiTheme="minorHAnsi" w:hAnsiTheme="minorHAnsi"/>
          <w:sz w:val="20"/>
          <w:szCs w:val="22"/>
        </w:rPr>
        <w:fldChar w:fldCharType="end"/>
      </w:r>
      <w:r w:rsidRPr="007F6382">
        <w:rPr>
          <w:rFonts w:asciiTheme="minorHAnsi" w:hAnsiTheme="minorHAnsi"/>
          <w:sz w:val="20"/>
          <w:szCs w:val="22"/>
        </w:rPr>
        <w:t>. Saldo migracji ludności w Legnicy w latach 2002-2012</w:t>
      </w:r>
    </w:p>
    <w:p w:rsidR="00706540" w:rsidRPr="00563EF2" w:rsidRDefault="00706540" w:rsidP="00FD7676">
      <w:pPr>
        <w:rPr>
          <w:rFonts w:asciiTheme="minorHAnsi" w:hAnsiTheme="minorHAnsi"/>
          <w:sz w:val="22"/>
        </w:rPr>
      </w:pPr>
      <w:r w:rsidRPr="00563EF2">
        <w:rPr>
          <w:rFonts w:asciiTheme="minorHAnsi" w:hAnsiTheme="minorHAnsi"/>
          <w:noProof/>
          <w:sz w:val="22"/>
          <w:lang w:eastAsia="pl-PL"/>
        </w:rPr>
        <w:drawing>
          <wp:inline distT="0" distB="0" distL="0" distR="0" wp14:anchorId="5470C145" wp14:editId="04B365BD">
            <wp:extent cx="5760720" cy="2743200"/>
            <wp:effectExtent l="0" t="0" r="11430" b="0"/>
            <wp:docPr id="2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6540" w:rsidRPr="002E2D3F" w:rsidRDefault="00706540" w:rsidP="00FD7676">
      <w:pPr>
        <w:rPr>
          <w:rFonts w:asciiTheme="minorHAnsi" w:hAnsiTheme="minorHAnsi"/>
          <w:sz w:val="20"/>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xml:space="preserve">, GUS. </w:t>
      </w:r>
    </w:p>
    <w:p w:rsidR="00706540" w:rsidRPr="007F6382" w:rsidRDefault="00706540"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3</w:t>
      </w:r>
      <w:r w:rsidR="005A0296" w:rsidRPr="007F6382">
        <w:rPr>
          <w:rFonts w:asciiTheme="minorHAnsi" w:hAnsiTheme="minorHAnsi"/>
          <w:sz w:val="20"/>
          <w:szCs w:val="22"/>
        </w:rPr>
        <w:fldChar w:fldCharType="end"/>
      </w:r>
      <w:r w:rsidRPr="007F6382">
        <w:rPr>
          <w:rFonts w:asciiTheme="minorHAnsi" w:hAnsiTheme="minorHAnsi"/>
          <w:sz w:val="20"/>
          <w:szCs w:val="22"/>
        </w:rPr>
        <w:t>. Saldo migracji wewnętrznych w Legnicy i gminach powiatu legnickiego (okres 2009-2012)</w:t>
      </w:r>
    </w:p>
    <w:p w:rsidR="00706540" w:rsidRPr="00563EF2" w:rsidRDefault="00D027AA" w:rsidP="00FD7676">
      <w:pPr>
        <w:rPr>
          <w:rFonts w:asciiTheme="minorHAnsi" w:hAnsiTheme="minorHAnsi"/>
          <w:sz w:val="22"/>
        </w:rPr>
      </w:pPr>
      <w:r>
        <w:rPr>
          <w:noProof/>
          <w:lang w:eastAsia="pl-PL"/>
        </w:rPr>
        <w:drawing>
          <wp:inline distT="0" distB="0" distL="0" distR="0" wp14:anchorId="7152A5D3" wp14:editId="0AB08944">
            <wp:extent cx="6056415" cy="2814452"/>
            <wp:effectExtent l="0" t="0" r="1905" b="5080"/>
            <wp:docPr id="136" name="Wykres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6540" w:rsidRPr="00563EF2" w:rsidRDefault="00706540" w:rsidP="00FD7676">
      <w:pPr>
        <w:rPr>
          <w:rFonts w:asciiTheme="minorHAnsi" w:hAnsiTheme="minorHAnsi"/>
          <w:sz w:val="22"/>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xml:space="preserve"> GUS. </w:t>
      </w:r>
    </w:p>
    <w:p w:rsidR="00706540" w:rsidRPr="00563EF2" w:rsidRDefault="00706540" w:rsidP="00FD7676">
      <w:pPr>
        <w:rPr>
          <w:rFonts w:asciiTheme="minorHAnsi" w:hAnsiTheme="minorHAnsi"/>
          <w:sz w:val="22"/>
        </w:rPr>
      </w:pPr>
    </w:p>
    <w:p w:rsidR="00215C32" w:rsidRPr="00563EF2" w:rsidRDefault="000535DD" w:rsidP="00FD7676">
      <w:pPr>
        <w:rPr>
          <w:rFonts w:asciiTheme="minorHAnsi" w:hAnsiTheme="minorHAnsi"/>
          <w:sz w:val="22"/>
        </w:rPr>
      </w:pPr>
      <w:r w:rsidRPr="00563EF2">
        <w:rPr>
          <w:rFonts w:asciiTheme="minorHAnsi" w:hAnsiTheme="minorHAnsi"/>
          <w:sz w:val="22"/>
        </w:rPr>
        <w:t>Saldo migracji ludności w latach 2002-2012 utrzymywało wysoki ujemny poziom. Najwyższe poziomy osiągnięte zostały po wstąpieniu Polski do UE w latach 2004-2007, kiedy oprócz wysokiego poziomu migracji wewnętrznych można zaobserwować znaczny odpływ mieszkańców za granicę kraju.</w:t>
      </w:r>
      <w:r w:rsidR="002417C3" w:rsidRPr="00563EF2">
        <w:rPr>
          <w:rFonts w:asciiTheme="minorHAnsi" w:hAnsiTheme="minorHAnsi"/>
          <w:sz w:val="22"/>
        </w:rPr>
        <w:t xml:space="preserve"> Obecnie, p</w:t>
      </w:r>
      <w:r w:rsidRPr="00563EF2">
        <w:rPr>
          <w:rFonts w:asciiTheme="minorHAnsi" w:hAnsiTheme="minorHAnsi"/>
          <w:sz w:val="22"/>
        </w:rPr>
        <w:t>o</w:t>
      </w:r>
      <w:r w:rsidR="00215C32" w:rsidRPr="00563EF2">
        <w:rPr>
          <w:rFonts w:asciiTheme="minorHAnsi" w:hAnsiTheme="minorHAnsi"/>
          <w:sz w:val="22"/>
        </w:rPr>
        <w:t xml:space="preserve"> okresie zmniejszania się</w:t>
      </w:r>
      <w:r w:rsidRPr="00563EF2">
        <w:rPr>
          <w:rFonts w:asciiTheme="minorHAnsi" w:hAnsiTheme="minorHAnsi"/>
          <w:sz w:val="22"/>
        </w:rPr>
        <w:t xml:space="preserve"> ujemnego salda migracji</w:t>
      </w:r>
      <w:r w:rsidR="00215C32" w:rsidRPr="00563EF2">
        <w:rPr>
          <w:rFonts w:asciiTheme="minorHAnsi" w:hAnsiTheme="minorHAnsi"/>
          <w:sz w:val="22"/>
        </w:rPr>
        <w:t xml:space="preserve"> do 2009 r.</w:t>
      </w:r>
      <w:r w:rsidRPr="00563EF2">
        <w:rPr>
          <w:rFonts w:asciiTheme="minorHAnsi" w:hAnsiTheme="minorHAnsi"/>
          <w:sz w:val="22"/>
        </w:rPr>
        <w:t>,</w:t>
      </w:r>
      <w:r w:rsidR="00215C32" w:rsidRPr="00563EF2">
        <w:rPr>
          <w:rFonts w:asciiTheme="minorHAnsi" w:hAnsiTheme="minorHAnsi"/>
          <w:sz w:val="22"/>
        </w:rPr>
        <w:t xml:space="preserve"> </w:t>
      </w:r>
      <w:r w:rsidRPr="00563EF2">
        <w:rPr>
          <w:rFonts w:asciiTheme="minorHAnsi" w:hAnsiTheme="minorHAnsi"/>
          <w:sz w:val="22"/>
        </w:rPr>
        <w:t>można zaobserwować ponowny wzrost odpływu mieszkańców z Legnicy.</w:t>
      </w:r>
      <w:r w:rsidR="00706540" w:rsidRPr="00563EF2">
        <w:rPr>
          <w:rFonts w:asciiTheme="minorHAnsi" w:hAnsiTheme="minorHAnsi"/>
          <w:sz w:val="22"/>
        </w:rPr>
        <w:t xml:space="preserve"> W 2012 r. saldo migracji wynosiło ogółem -366 osób, z tego 73 osoby wyemigrowały za granicę kraju. </w:t>
      </w:r>
      <w:r w:rsidRPr="00563EF2">
        <w:rPr>
          <w:rFonts w:asciiTheme="minorHAnsi" w:hAnsiTheme="minorHAnsi"/>
          <w:sz w:val="22"/>
        </w:rPr>
        <w:t xml:space="preserve">Znaczna część migracji wewnętrznych spowodowana jest osiedlaniem się mieszkańców Legnicy na obrzeżach Miasta na terenie gmin okalających Legnicę. Świadczy o tym wzrost ogólnej populacji i utrzymywanie się dodatniego salda migracji wewnętrznych na terenie powiatu legnickiego, przy odwrotnej tendencji w samym mieście. </w:t>
      </w:r>
    </w:p>
    <w:p w:rsidR="00AF63BD" w:rsidRPr="007F6382" w:rsidRDefault="00AF63BD"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4</w:t>
      </w:r>
      <w:r w:rsidR="005A0296" w:rsidRPr="007F6382">
        <w:rPr>
          <w:rFonts w:asciiTheme="minorHAnsi" w:hAnsiTheme="minorHAnsi"/>
          <w:sz w:val="20"/>
          <w:szCs w:val="22"/>
        </w:rPr>
        <w:fldChar w:fldCharType="end"/>
      </w:r>
      <w:r w:rsidRPr="007F6382">
        <w:rPr>
          <w:rFonts w:asciiTheme="minorHAnsi" w:hAnsiTheme="minorHAnsi"/>
          <w:sz w:val="20"/>
          <w:szCs w:val="22"/>
        </w:rPr>
        <w:t>. Piramida wieku ludności Miasta Legnica w 2012 r.</w:t>
      </w:r>
    </w:p>
    <w:p w:rsidR="00AF63BD" w:rsidRPr="00563EF2" w:rsidRDefault="00AF63BD" w:rsidP="00FD7676">
      <w:pPr>
        <w:rPr>
          <w:rFonts w:asciiTheme="minorHAnsi" w:hAnsiTheme="minorHAnsi"/>
          <w:sz w:val="22"/>
        </w:rPr>
      </w:pPr>
      <w:r w:rsidRPr="00563EF2">
        <w:rPr>
          <w:rFonts w:asciiTheme="minorHAnsi" w:hAnsiTheme="minorHAnsi"/>
          <w:noProof/>
          <w:sz w:val="22"/>
          <w:lang w:eastAsia="pl-PL"/>
        </w:rPr>
        <w:drawing>
          <wp:inline distT="0" distB="0" distL="0" distR="0" wp14:anchorId="318EA1B0" wp14:editId="47DDA851">
            <wp:extent cx="5868670" cy="2945219"/>
            <wp:effectExtent l="0" t="0" r="17780" b="7620"/>
            <wp:docPr id="4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63BD" w:rsidRPr="002E2D3F" w:rsidRDefault="00AF63BD" w:rsidP="00FD7676">
      <w:pPr>
        <w:pStyle w:val="Legenda"/>
        <w:keepNext/>
        <w:spacing w:line="276" w:lineRule="auto"/>
        <w:rPr>
          <w:rFonts w:asciiTheme="minorHAnsi" w:hAnsiTheme="minorHAnsi"/>
          <w:color w:val="000000" w:themeColor="text1"/>
          <w:sz w:val="20"/>
          <w:szCs w:val="22"/>
        </w:rPr>
      </w:pPr>
      <w:r w:rsidRPr="002E2D3F">
        <w:rPr>
          <w:rFonts w:asciiTheme="minorHAnsi" w:hAnsiTheme="minorHAnsi"/>
          <w:i w:val="0"/>
          <w:color w:val="000000" w:themeColor="text1"/>
          <w:sz w:val="20"/>
          <w:szCs w:val="22"/>
        </w:rPr>
        <w:t xml:space="preserve">Źródło: Opracowanie własne na podstawie: </w:t>
      </w:r>
      <w:r w:rsidRPr="002E2D3F">
        <w:rPr>
          <w:rFonts w:asciiTheme="minorHAnsi" w:hAnsiTheme="minorHAnsi"/>
          <w:color w:val="000000" w:themeColor="text1"/>
          <w:sz w:val="20"/>
          <w:szCs w:val="22"/>
        </w:rPr>
        <w:t xml:space="preserve">Bank Danych Lokalnych, </w:t>
      </w:r>
      <w:r w:rsidRPr="002E2D3F">
        <w:rPr>
          <w:rFonts w:asciiTheme="minorHAnsi" w:hAnsiTheme="minorHAnsi"/>
          <w:i w:val="0"/>
          <w:color w:val="000000" w:themeColor="text1"/>
          <w:sz w:val="20"/>
          <w:szCs w:val="22"/>
        </w:rPr>
        <w:t>GUS.</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F63BD" w:rsidRPr="00563EF2" w:rsidTr="00A84816">
        <w:trPr>
          <w:trHeight w:val="291"/>
        </w:trPr>
        <w:tc>
          <w:tcPr>
            <w:tcW w:w="9072" w:type="dxa"/>
          </w:tcPr>
          <w:p w:rsidR="00A84816" w:rsidRDefault="000535DD" w:rsidP="00981782">
            <w:pPr>
              <w:rPr>
                <w:rFonts w:asciiTheme="minorHAnsi" w:hAnsiTheme="minorHAnsi"/>
                <w:sz w:val="22"/>
              </w:rPr>
            </w:pPr>
            <w:r w:rsidRPr="00563EF2">
              <w:rPr>
                <w:rFonts w:asciiTheme="minorHAnsi" w:hAnsiTheme="minorHAnsi"/>
                <w:sz w:val="22"/>
              </w:rPr>
              <w:t>Struktura wiekowa społeczeństwa w 2012 r. kształtowała się następująco: ludność w wieku przedprodukcyjnym stanowiła 16,5%, ludność w wieku produkcyjnym 64,7%, natomiast osoby w wieku poprodukcyjnym 18,8%.</w:t>
            </w:r>
            <w:r w:rsidR="00AF63BD" w:rsidRPr="00563EF2">
              <w:rPr>
                <w:rFonts w:asciiTheme="minorHAnsi" w:hAnsiTheme="minorHAnsi"/>
              </w:rPr>
              <w:t xml:space="preserve"> </w:t>
            </w:r>
            <w:r w:rsidR="00AF63BD" w:rsidRPr="00563EF2">
              <w:rPr>
                <w:rFonts w:asciiTheme="minorHAnsi" w:hAnsiTheme="minorHAnsi"/>
                <w:sz w:val="22"/>
              </w:rPr>
              <w:t>Wg opracowań ONZ</w:t>
            </w:r>
            <w:r w:rsidR="00DC2D17">
              <w:rPr>
                <w:rFonts w:asciiTheme="minorHAnsi" w:hAnsiTheme="minorHAnsi"/>
                <w:sz w:val="22"/>
              </w:rPr>
              <w:t>,</w:t>
            </w:r>
            <w:r w:rsidR="00AF63BD" w:rsidRPr="00563EF2">
              <w:rPr>
                <w:rFonts w:asciiTheme="minorHAnsi" w:hAnsiTheme="minorHAnsi"/>
                <w:sz w:val="22"/>
              </w:rPr>
              <w:t xml:space="preserve"> jeżeli w strukturze ludności odsetek osób w wieku poprodukcyjnym (powyżej 65 lat) stanowi ponad 10%, mówimy o przekroczeniu progu starości zaawansowanej społeczeństwa.  Legnica</w:t>
            </w:r>
            <w:r w:rsidR="00DC2D17">
              <w:rPr>
                <w:rFonts w:asciiTheme="minorHAnsi" w:hAnsiTheme="minorHAnsi"/>
                <w:sz w:val="22"/>
              </w:rPr>
              <w:t>,</w:t>
            </w:r>
            <w:r w:rsidR="00AF63BD" w:rsidRPr="00563EF2">
              <w:rPr>
                <w:rFonts w:asciiTheme="minorHAnsi" w:hAnsiTheme="minorHAnsi"/>
                <w:sz w:val="22"/>
              </w:rPr>
              <w:t xml:space="preserve"> podobnie jak większość miast Dolnego Śląska znacznie przekracza ten próg, co oznacza osiągnięcie późnego stadium starości społeczeństwa. </w:t>
            </w:r>
          </w:p>
          <w:p w:rsidR="00A84816" w:rsidRDefault="00A84816" w:rsidP="00981782">
            <w:pPr>
              <w:rPr>
                <w:rFonts w:asciiTheme="minorHAnsi" w:hAnsiTheme="minorHAnsi"/>
                <w:sz w:val="22"/>
              </w:rPr>
            </w:pPr>
          </w:p>
          <w:p w:rsidR="00981782" w:rsidRPr="00563EF2" w:rsidRDefault="00981782" w:rsidP="00A84816">
            <w:pPr>
              <w:rPr>
                <w:rFonts w:asciiTheme="minorHAnsi" w:hAnsiTheme="minorHAnsi"/>
                <w:sz w:val="22"/>
              </w:rPr>
            </w:pPr>
            <w:r w:rsidRPr="00563EF2">
              <w:rPr>
                <w:rFonts w:asciiTheme="minorHAnsi" w:hAnsiTheme="minorHAnsi"/>
                <w:sz w:val="22"/>
              </w:rPr>
              <w:t>Wskaźnik obciążenia demograficznego w 2012 r. wynosił 54,6 i od siedmiu lat systematycznie wzrastał.  Prognoza demograficzna wykonana przez GUS pokazuje, iż w przeciągu najbliższych 20 lat ludność zamieszkująca Legnicę będzie systematycznie spadać, a w 2035 r. osiągnie poz</w:t>
            </w:r>
            <w:r w:rsidR="00BC5391">
              <w:rPr>
                <w:rFonts w:asciiTheme="minorHAnsi" w:hAnsiTheme="minorHAnsi"/>
                <w:sz w:val="22"/>
              </w:rPr>
              <w:t>iom 88 549 mieszkańców, czyli o </w:t>
            </w:r>
            <w:r w:rsidRPr="00563EF2">
              <w:rPr>
                <w:rFonts w:asciiTheme="minorHAnsi" w:hAnsiTheme="minorHAnsi"/>
                <w:sz w:val="22"/>
              </w:rPr>
              <w:t>ponad 13,8 tys. osób (13,5%) mniej</w:t>
            </w:r>
            <w:r w:rsidR="00DC2D17">
              <w:rPr>
                <w:rFonts w:asciiTheme="minorHAnsi" w:hAnsiTheme="minorHAnsi"/>
                <w:sz w:val="22"/>
              </w:rPr>
              <w:t>,</w:t>
            </w:r>
            <w:r w:rsidRPr="00563EF2">
              <w:rPr>
                <w:rFonts w:asciiTheme="minorHAnsi" w:hAnsiTheme="minorHAnsi"/>
                <w:sz w:val="22"/>
              </w:rPr>
              <w:t xml:space="preserve"> aniżeli w 2012 r. Udział mężczyzn w ogóle populacji zmieni się nieznacznie (47%), natomiast wyraźnie wzrośnie udział osób w wieku poprodukcyjnym (29,9%).</w:t>
            </w:r>
          </w:p>
          <w:p w:rsidR="00981782" w:rsidRPr="007F6382" w:rsidRDefault="00981782" w:rsidP="00981782">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Pr="007F6382">
              <w:rPr>
                <w:rFonts w:asciiTheme="minorHAnsi" w:hAnsiTheme="minorHAnsi"/>
                <w:sz w:val="20"/>
                <w:szCs w:val="22"/>
              </w:rPr>
              <w:fldChar w:fldCharType="begin"/>
            </w:r>
            <w:r w:rsidRPr="007F6382">
              <w:rPr>
                <w:rFonts w:asciiTheme="minorHAnsi" w:hAnsiTheme="minorHAnsi"/>
                <w:sz w:val="20"/>
                <w:szCs w:val="22"/>
              </w:rPr>
              <w:instrText xml:space="preserve"> SEQ Wykres \* ARABIC </w:instrText>
            </w:r>
            <w:r w:rsidRPr="007F6382">
              <w:rPr>
                <w:rFonts w:asciiTheme="minorHAnsi" w:hAnsiTheme="minorHAnsi"/>
                <w:sz w:val="20"/>
                <w:szCs w:val="22"/>
              </w:rPr>
              <w:fldChar w:fldCharType="separate"/>
            </w:r>
            <w:r w:rsidR="007B2916">
              <w:rPr>
                <w:rFonts w:asciiTheme="minorHAnsi" w:hAnsiTheme="minorHAnsi"/>
                <w:noProof/>
                <w:sz w:val="20"/>
                <w:szCs w:val="22"/>
              </w:rPr>
              <w:t>5</w:t>
            </w:r>
            <w:r w:rsidRPr="007F6382">
              <w:rPr>
                <w:rFonts w:asciiTheme="minorHAnsi" w:hAnsiTheme="minorHAnsi"/>
                <w:sz w:val="20"/>
                <w:szCs w:val="22"/>
              </w:rPr>
              <w:fldChar w:fldCharType="end"/>
            </w:r>
            <w:r w:rsidRPr="007F6382">
              <w:rPr>
                <w:rFonts w:asciiTheme="minorHAnsi" w:hAnsiTheme="minorHAnsi"/>
                <w:sz w:val="20"/>
                <w:szCs w:val="22"/>
              </w:rPr>
              <w:t>. Prognoza liczby ludności zamieszkującej Legnicę na lata 2012-2035</w:t>
            </w:r>
          </w:p>
          <w:p w:rsidR="00981782" w:rsidRPr="00563EF2" w:rsidRDefault="00981782" w:rsidP="00981782">
            <w:pPr>
              <w:rPr>
                <w:rFonts w:asciiTheme="minorHAnsi" w:hAnsiTheme="minorHAnsi"/>
                <w:sz w:val="22"/>
              </w:rPr>
            </w:pPr>
            <w:r w:rsidRPr="00563EF2">
              <w:rPr>
                <w:rFonts w:asciiTheme="minorHAnsi" w:hAnsiTheme="minorHAnsi"/>
                <w:noProof/>
                <w:sz w:val="22"/>
                <w:lang w:eastAsia="pl-PL"/>
              </w:rPr>
              <w:drawing>
                <wp:inline distT="0" distB="0" distL="0" distR="0" wp14:anchorId="1D8EFAED" wp14:editId="113D253A">
                  <wp:extent cx="5057775" cy="202882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38DE" w:rsidRPr="00A84816" w:rsidRDefault="00981782" w:rsidP="00A84816">
            <w:pPr>
              <w:rPr>
                <w:rFonts w:asciiTheme="minorHAnsi" w:hAnsiTheme="minorHAnsi"/>
                <w:sz w:val="20"/>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xml:space="preserve">, GUS. </w:t>
            </w:r>
          </w:p>
          <w:p w:rsidR="00AF63BD" w:rsidRPr="00563EF2" w:rsidRDefault="006F38DE" w:rsidP="00FD7676">
            <w:pPr>
              <w:spacing w:after="200"/>
              <w:rPr>
                <w:rFonts w:asciiTheme="minorHAnsi" w:hAnsiTheme="minorHAnsi"/>
              </w:rPr>
            </w:pPr>
            <w:r>
              <w:rPr>
                <w:rFonts w:asciiTheme="minorHAnsi" w:hAnsiTheme="minorHAnsi"/>
                <w:noProof/>
                <w:sz w:val="22"/>
                <w:lang w:eastAsia="pl-PL"/>
              </w:rPr>
              <mc:AlternateContent>
                <mc:Choice Requires="wps">
                  <w:drawing>
                    <wp:anchor distT="0" distB="0" distL="114300" distR="114300" simplePos="0" relativeHeight="251672576" behindDoc="0" locked="0" layoutInCell="1" allowOverlap="1" wp14:anchorId="71C9CE5A" wp14:editId="65FE39F2">
                      <wp:simplePos x="0" y="0"/>
                      <wp:positionH relativeFrom="column">
                        <wp:posOffset>-53975</wp:posOffset>
                      </wp:positionH>
                      <wp:positionV relativeFrom="paragraph">
                        <wp:posOffset>0</wp:posOffset>
                      </wp:positionV>
                      <wp:extent cx="5457825" cy="8753475"/>
                      <wp:effectExtent l="0" t="0" r="28575" b="28575"/>
                      <wp:wrapTopAndBottom/>
                      <wp:docPr id="18" name="Pole tekstowe 18"/>
                      <wp:cNvGraphicFramePr/>
                      <a:graphic xmlns:a="http://schemas.openxmlformats.org/drawingml/2006/main">
                        <a:graphicData uri="http://schemas.microsoft.com/office/word/2010/wordprocessingShape">
                          <wps:wsp>
                            <wps:cNvSpPr txBox="1"/>
                            <wps:spPr>
                              <a:xfrm>
                                <a:off x="0" y="0"/>
                                <a:ext cx="5457825" cy="87534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Default="00A469F2" w:rsidP="006F38DE">
                                  <w:pPr>
                                    <w:pStyle w:val="Legenda"/>
                                    <w:keepNext/>
                                    <w:spacing w:line="276" w:lineRule="auto"/>
                                    <w:rPr>
                                      <w:rFonts w:asciiTheme="minorHAnsi" w:hAnsiTheme="minorHAnsi"/>
                                      <w:b/>
                                      <w:i w:val="0"/>
                                      <w:color w:val="FFFFFF" w:themeColor="background1"/>
                                      <w:sz w:val="22"/>
                                      <w:szCs w:val="22"/>
                                    </w:rPr>
                                  </w:pPr>
                                  <w:r w:rsidRPr="000100D2">
                                    <w:rPr>
                                      <w:rFonts w:asciiTheme="minorHAnsi" w:hAnsiTheme="minorHAnsi"/>
                                      <w:b/>
                                      <w:i w:val="0"/>
                                      <w:color w:val="FFFFFF" w:themeColor="background1"/>
                                      <w:sz w:val="22"/>
                                      <w:szCs w:val="22"/>
                                    </w:rPr>
                                    <w:t>Obszar problemowy – wyzwania demograficzne Miasta</w:t>
                                  </w:r>
                                </w:p>
                                <w:p w:rsidR="00A469F2" w:rsidRDefault="00A469F2" w:rsidP="006F38DE">
                                  <w:pPr>
                                    <w:pStyle w:val="Legenda"/>
                                    <w:keepNext/>
                                    <w:spacing w:line="276" w:lineRule="auto"/>
                                    <w:rPr>
                                      <w:rFonts w:asciiTheme="minorHAnsi" w:hAnsiTheme="minorHAnsi"/>
                                      <w:i w:val="0"/>
                                      <w:color w:val="FFFFFF" w:themeColor="background1"/>
                                      <w:sz w:val="22"/>
                                      <w:szCs w:val="22"/>
                                    </w:rPr>
                                  </w:pPr>
                                  <w:r w:rsidRPr="000100D2">
                                    <w:rPr>
                                      <w:rFonts w:asciiTheme="minorHAnsi" w:hAnsiTheme="minorHAnsi"/>
                                      <w:i w:val="0"/>
                                      <w:color w:val="FFFFFF" w:themeColor="background1"/>
                                      <w:sz w:val="22"/>
                                      <w:szCs w:val="22"/>
                                    </w:rPr>
                                    <w:t>Utrzymanie się tendencji spadkowej liczby ludności przy jednoczesnym zwiększeniu obciążenia demograficznego stanowi kluczowy problem współczesnej polityki społecznej. Niski poziom dzietności, migracje mieszkańców do dużych metropolii miejskich i za granicę pociąga za sobą nie tylko skutek demograficzny w postaci starzenia się społeczeństwa, ale także znaczny problem gospodarczy.</w:t>
                                  </w:r>
                                </w:p>
                                <w:p w:rsidR="00A469F2" w:rsidRPr="003E5507" w:rsidRDefault="00A469F2" w:rsidP="00A84816">
                                  <w:pPr>
                                    <w:pStyle w:val="Legenda"/>
                                    <w:keepNext/>
                                    <w:spacing w:line="276" w:lineRule="auto"/>
                                    <w:rPr>
                                      <w:rFonts w:asciiTheme="minorHAnsi" w:hAnsiTheme="minorHAnsi"/>
                                      <w:color w:val="FFFFFF" w:themeColor="background1"/>
                                      <w:sz w:val="20"/>
                                      <w:szCs w:val="22"/>
                                    </w:rPr>
                                  </w:pPr>
                                  <w:r w:rsidRPr="003E5507">
                                    <w:rPr>
                                      <w:rFonts w:asciiTheme="minorHAnsi" w:hAnsiTheme="minorHAnsi"/>
                                      <w:color w:val="FFFFFF" w:themeColor="background1"/>
                                      <w:sz w:val="20"/>
                                      <w:szCs w:val="22"/>
                                    </w:rPr>
                                    <w:t xml:space="preserve">Mapa </w:t>
                                  </w:r>
                                  <w:r w:rsidRPr="003E5507">
                                    <w:rPr>
                                      <w:rFonts w:asciiTheme="minorHAnsi" w:hAnsiTheme="minorHAnsi"/>
                                      <w:color w:val="FFFFFF" w:themeColor="background1"/>
                                      <w:sz w:val="20"/>
                                      <w:szCs w:val="22"/>
                                    </w:rPr>
                                    <w:fldChar w:fldCharType="begin"/>
                                  </w:r>
                                  <w:r w:rsidRPr="003E5507">
                                    <w:rPr>
                                      <w:rFonts w:asciiTheme="minorHAnsi" w:hAnsiTheme="minorHAnsi"/>
                                      <w:color w:val="FFFFFF" w:themeColor="background1"/>
                                      <w:sz w:val="20"/>
                                      <w:szCs w:val="22"/>
                                    </w:rPr>
                                    <w:instrText xml:space="preserve"> SEQ Mapa \* ARABIC </w:instrText>
                                  </w:r>
                                  <w:r w:rsidRPr="003E5507">
                                    <w:rPr>
                                      <w:rFonts w:asciiTheme="minorHAnsi" w:hAnsiTheme="minorHAnsi"/>
                                      <w:color w:val="FFFFFF" w:themeColor="background1"/>
                                      <w:sz w:val="20"/>
                                      <w:szCs w:val="22"/>
                                    </w:rPr>
                                    <w:fldChar w:fldCharType="separate"/>
                                  </w:r>
                                  <w:r w:rsidR="007B2916">
                                    <w:rPr>
                                      <w:rFonts w:asciiTheme="minorHAnsi" w:hAnsiTheme="minorHAnsi"/>
                                      <w:noProof/>
                                      <w:color w:val="FFFFFF" w:themeColor="background1"/>
                                      <w:sz w:val="20"/>
                                      <w:szCs w:val="22"/>
                                    </w:rPr>
                                    <w:t>2</w:t>
                                  </w:r>
                                  <w:r w:rsidRPr="003E5507">
                                    <w:rPr>
                                      <w:rFonts w:asciiTheme="minorHAnsi" w:hAnsiTheme="minorHAnsi"/>
                                      <w:color w:val="FFFFFF" w:themeColor="background1"/>
                                      <w:sz w:val="20"/>
                                      <w:szCs w:val="22"/>
                                    </w:rPr>
                                    <w:fldChar w:fldCharType="end"/>
                                  </w:r>
                                  <w:r w:rsidRPr="003E5507">
                                    <w:rPr>
                                      <w:rFonts w:asciiTheme="minorHAnsi" w:hAnsiTheme="minorHAnsi"/>
                                      <w:color w:val="FFFFFF" w:themeColor="background1"/>
                                      <w:sz w:val="20"/>
                                      <w:szCs w:val="22"/>
                                    </w:rPr>
                                    <w:t>. Klasyfikacja miast województwa dolnośląskiego na podstawie etapu i studium rozwoju struktury demograficznej wg biologicznych grup wieku ludności.</w:t>
                                  </w:r>
                                </w:p>
                                <w:p w:rsidR="00A469F2" w:rsidRPr="003E5507" w:rsidRDefault="00A469F2" w:rsidP="003E5507">
                                  <w:pPr>
                                    <w:rPr>
                                      <w:rFonts w:asciiTheme="minorHAnsi" w:hAnsiTheme="minorHAnsi"/>
                                      <w:color w:val="FFFFFF" w:themeColor="background1"/>
                                    </w:rPr>
                                  </w:pPr>
                                  <w:r w:rsidRPr="003E5507">
                                    <w:rPr>
                                      <w:rFonts w:asciiTheme="minorHAnsi" w:hAnsiTheme="minorHAnsi"/>
                                      <w:color w:val="FFFFFF" w:themeColor="background1"/>
                                    </w:rPr>
                                    <w:t>1999 r.</w:t>
                                  </w:r>
                                </w:p>
                                <w:p w:rsidR="00A469F2" w:rsidRDefault="00A469F2" w:rsidP="00A84816">
                                  <w:r>
                                    <w:rPr>
                                      <w:noProof/>
                                      <w:lang w:eastAsia="pl-PL"/>
                                    </w:rPr>
                                    <w:drawing>
                                      <wp:inline distT="0" distB="0" distL="0" distR="0" wp14:anchorId="04D39350" wp14:editId="43C71CB5">
                                        <wp:extent cx="4528131" cy="3960000"/>
                                        <wp:effectExtent l="0" t="0" r="6350" b="254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Mapa struktura ludności.bmp"/>
                                                <pic:cNvPicPr/>
                                              </pic:nvPicPr>
                                              <pic:blipFill>
                                                <a:blip r:embed="rId31">
                                                  <a:extLst>
                                                    <a:ext uri="{28A0092B-C50C-407E-A947-70E740481C1C}">
                                                      <a14:useLocalDpi xmlns:a14="http://schemas.microsoft.com/office/drawing/2010/main" val="0"/>
                                                    </a:ext>
                                                  </a:extLst>
                                                </a:blip>
                                                <a:stretch>
                                                  <a:fillRect/>
                                                </a:stretch>
                                              </pic:blipFill>
                                              <pic:spPr>
                                                <a:xfrm>
                                                  <a:off x="0" y="0"/>
                                                  <a:ext cx="4528131" cy="3960000"/>
                                                </a:xfrm>
                                                <a:prstGeom prst="rect">
                                                  <a:avLst/>
                                                </a:prstGeom>
                                              </pic:spPr>
                                            </pic:pic>
                                          </a:graphicData>
                                        </a:graphic>
                                      </wp:inline>
                                    </w:drawing>
                                  </w:r>
                                </w:p>
                                <w:p w:rsidR="00A469F2" w:rsidRPr="00A84816" w:rsidRDefault="00A469F2" w:rsidP="00A84816"/>
                                <w:p w:rsidR="00A469F2" w:rsidRDefault="00A469F2" w:rsidP="00562F68">
                                  <w:pPr>
                                    <w:jc w:val="center"/>
                                  </w:pPr>
                                </w:p>
                                <w:p w:rsidR="00A469F2" w:rsidRDefault="00A469F2" w:rsidP="00562F68">
                                  <w:pPr>
                                    <w:jc w:val="center"/>
                                  </w:pPr>
                                </w:p>
                                <w:p w:rsidR="00A469F2" w:rsidRPr="000100D2" w:rsidRDefault="00A469F2" w:rsidP="006F38DE">
                                  <w:pPr>
                                    <w:rPr>
                                      <w:rFonts w:asciiTheme="minorHAnsi" w:hAnsiTheme="minorHAnsi"/>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56" type="#_x0000_t202" style="position:absolute;left:0;text-align:left;margin-left:-4.25pt;margin-top:0;width:429.75pt;height:68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DhsgIAAOoFAAAOAAAAZHJzL2Uyb0RvYy54bWysVFtP2zAUfp+0/2D5fSQtDe2qpqgDMU1i&#10;gAYTz65j0wjbx7PdJt2v37GTlpZNk5j2ktg+37l95zI7b7UiG+F8Daakg5OcEmE4VLV5Kun3h6sP&#10;E0p8YKZiCowo6VZ4ej5//27W2KkYwgpUJRxBI8ZPG1vSVQh2mmWer4Rm/gSsMCiU4DQLeHVPWeVY&#10;g9a1yoZ5fpY14CrrgAvv8fWyE9J5si+l4OFWSi8CUSXF2EL6uvRdxm82n7Hpk2N2VfM+DPYPUWhW&#10;G3S6N3XJAiNrV/9mStfcgQcZTjjoDKSsuUg5YDaD/FU29ytmRcoFyfF2T5P/f2b5zebOkbrC2mGl&#10;DNNYoztQggTx7AM0guA7ktRYP0XsvUV0aD9Biwq7d4+PMfdWOh3/mBVBOdK93VMs2kA4PhajYjwZ&#10;FpRwlE3GxeloXEQ72Yu6dT58FqBJPJTUYQ0TtWxz7UMH3UGiNw+qrq5qpdIl9o24UI5sGFaccS5M&#10;GCR1tdZfoerex0Wep9qj29RqUSUFcWRNGdKU9Oy0yJOFI1kMYe9nqRh/7tM4QKF1ZWJYInViH36k&#10;sqMsncJWiYhR5puQWInE3F9y6RhI6IiSmPlbFHv8S1RvUe7yQI3kGUzYK+vagOtYOi5B9Zz6BKmQ&#10;HR5pPsg7HkO7bLsWPN211BKqLXaag25gveVXNRJ+zXy4Yw4nFJsLt064xY9UgFWC/kTJCtzPP71H&#10;PA4OSilpcOJL6n+smROUqC8GR+rjYDSKKyJdsE2HeHGHkuWhxKz1BWCLDXC/WZ6OER/U7igd6Edc&#10;TovoFUXMcPRd0rA7XoRuD+Fy42KxSCBcCpaFa3NveTQdaY6N9tA+Mmf7gQg4Szew2w1s+mouOmzU&#10;NLBYB5B1GppIdMdqXwBcKKnj++UXN9bhPaFeVvT8FwAAAP//AwBQSwMEFAAGAAgAAAAhAHqt1P7c&#10;AAAACAEAAA8AAABkcnMvZG93bnJldi54bWxMj8FOwzAQRO9I/IO1SNxap0WBKI1TAQKEuDVEnJ14&#10;mwTidWS7beDrWU7ltqMZzb4ptrMdxRF9GBwpWC0TEEitMwN1Cur350UGIkRNRo+OUME3BtiWlxeF&#10;zo070Q6PVewEl1DItYI+ximXMrQ9Wh2WbkJib++81ZGl76Tx+sTldpTrJLmVVg/EH3o94WOP7Vd1&#10;sAqql7ZudnF+rd3bz4N36cfn09oqdX01329ARJzjOQx/+IwOJTM17kAmiFHBIks5qYAHsZulKz4a&#10;jt3csSHLQv4fUP4CAAD//wMAUEsBAi0AFAAGAAgAAAAhALaDOJL+AAAA4QEAABMAAAAAAAAAAAAA&#10;AAAAAAAAAFtDb250ZW50X1R5cGVzXS54bWxQSwECLQAUAAYACAAAACEAOP0h/9YAAACUAQAACwAA&#10;AAAAAAAAAAAAAAAvAQAAX3JlbHMvLnJlbHNQSwECLQAUAAYACAAAACEAZOhg4bICAADqBQAADgAA&#10;AAAAAAAAAAAAAAAuAgAAZHJzL2Uyb0RvYy54bWxQSwECLQAUAAYACAAAACEAeq3U/twAAAAIAQAA&#10;DwAAAAAAAAAAAAAAAAAMBQAAZHJzL2Rvd25yZXYueG1sUEsFBgAAAAAEAAQA8wAAABUGAAAAAA==&#10;" fillcolor="#2e74b5 [2404]" strokeweight=".5pt">
                      <v:textbox>
                        <w:txbxContent>
                          <w:p w:rsidR="00A469F2" w:rsidRDefault="00A469F2" w:rsidP="006F38DE">
                            <w:pPr>
                              <w:pStyle w:val="Legenda"/>
                              <w:keepNext/>
                              <w:spacing w:line="276" w:lineRule="auto"/>
                              <w:rPr>
                                <w:rFonts w:asciiTheme="minorHAnsi" w:hAnsiTheme="minorHAnsi"/>
                                <w:b/>
                                <w:i w:val="0"/>
                                <w:color w:val="FFFFFF" w:themeColor="background1"/>
                                <w:sz w:val="22"/>
                                <w:szCs w:val="22"/>
                              </w:rPr>
                            </w:pPr>
                            <w:r w:rsidRPr="000100D2">
                              <w:rPr>
                                <w:rFonts w:asciiTheme="minorHAnsi" w:hAnsiTheme="minorHAnsi"/>
                                <w:b/>
                                <w:i w:val="0"/>
                                <w:color w:val="FFFFFF" w:themeColor="background1"/>
                                <w:sz w:val="22"/>
                                <w:szCs w:val="22"/>
                              </w:rPr>
                              <w:t>Obszar problemowy – wyzwania demograficzne Miasta</w:t>
                            </w:r>
                          </w:p>
                          <w:p w:rsidR="00A469F2" w:rsidRDefault="00A469F2" w:rsidP="006F38DE">
                            <w:pPr>
                              <w:pStyle w:val="Legenda"/>
                              <w:keepNext/>
                              <w:spacing w:line="276" w:lineRule="auto"/>
                              <w:rPr>
                                <w:rFonts w:asciiTheme="minorHAnsi" w:hAnsiTheme="minorHAnsi"/>
                                <w:i w:val="0"/>
                                <w:color w:val="FFFFFF" w:themeColor="background1"/>
                                <w:sz w:val="22"/>
                                <w:szCs w:val="22"/>
                              </w:rPr>
                            </w:pPr>
                            <w:r w:rsidRPr="000100D2">
                              <w:rPr>
                                <w:rFonts w:asciiTheme="minorHAnsi" w:hAnsiTheme="minorHAnsi"/>
                                <w:i w:val="0"/>
                                <w:color w:val="FFFFFF" w:themeColor="background1"/>
                                <w:sz w:val="22"/>
                                <w:szCs w:val="22"/>
                              </w:rPr>
                              <w:t>Utrzymanie się tendencji spadkowej liczby ludności przy jednoczesnym zwiększeniu obciążenia demograficznego stanowi kluczowy problem współczesnej polityki społecznej. Niski poziom dzietności, migracje mieszkańców do dużych metropolii miejskich i za granicę pociąga za sobą nie tylko skutek demograficzny w postaci starzenia się społeczeństwa, ale także znaczny problem gospodarczy.</w:t>
                            </w:r>
                          </w:p>
                          <w:p w:rsidR="00A469F2" w:rsidRPr="003E5507" w:rsidRDefault="00A469F2" w:rsidP="00A84816">
                            <w:pPr>
                              <w:pStyle w:val="Legenda"/>
                              <w:keepNext/>
                              <w:spacing w:line="276" w:lineRule="auto"/>
                              <w:rPr>
                                <w:rFonts w:asciiTheme="minorHAnsi" w:hAnsiTheme="minorHAnsi"/>
                                <w:color w:val="FFFFFF" w:themeColor="background1"/>
                                <w:sz w:val="20"/>
                                <w:szCs w:val="22"/>
                              </w:rPr>
                            </w:pPr>
                            <w:r w:rsidRPr="003E5507">
                              <w:rPr>
                                <w:rFonts w:asciiTheme="minorHAnsi" w:hAnsiTheme="minorHAnsi"/>
                                <w:color w:val="FFFFFF" w:themeColor="background1"/>
                                <w:sz w:val="20"/>
                                <w:szCs w:val="22"/>
                              </w:rPr>
                              <w:t xml:space="preserve">Mapa </w:t>
                            </w:r>
                            <w:r w:rsidRPr="003E5507">
                              <w:rPr>
                                <w:rFonts w:asciiTheme="minorHAnsi" w:hAnsiTheme="minorHAnsi"/>
                                <w:color w:val="FFFFFF" w:themeColor="background1"/>
                                <w:sz w:val="20"/>
                                <w:szCs w:val="22"/>
                              </w:rPr>
                              <w:fldChar w:fldCharType="begin"/>
                            </w:r>
                            <w:r w:rsidRPr="003E5507">
                              <w:rPr>
                                <w:rFonts w:asciiTheme="minorHAnsi" w:hAnsiTheme="minorHAnsi"/>
                                <w:color w:val="FFFFFF" w:themeColor="background1"/>
                                <w:sz w:val="20"/>
                                <w:szCs w:val="22"/>
                              </w:rPr>
                              <w:instrText xml:space="preserve"> SEQ Mapa \* ARABIC </w:instrText>
                            </w:r>
                            <w:r w:rsidRPr="003E5507">
                              <w:rPr>
                                <w:rFonts w:asciiTheme="minorHAnsi" w:hAnsiTheme="minorHAnsi"/>
                                <w:color w:val="FFFFFF" w:themeColor="background1"/>
                                <w:sz w:val="20"/>
                                <w:szCs w:val="22"/>
                              </w:rPr>
                              <w:fldChar w:fldCharType="separate"/>
                            </w:r>
                            <w:r w:rsidR="007B2916">
                              <w:rPr>
                                <w:rFonts w:asciiTheme="minorHAnsi" w:hAnsiTheme="minorHAnsi"/>
                                <w:noProof/>
                                <w:color w:val="FFFFFF" w:themeColor="background1"/>
                                <w:sz w:val="20"/>
                                <w:szCs w:val="22"/>
                              </w:rPr>
                              <w:t>2</w:t>
                            </w:r>
                            <w:r w:rsidRPr="003E5507">
                              <w:rPr>
                                <w:rFonts w:asciiTheme="minorHAnsi" w:hAnsiTheme="minorHAnsi"/>
                                <w:color w:val="FFFFFF" w:themeColor="background1"/>
                                <w:sz w:val="20"/>
                                <w:szCs w:val="22"/>
                              </w:rPr>
                              <w:fldChar w:fldCharType="end"/>
                            </w:r>
                            <w:r w:rsidRPr="003E5507">
                              <w:rPr>
                                <w:rFonts w:asciiTheme="minorHAnsi" w:hAnsiTheme="minorHAnsi"/>
                                <w:color w:val="FFFFFF" w:themeColor="background1"/>
                                <w:sz w:val="20"/>
                                <w:szCs w:val="22"/>
                              </w:rPr>
                              <w:t>. Klasyfikacja miast województwa dolnośląskiego na podstawie etapu i studium rozwoju struktury demograficznej wg biologicznych grup wieku ludności.</w:t>
                            </w:r>
                          </w:p>
                          <w:p w:rsidR="00A469F2" w:rsidRPr="003E5507" w:rsidRDefault="00A469F2" w:rsidP="003E5507">
                            <w:pPr>
                              <w:rPr>
                                <w:rFonts w:asciiTheme="minorHAnsi" w:hAnsiTheme="minorHAnsi"/>
                                <w:color w:val="FFFFFF" w:themeColor="background1"/>
                              </w:rPr>
                            </w:pPr>
                            <w:r w:rsidRPr="003E5507">
                              <w:rPr>
                                <w:rFonts w:asciiTheme="minorHAnsi" w:hAnsiTheme="minorHAnsi"/>
                                <w:color w:val="FFFFFF" w:themeColor="background1"/>
                              </w:rPr>
                              <w:t>1999 r.</w:t>
                            </w:r>
                          </w:p>
                          <w:p w:rsidR="00A469F2" w:rsidRDefault="00A469F2" w:rsidP="00A84816">
                            <w:r>
                              <w:rPr>
                                <w:noProof/>
                                <w:lang w:eastAsia="pl-PL"/>
                              </w:rPr>
                              <w:drawing>
                                <wp:inline distT="0" distB="0" distL="0" distR="0" wp14:anchorId="04D39350" wp14:editId="43C71CB5">
                                  <wp:extent cx="4528131" cy="3960000"/>
                                  <wp:effectExtent l="0" t="0" r="6350" b="254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Mapa struktura ludności.bmp"/>
                                          <pic:cNvPicPr/>
                                        </pic:nvPicPr>
                                        <pic:blipFill>
                                          <a:blip r:embed="rId31">
                                            <a:extLst>
                                              <a:ext uri="{28A0092B-C50C-407E-A947-70E740481C1C}">
                                                <a14:useLocalDpi xmlns:a14="http://schemas.microsoft.com/office/drawing/2010/main" val="0"/>
                                              </a:ext>
                                            </a:extLst>
                                          </a:blip>
                                          <a:stretch>
                                            <a:fillRect/>
                                          </a:stretch>
                                        </pic:blipFill>
                                        <pic:spPr>
                                          <a:xfrm>
                                            <a:off x="0" y="0"/>
                                            <a:ext cx="4528131" cy="3960000"/>
                                          </a:xfrm>
                                          <a:prstGeom prst="rect">
                                            <a:avLst/>
                                          </a:prstGeom>
                                        </pic:spPr>
                                      </pic:pic>
                                    </a:graphicData>
                                  </a:graphic>
                                </wp:inline>
                              </w:drawing>
                            </w:r>
                          </w:p>
                          <w:p w:rsidR="00A469F2" w:rsidRPr="00A84816" w:rsidRDefault="00A469F2" w:rsidP="00A84816"/>
                          <w:p w:rsidR="00A469F2" w:rsidRDefault="00A469F2" w:rsidP="00562F68">
                            <w:pPr>
                              <w:jc w:val="center"/>
                            </w:pPr>
                          </w:p>
                          <w:p w:rsidR="00A469F2" w:rsidRDefault="00A469F2" w:rsidP="00562F68">
                            <w:pPr>
                              <w:jc w:val="center"/>
                            </w:pPr>
                          </w:p>
                          <w:p w:rsidR="00A469F2" w:rsidRPr="000100D2" w:rsidRDefault="00A469F2" w:rsidP="006F38DE">
                            <w:pPr>
                              <w:rPr>
                                <w:rFonts w:asciiTheme="minorHAnsi" w:hAnsiTheme="minorHAnsi"/>
                                <w:color w:val="FFFFFF" w:themeColor="background1"/>
                                <w:sz w:val="22"/>
                              </w:rPr>
                            </w:pPr>
                          </w:p>
                        </w:txbxContent>
                      </v:textbox>
                      <w10:wrap type="topAndBottom"/>
                    </v:shape>
                  </w:pict>
                </mc:Fallback>
              </mc:AlternateContent>
            </w:r>
          </w:p>
        </w:tc>
      </w:tr>
    </w:tbl>
    <w:p w:rsidR="006F38DE" w:rsidRDefault="006F38DE" w:rsidP="00FD7676">
      <w:pPr>
        <w:rPr>
          <w:rFonts w:asciiTheme="minorHAnsi" w:hAnsiTheme="minorHAnsi"/>
          <w:sz w:val="22"/>
        </w:rPr>
      </w:pPr>
      <w:r>
        <w:rPr>
          <w:rFonts w:asciiTheme="minorHAnsi" w:hAnsiTheme="minorHAnsi"/>
          <w:noProof/>
          <w:sz w:val="22"/>
          <w:lang w:eastAsia="pl-PL"/>
        </w:rPr>
        <mc:AlternateContent>
          <mc:Choice Requires="wps">
            <w:drawing>
              <wp:anchor distT="0" distB="0" distL="114300" distR="114300" simplePos="0" relativeHeight="251674624" behindDoc="0" locked="0" layoutInCell="1" allowOverlap="1" wp14:anchorId="6501DE4A" wp14:editId="13B9B3DF">
                <wp:simplePos x="0" y="0"/>
                <wp:positionH relativeFrom="column">
                  <wp:posOffset>-4445</wp:posOffset>
                </wp:positionH>
                <wp:positionV relativeFrom="paragraph">
                  <wp:posOffset>157480</wp:posOffset>
                </wp:positionV>
                <wp:extent cx="5695950" cy="8696325"/>
                <wp:effectExtent l="0" t="0" r="19050" b="28575"/>
                <wp:wrapTopAndBottom/>
                <wp:docPr id="79" name="Pole tekstowe 79"/>
                <wp:cNvGraphicFramePr/>
                <a:graphic xmlns:a="http://schemas.openxmlformats.org/drawingml/2006/main">
                  <a:graphicData uri="http://schemas.microsoft.com/office/word/2010/wordprocessingShape">
                    <wps:wsp>
                      <wps:cNvSpPr txBox="1"/>
                      <wps:spPr>
                        <a:xfrm>
                          <a:off x="0" y="0"/>
                          <a:ext cx="5695950" cy="869632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Default="00A469F2" w:rsidP="003E5507">
                            <w:pPr>
                              <w:rPr>
                                <w:rFonts w:asciiTheme="minorHAnsi" w:hAnsiTheme="minorHAnsi"/>
                                <w:color w:val="FFFFFF" w:themeColor="background1"/>
                                <w:sz w:val="22"/>
                              </w:rPr>
                            </w:pPr>
                          </w:p>
                          <w:p w:rsidR="00A469F2" w:rsidRDefault="00A469F2" w:rsidP="003E5507">
                            <w:pPr>
                              <w:rPr>
                                <w:rFonts w:asciiTheme="minorHAnsi" w:hAnsiTheme="minorHAnsi"/>
                                <w:color w:val="FFFFFF" w:themeColor="background1"/>
                                <w:sz w:val="22"/>
                              </w:rPr>
                            </w:pPr>
                            <w:r>
                              <w:rPr>
                                <w:rFonts w:asciiTheme="minorHAnsi" w:hAnsiTheme="minorHAnsi"/>
                                <w:color w:val="FFFFFF" w:themeColor="background1"/>
                                <w:sz w:val="22"/>
                              </w:rPr>
                              <w:t>2009 r.</w:t>
                            </w:r>
                          </w:p>
                          <w:p w:rsidR="00A469F2" w:rsidRDefault="00A469F2" w:rsidP="003E5507">
                            <w:pPr>
                              <w:rPr>
                                <w:rFonts w:asciiTheme="minorHAnsi" w:hAnsiTheme="minorHAnsi"/>
                                <w:color w:val="FFFFFF" w:themeColor="background1"/>
                                <w:sz w:val="22"/>
                              </w:rPr>
                            </w:pPr>
                            <w:r>
                              <w:rPr>
                                <w:noProof/>
                                <w:lang w:eastAsia="pl-PL"/>
                              </w:rPr>
                              <w:drawing>
                                <wp:inline distT="0" distB="0" distL="0" distR="0" wp14:anchorId="2FB07935" wp14:editId="2026B023">
                                  <wp:extent cx="4521899" cy="3960000"/>
                                  <wp:effectExtent l="0" t="0" r="0"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Mapa struktura ludnośći 2009.bmp"/>
                                          <pic:cNvPicPr/>
                                        </pic:nvPicPr>
                                        <pic:blipFill>
                                          <a:blip r:embed="rId32">
                                            <a:extLst>
                                              <a:ext uri="{28A0092B-C50C-407E-A947-70E740481C1C}">
                                                <a14:useLocalDpi xmlns:a14="http://schemas.microsoft.com/office/drawing/2010/main" val="0"/>
                                              </a:ext>
                                            </a:extLst>
                                          </a:blip>
                                          <a:stretch>
                                            <a:fillRect/>
                                          </a:stretch>
                                        </pic:blipFill>
                                        <pic:spPr>
                                          <a:xfrm>
                                            <a:off x="0" y="0"/>
                                            <a:ext cx="4521899" cy="3960000"/>
                                          </a:xfrm>
                                          <a:prstGeom prst="rect">
                                            <a:avLst/>
                                          </a:prstGeom>
                                        </pic:spPr>
                                      </pic:pic>
                                    </a:graphicData>
                                  </a:graphic>
                                </wp:inline>
                              </w:drawing>
                            </w:r>
                          </w:p>
                          <w:p w:rsidR="00A469F2" w:rsidRPr="003E5507" w:rsidRDefault="00A469F2" w:rsidP="003E5507">
                            <w:pPr>
                              <w:rPr>
                                <w:rFonts w:asciiTheme="minorHAnsi" w:hAnsiTheme="minorHAnsi"/>
                                <w:color w:val="FFFFFF" w:themeColor="background1"/>
                                <w:sz w:val="22"/>
                              </w:rPr>
                            </w:pPr>
                            <w:r w:rsidRPr="003E5507">
                              <w:rPr>
                                <w:rFonts w:asciiTheme="minorHAnsi" w:hAnsiTheme="minorHAnsi"/>
                                <w:i/>
                                <w:color w:val="FFFFFF" w:themeColor="background1"/>
                                <w:sz w:val="20"/>
                              </w:rPr>
                              <w:t>Źródło: Raport o miastach województwa dolnośląskiego</w:t>
                            </w:r>
                            <w:r w:rsidRPr="003E5507">
                              <w:rPr>
                                <w:rFonts w:asciiTheme="minorHAnsi" w:hAnsiTheme="minorHAnsi"/>
                                <w:color w:val="FFFFFF" w:themeColor="background1"/>
                                <w:sz w:val="20"/>
                              </w:rPr>
                              <w:t>, Instytut Rozwoju Terytorialnego, Wrocław, 2012.</w:t>
                            </w:r>
                          </w:p>
                          <w:p w:rsidR="00A469F2" w:rsidRDefault="00A469F2" w:rsidP="003E5507">
                            <w:pPr>
                              <w:rPr>
                                <w:rFonts w:asciiTheme="minorHAnsi" w:hAnsiTheme="minorHAnsi"/>
                                <w:color w:val="FFFFFF" w:themeColor="background1"/>
                                <w:sz w:val="22"/>
                              </w:rPr>
                            </w:pPr>
                          </w:p>
                          <w:p w:rsidR="00A469F2" w:rsidRPr="000100D2" w:rsidRDefault="00A469F2" w:rsidP="003E5507">
                            <w:pPr>
                              <w:rPr>
                                <w:rFonts w:asciiTheme="minorHAnsi" w:hAnsiTheme="minorHAnsi"/>
                                <w:color w:val="FFFFFF" w:themeColor="background1"/>
                                <w:sz w:val="22"/>
                              </w:rPr>
                            </w:pPr>
                            <w:r w:rsidRPr="000100D2">
                              <w:rPr>
                                <w:rFonts w:asciiTheme="minorHAnsi" w:hAnsiTheme="minorHAnsi"/>
                                <w:color w:val="FFFFFF" w:themeColor="background1"/>
                                <w:sz w:val="22"/>
                              </w:rPr>
                              <w:t>Porównując do siebie wymianę pokoleniową na miejscach prac</w:t>
                            </w:r>
                            <w:r>
                              <w:rPr>
                                <w:rFonts w:asciiTheme="minorHAnsi" w:hAnsiTheme="minorHAnsi"/>
                                <w:color w:val="FFFFFF" w:themeColor="background1"/>
                                <w:sz w:val="22"/>
                              </w:rPr>
                              <w:t>y, tj. ilość osób schodzących z </w:t>
                            </w:r>
                            <w:r w:rsidRPr="000100D2">
                              <w:rPr>
                                <w:rFonts w:asciiTheme="minorHAnsi" w:hAnsiTheme="minorHAnsi"/>
                                <w:color w:val="FFFFFF" w:themeColor="background1"/>
                                <w:sz w:val="22"/>
                              </w:rPr>
                              <w:t>rynku pracy (w wieku emerytalnym 60-64 lata) z ilością osób potencjalnie wchodzącą na ten rynek (19-24) można zauważyć ujemną różnicę w nadchodzą</w:t>
                            </w:r>
                            <w:r>
                              <w:rPr>
                                <w:rFonts w:asciiTheme="minorHAnsi" w:hAnsiTheme="minorHAnsi"/>
                                <w:color w:val="FFFFFF" w:themeColor="background1"/>
                                <w:sz w:val="22"/>
                              </w:rPr>
                              <w:t>cych latach. Oznacza to, że w </w:t>
                            </w:r>
                            <w:r w:rsidRPr="000100D2">
                              <w:rPr>
                                <w:rFonts w:asciiTheme="minorHAnsi" w:hAnsiTheme="minorHAnsi"/>
                                <w:color w:val="FFFFFF" w:themeColor="background1"/>
                                <w:sz w:val="22"/>
                              </w:rPr>
                              <w:t>niedługiej perspektywie czasowej problemem nie stanie się brak wolnych miejsc pracy, ale brak możliwości efektywnego obsadzenia dotychczasowych.</w:t>
                            </w:r>
                          </w:p>
                          <w:p w:rsidR="00A469F2" w:rsidRPr="000100D2" w:rsidRDefault="00A469F2" w:rsidP="00981782">
                            <w:pPr>
                              <w:pStyle w:val="Legenda"/>
                              <w:keepNext/>
                              <w:shd w:val="clear" w:color="auto" w:fill="2E74B5" w:themeFill="accent1" w:themeFillShade="BF"/>
                              <w:spacing w:line="276" w:lineRule="auto"/>
                              <w:rPr>
                                <w:rFonts w:asciiTheme="minorHAnsi" w:hAnsiTheme="minorHAnsi"/>
                                <w:color w:val="FFFFFF" w:themeColor="background1"/>
                                <w:sz w:val="20"/>
                                <w:szCs w:val="22"/>
                              </w:rPr>
                            </w:pPr>
                            <w:r w:rsidRPr="000100D2">
                              <w:rPr>
                                <w:rFonts w:asciiTheme="minorHAnsi" w:hAnsiTheme="minorHAnsi"/>
                                <w:color w:val="FFFFFF" w:themeColor="background1"/>
                                <w:sz w:val="20"/>
                                <w:szCs w:val="22"/>
                              </w:rPr>
                              <w:t xml:space="preserve">Tabela </w:t>
                            </w:r>
                            <w:r w:rsidRPr="000100D2">
                              <w:rPr>
                                <w:rFonts w:asciiTheme="minorHAnsi" w:hAnsiTheme="minorHAnsi"/>
                                <w:color w:val="FFFFFF" w:themeColor="background1"/>
                                <w:sz w:val="20"/>
                                <w:szCs w:val="22"/>
                              </w:rPr>
                              <w:fldChar w:fldCharType="begin"/>
                            </w:r>
                            <w:r w:rsidRPr="000100D2">
                              <w:rPr>
                                <w:rFonts w:asciiTheme="minorHAnsi" w:hAnsiTheme="minorHAnsi"/>
                                <w:color w:val="FFFFFF" w:themeColor="background1"/>
                                <w:sz w:val="20"/>
                                <w:szCs w:val="22"/>
                              </w:rPr>
                              <w:instrText xml:space="preserve"> SEQ Tabela \* ARABIC </w:instrText>
                            </w:r>
                            <w:r w:rsidRPr="000100D2">
                              <w:rPr>
                                <w:rFonts w:asciiTheme="minorHAnsi" w:hAnsiTheme="minorHAnsi"/>
                                <w:color w:val="FFFFFF" w:themeColor="background1"/>
                                <w:sz w:val="20"/>
                                <w:szCs w:val="22"/>
                              </w:rPr>
                              <w:fldChar w:fldCharType="separate"/>
                            </w:r>
                            <w:r w:rsidR="007B2916">
                              <w:rPr>
                                <w:rFonts w:asciiTheme="minorHAnsi" w:hAnsiTheme="minorHAnsi"/>
                                <w:noProof/>
                                <w:color w:val="FFFFFF" w:themeColor="background1"/>
                                <w:sz w:val="20"/>
                                <w:szCs w:val="22"/>
                              </w:rPr>
                              <w:t>8</w:t>
                            </w:r>
                            <w:r w:rsidRPr="000100D2">
                              <w:rPr>
                                <w:rFonts w:asciiTheme="minorHAnsi" w:hAnsiTheme="minorHAnsi"/>
                                <w:color w:val="FFFFFF" w:themeColor="background1"/>
                                <w:sz w:val="20"/>
                                <w:szCs w:val="22"/>
                              </w:rPr>
                              <w:fldChar w:fldCharType="end"/>
                            </w:r>
                            <w:r w:rsidRPr="000100D2">
                              <w:rPr>
                                <w:rFonts w:asciiTheme="minorHAnsi" w:hAnsiTheme="minorHAnsi"/>
                                <w:color w:val="FFFFFF" w:themeColor="background1"/>
                                <w:sz w:val="20"/>
                                <w:szCs w:val="22"/>
                              </w:rPr>
                              <w:t>. Wskaźnik demografii rynku pracy.</w:t>
                            </w:r>
                          </w:p>
                          <w:tbl>
                            <w:tblPr>
                              <w:tblStyle w:val="Tabela-Siatka"/>
                              <w:tblW w:w="0" w:type="auto"/>
                              <w:shd w:val="clear" w:color="auto" w:fill="FFFFFF" w:themeFill="background1"/>
                              <w:tblLook w:val="04A0" w:firstRow="1" w:lastRow="0" w:firstColumn="1" w:lastColumn="0" w:noHBand="0" w:noVBand="1"/>
                            </w:tblPr>
                            <w:tblGrid>
                              <w:gridCol w:w="1554"/>
                              <w:gridCol w:w="1346"/>
                              <w:gridCol w:w="1347"/>
                              <w:gridCol w:w="1346"/>
                              <w:gridCol w:w="1347"/>
                              <w:gridCol w:w="1347"/>
                            </w:tblGrid>
                            <w:tr w:rsidR="00A469F2" w:rsidTr="00CF07FE">
                              <w:tc>
                                <w:tcPr>
                                  <w:tcW w:w="1554"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Okres</w:t>
                                  </w:r>
                                </w:p>
                              </w:tc>
                              <w:tc>
                                <w:tcPr>
                                  <w:tcW w:w="1346"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2012-2016</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2017-2021</w:t>
                                  </w:r>
                                </w:p>
                              </w:tc>
                              <w:tc>
                                <w:tcPr>
                                  <w:tcW w:w="1346"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2022 - 2026</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2027 - 2031</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2032 - 2036</w:t>
                                  </w:r>
                                </w:p>
                              </w:tc>
                            </w:tr>
                            <w:tr w:rsidR="00A469F2" w:rsidTr="00CF07FE">
                              <w:tc>
                                <w:tcPr>
                                  <w:tcW w:w="1554" w:type="dxa"/>
                                  <w:shd w:val="clear" w:color="auto" w:fill="9CC2E5" w:themeFill="accent1" w:themeFillTint="99"/>
                                </w:tcPr>
                                <w:p w:rsidR="00A469F2" w:rsidRPr="00981782" w:rsidRDefault="00A469F2" w:rsidP="00CF07FE">
                                  <w:pPr>
                                    <w:rPr>
                                      <w:rFonts w:asciiTheme="minorHAnsi" w:hAnsiTheme="minorHAnsi"/>
                                      <w:b/>
                                      <w:sz w:val="22"/>
                                    </w:rPr>
                                  </w:pPr>
                                  <w:r w:rsidRPr="00981782">
                                    <w:rPr>
                                      <w:rFonts w:asciiTheme="minorHAnsi" w:hAnsiTheme="minorHAnsi"/>
                                      <w:b/>
                                      <w:sz w:val="22"/>
                                    </w:rPr>
                                    <w:t>Wsk</w:t>
                                  </w:r>
                                  <w:r>
                                    <w:rPr>
                                      <w:rFonts w:asciiTheme="minorHAnsi" w:hAnsiTheme="minorHAnsi"/>
                                      <w:b/>
                                      <w:sz w:val="22"/>
                                    </w:rPr>
                                    <w:t>aźnik różnicy liczby ludności w </w:t>
                                  </w:r>
                                  <w:r w:rsidRPr="00981782">
                                    <w:rPr>
                                      <w:rFonts w:asciiTheme="minorHAnsi" w:hAnsiTheme="minorHAnsi"/>
                                      <w:b/>
                                      <w:sz w:val="22"/>
                                    </w:rPr>
                                    <w:t>wieku 20-24 i</w:t>
                                  </w:r>
                                  <w:r>
                                    <w:rPr>
                                      <w:rFonts w:asciiTheme="minorHAnsi" w:hAnsiTheme="minorHAnsi"/>
                                      <w:b/>
                                      <w:sz w:val="22"/>
                                    </w:rPr>
                                    <w:t> </w:t>
                                  </w:r>
                                  <w:r w:rsidRPr="00981782">
                                    <w:rPr>
                                      <w:rFonts w:asciiTheme="minorHAnsi" w:hAnsiTheme="minorHAnsi"/>
                                      <w:b/>
                                      <w:sz w:val="22"/>
                                    </w:rPr>
                                    <w:t>60-64</w:t>
                                  </w:r>
                                </w:p>
                              </w:tc>
                              <w:tc>
                                <w:tcPr>
                                  <w:tcW w:w="1346"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- 1 778</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- 3 429</w:t>
                                  </w:r>
                                </w:p>
                              </w:tc>
                              <w:tc>
                                <w:tcPr>
                                  <w:tcW w:w="1346"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- 3 187</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- 1432</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- 1582</w:t>
                                  </w:r>
                                </w:p>
                              </w:tc>
                            </w:tr>
                          </w:tbl>
                          <w:p w:rsidR="00A469F2" w:rsidRPr="000100D2" w:rsidRDefault="00A469F2" w:rsidP="00981782">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 Źródło: Opracowanie własne na podstawie: Bank Danych Lokalnych, GUS.</w:t>
                            </w:r>
                          </w:p>
                          <w:p w:rsidR="00A469F2" w:rsidRPr="000100D2" w:rsidRDefault="00A469F2" w:rsidP="00981782">
                            <w:pPr>
                              <w:shd w:val="clear" w:color="auto" w:fill="2E74B5" w:themeFill="accent1" w:themeFillShade="BF"/>
                              <w:rPr>
                                <w:rFonts w:asciiTheme="minorHAnsi" w:hAnsiTheme="minorHAnsi"/>
                                <w:color w:val="FFFFFF" w:themeColor="background1"/>
                                <w:sz w:val="22"/>
                              </w:rPr>
                            </w:pPr>
                          </w:p>
                          <w:p w:rsidR="00A469F2" w:rsidRPr="000100D2" w:rsidRDefault="00A469F2" w:rsidP="00981782">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Powyższa tendencja w połączeniu z prognozowanym przez GUS spadkiem liczby mieszkańców w latach 2012-2035, niskim poziomem przyrostu naturalnego, odpływem ludności w wieku produkcyjnym i rozwojowym (zwłaszcza kobiet), brakiem napływu ludności z zewnątrz oraz  wydłużającą się średnią długością życia sprawi, że Legnica stanie przed ciężkim wyzwaniem społeczno-gospodarczym. </w:t>
                            </w:r>
                          </w:p>
                          <w:p w:rsidR="00A469F2" w:rsidRPr="00DC2D17" w:rsidRDefault="00A469F2" w:rsidP="00981782">
                            <w:pPr>
                              <w:shd w:val="clear" w:color="auto" w:fill="2E74B5" w:themeFill="accent1" w:themeFillShade="BF"/>
                              <w:rPr>
                                <w:rFonts w:asciiTheme="minorHAnsi" w:hAnsiTheme="minorHAnsi"/>
                                <w:color w:val="FFFFFF" w:themeColor="background1"/>
                                <w:sz w:val="22"/>
                              </w:rPr>
                            </w:pPr>
                          </w:p>
                          <w:p w:rsidR="00A469F2" w:rsidRDefault="00A469F2" w:rsidP="006F3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79" o:spid="_x0000_s1057" type="#_x0000_t202" style="position:absolute;left:0;text-align:left;margin-left:-.35pt;margin-top:12.4pt;width:448.5pt;height:6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sQIAAOoFAAAOAAAAZHJzL2Uyb0RvYy54bWysVEtPGzEQvlfqf7B8L5uEJJCIDUpBVJUo&#10;RIWKs+O1iYXtcW0nu+mv79i7CQGqSlS97I7nPd88zs4bo8lG+KDAlrR/1KNEWA6Vso8l/XF/9emU&#10;khCZrZgGK0q6FYGezz5+OKvdVAxgBboSnqATG6a1K+kqRjctisBXwrBwBE5YFErwhkV8+sei8qxG&#10;70YXg15vXNTgK+eBixCQe9kK6Sz7l1LweCtlEJHokmJuMX99/i7Tt5idsemjZ26leJcG+4csDFMW&#10;g+5dXbLIyNqrN66M4h4CyHjEwRQgpeIi14DV9HuvqrlbMSdyLQhOcHuYwv9zy282C09UVdKTCSWW&#10;GezRArQgUTyFCLUgyEeQahemqHvnUDs2n6HBZu/4AZmp9kZ6k/5YFUE5wr3dQyyaSDgyR+PJaDJC&#10;EUfZ6XgyPh6Mkp/i2dz5EL8IMCQRJfXYwwwt21yH2KruVFK0AFpVV0rr/EhzIy60JxuGHWecCxv7&#10;2VyvzTeoWv7JqNfLvcewedSSSU7ihTdtSV3S8THm+yZSSmEfZ6kZf+rKOPCA3rVNliJPYpd+grKF&#10;LFNxq0XS0fa7kNiJjNxfamkRyNpJS2Ll7zHs9J+zeo9xWwda5Mhg497YKAu+RellC6qnPCcIhWz1&#10;EeaDuhMZm2WTR7A/3I3UEqotTpqHdmGD41cKAb9mIS6Yxw3FCcKrE2/xIzVgl6CjKFmB//UnftLH&#10;xUEpJTVufEnDzzXzghL91eJKTfrDYToR+TEcnQzw4Q8ly0OJXZsLwBHr431zPJNJP+odKT2YBzxO&#10;8xQVRcxyjF3SuCMvYnuH8LhxMZ9nJTwKjsVre+d4cp1gToN23zww77qFiLhLN7C7DWz6ai9a3WRp&#10;Yb6OIFVemgR0i2rXADwoeeK745cu1uE7az2f6NlvAAAA//8DAFBLAwQUAAYACAAAACEAHtmaV98A&#10;AAAJAQAADwAAAGRycy9kb3ducmV2LnhtbEyPQU+DQBCF7yb+h82YeGsXodYWWRo1ahpvpaTnhR0B&#10;ZWcJu23RX+940uPkfXnzvWwz2V6ccPSdIwU38wgEUu1MR42Ccv8yW4HwQZPRvSNU8IUeNvnlRaZT&#10;4860w1MRGsEl5FOtoA1hSKX0dYtW+7kbkDh7d6PVgc+xkWbUZy63vYyjaCmt7og/tHrApxbrz+Jo&#10;FRSvdVntwrQt3dv34+huDx/PsVXq+mp6uAcRcAp/MPzqszrk7FS5IxkvegWzOwYVxAsewPFqvUxA&#10;VMwl60UCMs/k/wX5DwAAAP//AwBQSwECLQAUAAYACAAAACEAtoM4kv4AAADhAQAAEwAAAAAAAAAA&#10;AAAAAAAAAAAAW0NvbnRlbnRfVHlwZXNdLnhtbFBLAQItABQABgAIAAAAIQA4/SH/1gAAAJQBAAAL&#10;AAAAAAAAAAAAAAAAAC8BAABfcmVscy8ucmVsc1BLAQItABQABgAIAAAAIQB+r/FPsQIAAOoFAAAO&#10;AAAAAAAAAAAAAAAAAC4CAABkcnMvZTJvRG9jLnhtbFBLAQItABQABgAIAAAAIQAe2ZpX3wAAAAkB&#10;AAAPAAAAAAAAAAAAAAAAAAsFAABkcnMvZG93bnJldi54bWxQSwUGAAAAAAQABADzAAAAFwYAAAAA&#10;" fillcolor="#2e74b5 [2404]" strokeweight=".5pt">
                <v:textbox>
                  <w:txbxContent>
                    <w:p w:rsidR="00A469F2" w:rsidRDefault="00A469F2" w:rsidP="003E5507">
                      <w:pPr>
                        <w:rPr>
                          <w:rFonts w:asciiTheme="minorHAnsi" w:hAnsiTheme="minorHAnsi"/>
                          <w:color w:val="FFFFFF" w:themeColor="background1"/>
                          <w:sz w:val="22"/>
                        </w:rPr>
                      </w:pPr>
                    </w:p>
                    <w:p w:rsidR="00A469F2" w:rsidRDefault="00A469F2" w:rsidP="003E5507">
                      <w:pPr>
                        <w:rPr>
                          <w:rFonts w:asciiTheme="minorHAnsi" w:hAnsiTheme="minorHAnsi"/>
                          <w:color w:val="FFFFFF" w:themeColor="background1"/>
                          <w:sz w:val="22"/>
                        </w:rPr>
                      </w:pPr>
                      <w:r>
                        <w:rPr>
                          <w:rFonts w:asciiTheme="minorHAnsi" w:hAnsiTheme="minorHAnsi"/>
                          <w:color w:val="FFFFFF" w:themeColor="background1"/>
                          <w:sz w:val="22"/>
                        </w:rPr>
                        <w:t>2009 r.</w:t>
                      </w:r>
                    </w:p>
                    <w:p w:rsidR="00A469F2" w:rsidRDefault="00A469F2" w:rsidP="003E5507">
                      <w:pPr>
                        <w:rPr>
                          <w:rFonts w:asciiTheme="minorHAnsi" w:hAnsiTheme="minorHAnsi"/>
                          <w:color w:val="FFFFFF" w:themeColor="background1"/>
                          <w:sz w:val="22"/>
                        </w:rPr>
                      </w:pPr>
                      <w:r>
                        <w:rPr>
                          <w:noProof/>
                          <w:lang w:eastAsia="pl-PL"/>
                        </w:rPr>
                        <w:drawing>
                          <wp:inline distT="0" distB="0" distL="0" distR="0" wp14:anchorId="2FB07935" wp14:editId="2026B023">
                            <wp:extent cx="4521899" cy="3960000"/>
                            <wp:effectExtent l="0" t="0" r="0"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Mapa struktura ludnośći 2009.bmp"/>
                                    <pic:cNvPicPr/>
                                  </pic:nvPicPr>
                                  <pic:blipFill>
                                    <a:blip r:embed="rId32">
                                      <a:extLst>
                                        <a:ext uri="{28A0092B-C50C-407E-A947-70E740481C1C}">
                                          <a14:useLocalDpi xmlns:a14="http://schemas.microsoft.com/office/drawing/2010/main" val="0"/>
                                        </a:ext>
                                      </a:extLst>
                                    </a:blip>
                                    <a:stretch>
                                      <a:fillRect/>
                                    </a:stretch>
                                  </pic:blipFill>
                                  <pic:spPr>
                                    <a:xfrm>
                                      <a:off x="0" y="0"/>
                                      <a:ext cx="4521899" cy="3960000"/>
                                    </a:xfrm>
                                    <a:prstGeom prst="rect">
                                      <a:avLst/>
                                    </a:prstGeom>
                                  </pic:spPr>
                                </pic:pic>
                              </a:graphicData>
                            </a:graphic>
                          </wp:inline>
                        </w:drawing>
                      </w:r>
                    </w:p>
                    <w:p w:rsidR="00A469F2" w:rsidRPr="003E5507" w:rsidRDefault="00A469F2" w:rsidP="003E5507">
                      <w:pPr>
                        <w:rPr>
                          <w:rFonts w:asciiTheme="minorHAnsi" w:hAnsiTheme="minorHAnsi"/>
                          <w:color w:val="FFFFFF" w:themeColor="background1"/>
                          <w:sz w:val="22"/>
                        </w:rPr>
                      </w:pPr>
                      <w:r w:rsidRPr="003E5507">
                        <w:rPr>
                          <w:rFonts w:asciiTheme="minorHAnsi" w:hAnsiTheme="minorHAnsi"/>
                          <w:i/>
                          <w:color w:val="FFFFFF" w:themeColor="background1"/>
                          <w:sz w:val="20"/>
                        </w:rPr>
                        <w:t>Źródło: Raport o miastach województwa dolnośląskiego</w:t>
                      </w:r>
                      <w:r w:rsidRPr="003E5507">
                        <w:rPr>
                          <w:rFonts w:asciiTheme="minorHAnsi" w:hAnsiTheme="minorHAnsi"/>
                          <w:color w:val="FFFFFF" w:themeColor="background1"/>
                          <w:sz w:val="20"/>
                        </w:rPr>
                        <w:t>, Instytut Rozwoju Terytorialnego, Wrocław, 2012.</w:t>
                      </w:r>
                    </w:p>
                    <w:p w:rsidR="00A469F2" w:rsidRDefault="00A469F2" w:rsidP="003E5507">
                      <w:pPr>
                        <w:rPr>
                          <w:rFonts w:asciiTheme="minorHAnsi" w:hAnsiTheme="minorHAnsi"/>
                          <w:color w:val="FFFFFF" w:themeColor="background1"/>
                          <w:sz w:val="22"/>
                        </w:rPr>
                      </w:pPr>
                    </w:p>
                    <w:p w:rsidR="00A469F2" w:rsidRPr="000100D2" w:rsidRDefault="00A469F2" w:rsidP="003E5507">
                      <w:pPr>
                        <w:rPr>
                          <w:rFonts w:asciiTheme="minorHAnsi" w:hAnsiTheme="minorHAnsi"/>
                          <w:color w:val="FFFFFF" w:themeColor="background1"/>
                          <w:sz w:val="22"/>
                        </w:rPr>
                      </w:pPr>
                      <w:r w:rsidRPr="000100D2">
                        <w:rPr>
                          <w:rFonts w:asciiTheme="minorHAnsi" w:hAnsiTheme="minorHAnsi"/>
                          <w:color w:val="FFFFFF" w:themeColor="background1"/>
                          <w:sz w:val="22"/>
                        </w:rPr>
                        <w:t>Porównując do siebie wymianę pokoleniową na miejscach prac</w:t>
                      </w:r>
                      <w:r>
                        <w:rPr>
                          <w:rFonts w:asciiTheme="minorHAnsi" w:hAnsiTheme="minorHAnsi"/>
                          <w:color w:val="FFFFFF" w:themeColor="background1"/>
                          <w:sz w:val="22"/>
                        </w:rPr>
                        <w:t>y, tj. ilość osób schodzących z </w:t>
                      </w:r>
                      <w:r w:rsidRPr="000100D2">
                        <w:rPr>
                          <w:rFonts w:asciiTheme="minorHAnsi" w:hAnsiTheme="minorHAnsi"/>
                          <w:color w:val="FFFFFF" w:themeColor="background1"/>
                          <w:sz w:val="22"/>
                        </w:rPr>
                        <w:t>rynku pracy (w wieku emerytalnym 60-64 lata) z ilością osób potencjalnie wchodzącą na ten rynek (19-24) można zauważyć ujemną różnicę w nadchodzą</w:t>
                      </w:r>
                      <w:r>
                        <w:rPr>
                          <w:rFonts w:asciiTheme="minorHAnsi" w:hAnsiTheme="minorHAnsi"/>
                          <w:color w:val="FFFFFF" w:themeColor="background1"/>
                          <w:sz w:val="22"/>
                        </w:rPr>
                        <w:t>cych latach. Oznacza to, że w </w:t>
                      </w:r>
                      <w:r w:rsidRPr="000100D2">
                        <w:rPr>
                          <w:rFonts w:asciiTheme="minorHAnsi" w:hAnsiTheme="minorHAnsi"/>
                          <w:color w:val="FFFFFF" w:themeColor="background1"/>
                          <w:sz w:val="22"/>
                        </w:rPr>
                        <w:t>niedługiej perspektywie czasowej problemem nie stanie się brak wolnych miejsc pracy, ale brak możliwości efektywnego obsadzenia dotychczasowych.</w:t>
                      </w:r>
                    </w:p>
                    <w:p w:rsidR="00A469F2" w:rsidRPr="000100D2" w:rsidRDefault="00A469F2" w:rsidP="00981782">
                      <w:pPr>
                        <w:pStyle w:val="Legenda"/>
                        <w:keepNext/>
                        <w:shd w:val="clear" w:color="auto" w:fill="2E74B5" w:themeFill="accent1" w:themeFillShade="BF"/>
                        <w:spacing w:line="276" w:lineRule="auto"/>
                        <w:rPr>
                          <w:rFonts w:asciiTheme="minorHAnsi" w:hAnsiTheme="minorHAnsi"/>
                          <w:color w:val="FFFFFF" w:themeColor="background1"/>
                          <w:sz w:val="20"/>
                          <w:szCs w:val="22"/>
                        </w:rPr>
                      </w:pPr>
                      <w:r w:rsidRPr="000100D2">
                        <w:rPr>
                          <w:rFonts w:asciiTheme="minorHAnsi" w:hAnsiTheme="minorHAnsi"/>
                          <w:color w:val="FFFFFF" w:themeColor="background1"/>
                          <w:sz w:val="20"/>
                          <w:szCs w:val="22"/>
                        </w:rPr>
                        <w:t xml:space="preserve">Tabela </w:t>
                      </w:r>
                      <w:r w:rsidRPr="000100D2">
                        <w:rPr>
                          <w:rFonts w:asciiTheme="minorHAnsi" w:hAnsiTheme="minorHAnsi"/>
                          <w:color w:val="FFFFFF" w:themeColor="background1"/>
                          <w:sz w:val="20"/>
                          <w:szCs w:val="22"/>
                        </w:rPr>
                        <w:fldChar w:fldCharType="begin"/>
                      </w:r>
                      <w:r w:rsidRPr="000100D2">
                        <w:rPr>
                          <w:rFonts w:asciiTheme="minorHAnsi" w:hAnsiTheme="minorHAnsi"/>
                          <w:color w:val="FFFFFF" w:themeColor="background1"/>
                          <w:sz w:val="20"/>
                          <w:szCs w:val="22"/>
                        </w:rPr>
                        <w:instrText xml:space="preserve"> SEQ Tabela \* ARABIC </w:instrText>
                      </w:r>
                      <w:r w:rsidRPr="000100D2">
                        <w:rPr>
                          <w:rFonts w:asciiTheme="minorHAnsi" w:hAnsiTheme="minorHAnsi"/>
                          <w:color w:val="FFFFFF" w:themeColor="background1"/>
                          <w:sz w:val="20"/>
                          <w:szCs w:val="22"/>
                        </w:rPr>
                        <w:fldChar w:fldCharType="separate"/>
                      </w:r>
                      <w:r w:rsidR="007B2916">
                        <w:rPr>
                          <w:rFonts w:asciiTheme="minorHAnsi" w:hAnsiTheme="minorHAnsi"/>
                          <w:noProof/>
                          <w:color w:val="FFFFFF" w:themeColor="background1"/>
                          <w:sz w:val="20"/>
                          <w:szCs w:val="22"/>
                        </w:rPr>
                        <w:t>8</w:t>
                      </w:r>
                      <w:r w:rsidRPr="000100D2">
                        <w:rPr>
                          <w:rFonts w:asciiTheme="minorHAnsi" w:hAnsiTheme="minorHAnsi"/>
                          <w:color w:val="FFFFFF" w:themeColor="background1"/>
                          <w:sz w:val="20"/>
                          <w:szCs w:val="22"/>
                        </w:rPr>
                        <w:fldChar w:fldCharType="end"/>
                      </w:r>
                      <w:r w:rsidRPr="000100D2">
                        <w:rPr>
                          <w:rFonts w:asciiTheme="minorHAnsi" w:hAnsiTheme="minorHAnsi"/>
                          <w:color w:val="FFFFFF" w:themeColor="background1"/>
                          <w:sz w:val="20"/>
                          <w:szCs w:val="22"/>
                        </w:rPr>
                        <w:t>. Wskaźnik demografii rynku pracy.</w:t>
                      </w:r>
                    </w:p>
                    <w:tbl>
                      <w:tblPr>
                        <w:tblStyle w:val="Tabela-Siatka"/>
                        <w:tblW w:w="0" w:type="auto"/>
                        <w:shd w:val="clear" w:color="auto" w:fill="FFFFFF" w:themeFill="background1"/>
                        <w:tblLook w:val="04A0" w:firstRow="1" w:lastRow="0" w:firstColumn="1" w:lastColumn="0" w:noHBand="0" w:noVBand="1"/>
                      </w:tblPr>
                      <w:tblGrid>
                        <w:gridCol w:w="1554"/>
                        <w:gridCol w:w="1346"/>
                        <w:gridCol w:w="1347"/>
                        <w:gridCol w:w="1346"/>
                        <w:gridCol w:w="1347"/>
                        <w:gridCol w:w="1347"/>
                      </w:tblGrid>
                      <w:tr w:rsidR="00A469F2" w:rsidTr="00CF07FE">
                        <w:tc>
                          <w:tcPr>
                            <w:tcW w:w="1554"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Okres</w:t>
                            </w:r>
                          </w:p>
                        </w:tc>
                        <w:tc>
                          <w:tcPr>
                            <w:tcW w:w="1346"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2012-2016</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2017-2021</w:t>
                            </w:r>
                          </w:p>
                        </w:tc>
                        <w:tc>
                          <w:tcPr>
                            <w:tcW w:w="1346"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2022 - 2026</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2027 - 2031</w:t>
                            </w:r>
                          </w:p>
                        </w:tc>
                        <w:tc>
                          <w:tcPr>
                            <w:tcW w:w="1347" w:type="dxa"/>
                            <w:shd w:val="clear" w:color="auto" w:fill="FFFFFF" w:themeFill="background1"/>
                          </w:tcPr>
                          <w:p w:rsidR="00A469F2" w:rsidRPr="00981782" w:rsidRDefault="00A469F2" w:rsidP="00981782">
                            <w:pPr>
                              <w:rPr>
                                <w:rFonts w:asciiTheme="minorHAnsi" w:hAnsiTheme="minorHAnsi"/>
                                <w:b/>
                                <w:sz w:val="22"/>
                              </w:rPr>
                            </w:pPr>
                            <w:r w:rsidRPr="00981782">
                              <w:rPr>
                                <w:rFonts w:asciiTheme="minorHAnsi" w:hAnsiTheme="minorHAnsi"/>
                                <w:b/>
                                <w:sz w:val="22"/>
                              </w:rPr>
                              <w:t>2032 - 2036</w:t>
                            </w:r>
                          </w:p>
                        </w:tc>
                      </w:tr>
                      <w:tr w:rsidR="00A469F2" w:rsidTr="00CF07FE">
                        <w:tc>
                          <w:tcPr>
                            <w:tcW w:w="1554" w:type="dxa"/>
                            <w:shd w:val="clear" w:color="auto" w:fill="9CC2E5" w:themeFill="accent1" w:themeFillTint="99"/>
                          </w:tcPr>
                          <w:p w:rsidR="00A469F2" w:rsidRPr="00981782" w:rsidRDefault="00A469F2" w:rsidP="00CF07FE">
                            <w:pPr>
                              <w:rPr>
                                <w:rFonts w:asciiTheme="minorHAnsi" w:hAnsiTheme="minorHAnsi"/>
                                <w:b/>
                                <w:sz w:val="22"/>
                              </w:rPr>
                            </w:pPr>
                            <w:r w:rsidRPr="00981782">
                              <w:rPr>
                                <w:rFonts w:asciiTheme="minorHAnsi" w:hAnsiTheme="minorHAnsi"/>
                                <w:b/>
                                <w:sz w:val="22"/>
                              </w:rPr>
                              <w:t>Wsk</w:t>
                            </w:r>
                            <w:r>
                              <w:rPr>
                                <w:rFonts w:asciiTheme="minorHAnsi" w:hAnsiTheme="minorHAnsi"/>
                                <w:b/>
                                <w:sz w:val="22"/>
                              </w:rPr>
                              <w:t>aźnik różnicy liczby ludności w </w:t>
                            </w:r>
                            <w:r w:rsidRPr="00981782">
                              <w:rPr>
                                <w:rFonts w:asciiTheme="minorHAnsi" w:hAnsiTheme="minorHAnsi"/>
                                <w:b/>
                                <w:sz w:val="22"/>
                              </w:rPr>
                              <w:t>wieku 20-24 i</w:t>
                            </w:r>
                            <w:r>
                              <w:rPr>
                                <w:rFonts w:asciiTheme="minorHAnsi" w:hAnsiTheme="minorHAnsi"/>
                                <w:b/>
                                <w:sz w:val="22"/>
                              </w:rPr>
                              <w:t> </w:t>
                            </w:r>
                            <w:r w:rsidRPr="00981782">
                              <w:rPr>
                                <w:rFonts w:asciiTheme="minorHAnsi" w:hAnsiTheme="minorHAnsi"/>
                                <w:b/>
                                <w:sz w:val="22"/>
                              </w:rPr>
                              <w:t>60-64</w:t>
                            </w:r>
                          </w:p>
                        </w:tc>
                        <w:tc>
                          <w:tcPr>
                            <w:tcW w:w="1346"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- 1 778</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- 3 429</w:t>
                            </w:r>
                          </w:p>
                        </w:tc>
                        <w:tc>
                          <w:tcPr>
                            <w:tcW w:w="1346"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- 3 187</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- 1432</w:t>
                            </w:r>
                          </w:p>
                        </w:tc>
                        <w:tc>
                          <w:tcPr>
                            <w:tcW w:w="1347" w:type="dxa"/>
                            <w:shd w:val="clear" w:color="auto" w:fill="9CC2E5" w:themeFill="accent1" w:themeFillTint="99"/>
                          </w:tcPr>
                          <w:p w:rsidR="00A469F2" w:rsidRDefault="00A469F2" w:rsidP="00E43D51">
                            <w:pPr>
                              <w:jc w:val="center"/>
                              <w:rPr>
                                <w:rFonts w:asciiTheme="minorHAnsi" w:hAnsiTheme="minorHAnsi"/>
                                <w:sz w:val="22"/>
                              </w:rPr>
                            </w:pPr>
                            <w:r>
                              <w:rPr>
                                <w:rFonts w:asciiTheme="minorHAnsi" w:hAnsiTheme="minorHAnsi"/>
                                <w:sz w:val="22"/>
                              </w:rPr>
                              <w:t>- 1582</w:t>
                            </w:r>
                          </w:p>
                        </w:tc>
                      </w:tr>
                    </w:tbl>
                    <w:p w:rsidR="00A469F2" w:rsidRPr="000100D2" w:rsidRDefault="00A469F2" w:rsidP="00981782">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 Źródło: Opracowanie własne na podstawie: Bank Danych Lokalnych, GUS.</w:t>
                      </w:r>
                    </w:p>
                    <w:p w:rsidR="00A469F2" w:rsidRPr="000100D2" w:rsidRDefault="00A469F2" w:rsidP="00981782">
                      <w:pPr>
                        <w:shd w:val="clear" w:color="auto" w:fill="2E74B5" w:themeFill="accent1" w:themeFillShade="BF"/>
                        <w:rPr>
                          <w:rFonts w:asciiTheme="minorHAnsi" w:hAnsiTheme="minorHAnsi"/>
                          <w:color w:val="FFFFFF" w:themeColor="background1"/>
                          <w:sz w:val="22"/>
                        </w:rPr>
                      </w:pPr>
                    </w:p>
                    <w:p w:rsidR="00A469F2" w:rsidRPr="000100D2" w:rsidRDefault="00A469F2" w:rsidP="00981782">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Powyższa tendencja w połączeniu z prognozowanym przez GUS spadkiem liczby mieszkańców w latach 2012-2035, niskim poziomem przyrostu naturalnego, odpływem ludności w wieku produkcyjnym i rozwojowym (zwłaszcza kobiet), brakiem napływu ludności z zewnątrz oraz  wydłużającą się średnią długością życia sprawi, że Legnica stanie przed ciężkim wyzwaniem społeczno-gospodarczym. </w:t>
                      </w:r>
                    </w:p>
                    <w:p w:rsidR="00A469F2" w:rsidRPr="00DC2D17" w:rsidRDefault="00A469F2" w:rsidP="00981782">
                      <w:pPr>
                        <w:shd w:val="clear" w:color="auto" w:fill="2E74B5" w:themeFill="accent1" w:themeFillShade="BF"/>
                        <w:rPr>
                          <w:rFonts w:asciiTheme="minorHAnsi" w:hAnsiTheme="minorHAnsi"/>
                          <w:color w:val="FFFFFF" w:themeColor="background1"/>
                          <w:sz w:val="22"/>
                        </w:rPr>
                      </w:pPr>
                    </w:p>
                    <w:p w:rsidR="00A469F2" w:rsidRDefault="00A469F2" w:rsidP="006F38DE"/>
                  </w:txbxContent>
                </v:textbox>
                <w10:wrap type="topAndBottom"/>
              </v:shape>
            </w:pict>
          </mc:Fallback>
        </mc:AlternateContent>
      </w:r>
    </w:p>
    <w:bookmarkStart w:id="19" w:name="_Toc399755661"/>
    <w:bookmarkStart w:id="20" w:name="_Toc399755970"/>
    <w:bookmarkStart w:id="21" w:name="_Toc399756308"/>
    <w:p w:rsidR="002A5CDA" w:rsidRDefault="003E5507" w:rsidP="00EC5484">
      <w:pPr>
        <w:pStyle w:val="Nagwek3"/>
        <w:sectPr w:rsidR="002A5CDA" w:rsidSect="000535DD">
          <w:pgSz w:w="11906" w:h="16838"/>
          <w:pgMar w:top="1417" w:right="1417" w:bottom="1417" w:left="1417" w:header="708" w:footer="708" w:gutter="0"/>
          <w:cols w:space="708"/>
          <w:docGrid w:linePitch="360"/>
        </w:sectPr>
      </w:pPr>
      <w:r>
        <w:rPr>
          <w:rFonts w:asciiTheme="minorHAnsi" w:hAnsiTheme="minorHAnsi"/>
          <w:noProof/>
          <w:sz w:val="22"/>
          <w:lang w:eastAsia="pl-PL"/>
        </w:rPr>
        <mc:AlternateContent>
          <mc:Choice Requires="wps">
            <w:drawing>
              <wp:anchor distT="0" distB="0" distL="114300" distR="114300" simplePos="0" relativeHeight="251699200" behindDoc="0" locked="0" layoutInCell="1" allowOverlap="1" wp14:anchorId="56363692" wp14:editId="78D86098">
                <wp:simplePos x="0" y="0"/>
                <wp:positionH relativeFrom="column">
                  <wp:posOffset>-4445</wp:posOffset>
                </wp:positionH>
                <wp:positionV relativeFrom="paragraph">
                  <wp:posOffset>0</wp:posOffset>
                </wp:positionV>
                <wp:extent cx="5695950" cy="5305425"/>
                <wp:effectExtent l="0" t="0" r="19050" b="28575"/>
                <wp:wrapTopAndBottom/>
                <wp:docPr id="134" name="Pole tekstowe 134"/>
                <wp:cNvGraphicFramePr/>
                <a:graphic xmlns:a="http://schemas.openxmlformats.org/drawingml/2006/main">
                  <a:graphicData uri="http://schemas.microsoft.com/office/word/2010/wordprocessingShape">
                    <wps:wsp>
                      <wps:cNvSpPr txBox="1"/>
                      <wps:spPr>
                        <a:xfrm>
                          <a:off x="0" y="0"/>
                          <a:ext cx="5695950" cy="530542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Default="00A469F2"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Malejąca liczba osób pracujących spowoduje spadek docho</w:t>
                            </w:r>
                            <w:r>
                              <w:rPr>
                                <w:rFonts w:asciiTheme="minorHAnsi" w:hAnsiTheme="minorHAnsi"/>
                                <w:color w:val="FFFFFF" w:themeColor="background1"/>
                                <w:sz w:val="22"/>
                              </w:rPr>
                              <w:t>dów uzyskiwanych przez miasto z </w:t>
                            </w:r>
                            <w:r w:rsidRPr="000100D2">
                              <w:rPr>
                                <w:rFonts w:asciiTheme="minorHAnsi" w:hAnsiTheme="minorHAnsi"/>
                                <w:color w:val="FFFFFF" w:themeColor="background1"/>
                                <w:sz w:val="22"/>
                              </w:rPr>
                              <w:t xml:space="preserve">podatku dochodowego, przy jednoczesnym wzroście obciążenia z tytułu opieki nad osobami starszymi i zapewnieniu im odpowiedniej infrastruktury. Zwiększenie obciążenia finansowego ludności w wieku produkcyjnym wpłynie również na spadek ich popytu konsumpcyjnego. Pokrycie obecnych kosztów bieżących utrzymania części instytucji publicznych i infrastruktury może okazać się niemożliwe dla budżetu miasta w dalszej perspektywie (np. spadek liczby dzieci powoduje spadek przyznanej subwencji oświatowej, co znacznie podnosi koszt utrzymania szkoły) .   </w:t>
                            </w:r>
                          </w:p>
                          <w:p w:rsidR="00A469F2" w:rsidRPr="000100D2" w:rsidRDefault="00A469F2" w:rsidP="003E5507">
                            <w:pPr>
                              <w:shd w:val="clear" w:color="auto" w:fill="2E74B5" w:themeFill="accent1" w:themeFillShade="BF"/>
                              <w:rPr>
                                <w:rFonts w:asciiTheme="minorHAnsi" w:hAnsiTheme="minorHAnsi"/>
                                <w:color w:val="FFFFFF" w:themeColor="background1"/>
                                <w:sz w:val="22"/>
                              </w:rPr>
                            </w:pPr>
                          </w:p>
                          <w:p w:rsidR="00A469F2" w:rsidRPr="000100D2" w:rsidRDefault="00A469F2"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Powyższa analiza pokazuje, iż warto stawiając sobie dzisiaj ambitne cele inwestycyjne, przeprowadzić analizę komu dana infrastruktura będzie służyć i czy w niedalekiej perspektywie koszt jej utrzymania nie przekroczy możliwości ekonomicznych Miasta. </w:t>
                            </w:r>
                          </w:p>
                          <w:p w:rsidR="00A469F2" w:rsidRPr="000100D2" w:rsidRDefault="00A469F2" w:rsidP="003E5507">
                            <w:pPr>
                              <w:shd w:val="clear" w:color="auto" w:fill="2E74B5" w:themeFill="accent1" w:themeFillShade="BF"/>
                              <w:rPr>
                                <w:rFonts w:asciiTheme="minorHAnsi" w:hAnsiTheme="minorHAnsi"/>
                                <w:color w:val="FFFFFF" w:themeColor="background1"/>
                                <w:sz w:val="22"/>
                              </w:rPr>
                            </w:pPr>
                          </w:p>
                          <w:p w:rsidR="00A469F2" w:rsidRPr="00DC2D17" w:rsidRDefault="00A469F2"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Przytoczone argumenty pokazują, że już dziś należy wprowadzać działania i rozwiązania systemowe stymulujące przyrost naturalny oraz zapobieżenie odpływowi mieszkańców poza granice miasta. Dbanie o odpowiednią infrastrukturę społeczną, a przede wszystkim mieszkaniową oraz atrakcyjność gospodarczą Miasta</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powinno przełożyć się na wzrost zainteresowania osiedlaniem się ludności napływowej w Legnicy. Bliskość oraz bardzo dobre połączenia komunikacyjne z dużym ośrodkiem miejskim o znaczeniu ponadregionalnym jakim jest Wrocław, może stanowić szansę dla Legnicy, jako miejsca przejmującego część funkcji mieszkalnej Wrocławia. Osoby pracujące we Wrocławiu lub na jego gospodarczych suburbiach szukające wygodnego miejsca do życia, zapewniającego dostęp do szeroko pojętej infrastruktury kulturowo-rekreacyjnej, przy jednoczesnym braku wielkomiejskiego zgiełku, mogą skierować swoją uwagę ku rozwijającej się Legnicy. Tocząc rozważania dotyczące postępujących procesów demograficznyc</w:t>
                            </w:r>
                            <w:r w:rsidRPr="00DC2D17">
                              <w:rPr>
                                <w:rFonts w:asciiTheme="minorHAnsi" w:hAnsiTheme="minorHAnsi"/>
                                <w:color w:val="FFFFFF" w:themeColor="background1"/>
                                <w:sz w:val="22"/>
                              </w:rPr>
                              <w:t xml:space="preserve">h, </w:t>
                            </w:r>
                            <w:r w:rsidRPr="000100D2">
                              <w:rPr>
                                <w:rFonts w:asciiTheme="minorHAnsi" w:hAnsiTheme="minorHAnsi"/>
                                <w:color w:val="FFFFFF" w:themeColor="background1"/>
                                <w:sz w:val="22"/>
                              </w:rPr>
                              <w:t>należy również mieć na uwadze potrzeby osób starszych i kreować programy społeczne i politykę socjalną w tym zakresie, nastawioną</w:t>
                            </w:r>
                            <w:r>
                              <w:rPr>
                                <w:rFonts w:asciiTheme="minorHAnsi" w:hAnsiTheme="minorHAnsi"/>
                                <w:color w:val="FFFFFF" w:themeColor="background1"/>
                                <w:sz w:val="22"/>
                              </w:rPr>
                              <w:t xml:space="preserve"> zwłaszcza na ich aktywizację. </w:t>
                            </w:r>
                          </w:p>
                          <w:p w:rsidR="00A469F2" w:rsidRDefault="00A469F2" w:rsidP="003E5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34" o:spid="_x0000_s1058" type="#_x0000_t202" style="position:absolute;left:0;text-align:left;margin-left:-.35pt;margin-top:0;width:448.5pt;height:4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6UrgIAAOwFAAAOAAAAZHJzL2Uyb0RvYy54bWysVFtP2zAUfp+0/2D5fSS9BEZFijoQ0yQG&#10;aDDx7Dp2G2H7eLbbpPz6HTvpBZgmMe0lOT73853L2XmrFVkL52swJR0c5ZQIw6GqzaKkPx+uPn2m&#10;xAdmKqbAiJJuhKfn048fzho7EUNYgqqEI+jE+EljS7oMwU6yzPOl0MwfgRUGhRKcZgGfbpFVjjXo&#10;XatsmOfHWQOusg648B65l52QTpN/KQUPt1J6EYgqKeYW0tel7zx+s+kZmywcs8ua92mwf8hCs9pg&#10;0J2rSxYYWbn6jStdcwceZDjioDOQsuYi1YDVDPJX1dwvmRWpFgTH2x1M/v+55TfrO0fqCns3GlNi&#10;mMYm3YESJIgnH6ARJAoQpsb6CWrfW9QP7Rdo0WTL98iM1bfS6fjHugjKEfDNDmTRBsKRWRyfFqcF&#10;ijjKilFejIdF9JPtza3z4asATSJRUoddTOCy9bUPnepWJUbzoOrqqlYqPeLkiAvlyJphzxnnwoRB&#10;Mlcr/R2qjn9S5HnqPoZNwxZNUhIvvClDmpIejzDfN5FiCrs4c8X4U1/GgQf0rky0FGkW+/QjlB1k&#10;iQobJaKOMj+ExF4k5P5SS4dA0o5aEit/j2Gvv8/qPcZdHWiRIoMJO2NdG3AdSi9bUD2lOUEoZKeP&#10;MB/UHcnQzttuCNMoRNYcqg1OmoNuZb3lVzUCfs18uGMOdxQnCO9OuMWPVIBdgp6iZAnu+U/8qI+r&#10;g1JKGtz5kvpfK+YEJeqbwaU6HYzH8Uikx7g4GeLDHUrmhxKz0heAIzbAC2d5IqN+UFtSOtCPeJ5m&#10;MSqKmOEYu6RhS16E7hLheeNiNktKeBYsC9fm3vLoOsIcB+2hfWTO9gsRcJduYHsd2OTVXnS60dLA&#10;bBVA1mlp9qj2DcCTkia+P3/xZh2+k9b+SE9/AwAA//8DAFBLAwQUAAYACAAAACEAWKCux9wAAAAG&#10;AQAADwAAAGRycy9kb3ducmV2LnhtbEyPwU7DMBBE70j8g7VI3FqHViltGqcCBAj11hBxduIlCcTr&#10;yHbbwNeznOA2qxnNvM13kx3ECX3oHSm4mScgkBpnemoVVK9PszWIEDUZPThCBV8YYFdcXuQ6M+5M&#10;BzyVsRVcQiHTCroYx0zK0HRodZi7EYm9d+etjnz6Vhqvz1xuB7lIkpW0uide6PSIDx02n+XRKiif&#10;m6o+xOmlcvvve+/St4/HhVXq+mq624KIOMW/MPziMzoUzFS7I5kgBgWzWw4q4H/YXG9WSxA1i2Wa&#10;gixy+R+/+AEAAP//AwBQSwECLQAUAAYACAAAACEAtoM4kv4AAADhAQAAEwAAAAAAAAAAAAAAAAAA&#10;AAAAW0NvbnRlbnRfVHlwZXNdLnhtbFBLAQItABQABgAIAAAAIQA4/SH/1gAAAJQBAAALAAAAAAAA&#10;AAAAAAAAAC8BAABfcmVscy8ucmVsc1BLAQItABQABgAIAAAAIQBjjK6UrgIAAOwFAAAOAAAAAAAA&#10;AAAAAAAAAC4CAABkcnMvZTJvRG9jLnhtbFBLAQItABQABgAIAAAAIQBYoK7H3AAAAAYBAAAPAAAA&#10;AAAAAAAAAAAAAAgFAABkcnMvZG93bnJldi54bWxQSwUGAAAAAAQABADzAAAAEQYAAAAA&#10;" fillcolor="#2e74b5 [2404]" strokeweight=".5pt">
                <v:textbox>
                  <w:txbxContent>
                    <w:p w:rsidR="00960314" w:rsidRDefault="00960314"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Malejąca liczba osób pracujących spowoduje spadek docho</w:t>
                      </w:r>
                      <w:r>
                        <w:rPr>
                          <w:rFonts w:asciiTheme="minorHAnsi" w:hAnsiTheme="minorHAnsi"/>
                          <w:color w:val="FFFFFF" w:themeColor="background1"/>
                          <w:sz w:val="22"/>
                        </w:rPr>
                        <w:t>dów uzyskiwanych przez miasto z </w:t>
                      </w:r>
                      <w:r w:rsidRPr="000100D2">
                        <w:rPr>
                          <w:rFonts w:asciiTheme="minorHAnsi" w:hAnsiTheme="minorHAnsi"/>
                          <w:color w:val="FFFFFF" w:themeColor="background1"/>
                          <w:sz w:val="22"/>
                        </w:rPr>
                        <w:t xml:space="preserve">podatku dochodowego, przy jednoczesnym wzroście obciążenia z tytułu opieki nad osobami starszymi i zapewnieniu im odpowiedniej infrastruktury. Zwiększenie obciążenia finansowego ludności w wieku produkcyjnym wpłynie również na spadek ich popytu konsumpcyjnego. Pokrycie obecnych kosztów bieżących utrzymania części instytucji publicznych i infrastruktury może okazać się niemożliwe dla budżetu miasta w dalszej perspektywie (np. spadek liczby dzieci powoduje spadek przyznanej subwencji oświatowej, co znacznie podnosi koszt utrzymania szkoły) .   </w:t>
                      </w:r>
                    </w:p>
                    <w:p w:rsidR="00960314" w:rsidRPr="000100D2" w:rsidRDefault="00960314" w:rsidP="003E5507">
                      <w:pPr>
                        <w:shd w:val="clear" w:color="auto" w:fill="2E74B5" w:themeFill="accent1" w:themeFillShade="BF"/>
                        <w:rPr>
                          <w:rFonts w:asciiTheme="minorHAnsi" w:hAnsiTheme="minorHAnsi"/>
                          <w:color w:val="FFFFFF" w:themeColor="background1"/>
                          <w:sz w:val="22"/>
                        </w:rPr>
                      </w:pPr>
                    </w:p>
                    <w:p w:rsidR="00960314" w:rsidRPr="000100D2" w:rsidRDefault="00960314"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 xml:space="preserve">Powyższa analiza pokazuje, iż warto stawiając sobie dzisiaj ambitne cele inwestycyjne, przeprowadzić analizę komu dana infrastruktura będzie służyć i czy w niedalekiej perspektywie koszt jej utrzymania nie przekroczy możliwości ekonomicznych Miasta. </w:t>
                      </w:r>
                    </w:p>
                    <w:p w:rsidR="00960314" w:rsidRPr="000100D2" w:rsidRDefault="00960314" w:rsidP="003E5507">
                      <w:pPr>
                        <w:shd w:val="clear" w:color="auto" w:fill="2E74B5" w:themeFill="accent1" w:themeFillShade="BF"/>
                        <w:rPr>
                          <w:rFonts w:asciiTheme="minorHAnsi" w:hAnsiTheme="minorHAnsi"/>
                          <w:color w:val="FFFFFF" w:themeColor="background1"/>
                          <w:sz w:val="22"/>
                        </w:rPr>
                      </w:pPr>
                    </w:p>
                    <w:p w:rsidR="00960314" w:rsidRPr="00DC2D17" w:rsidRDefault="00960314" w:rsidP="003E5507">
                      <w:pPr>
                        <w:shd w:val="clear" w:color="auto" w:fill="2E74B5" w:themeFill="accent1" w:themeFillShade="BF"/>
                        <w:rPr>
                          <w:rFonts w:asciiTheme="minorHAnsi" w:hAnsiTheme="minorHAnsi"/>
                          <w:color w:val="FFFFFF" w:themeColor="background1"/>
                          <w:sz w:val="22"/>
                        </w:rPr>
                      </w:pPr>
                      <w:r w:rsidRPr="000100D2">
                        <w:rPr>
                          <w:rFonts w:asciiTheme="minorHAnsi" w:hAnsiTheme="minorHAnsi"/>
                          <w:color w:val="FFFFFF" w:themeColor="background1"/>
                          <w:sz w:val="22"/>
                        </w:rPr>
                        <w:t>Przytoczone argumenty pokazują, że już dziś należy wprowadzać działania i rozwiązania systemowe stymulujące przyrost naturalny oraz zapobieżenie odpływowi mieszkańców poza granice miasta. Dbanie o odpowiednią infrastrukturę społeczną, a przede wszystkim mieszkaniową oraz atrakcyjność gospodarczą Miasta</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powinno przełożyć się na wzrost zainteresowania osiedlaniem się ludności napływowej w Legnicy. Bliskość oraz bardzo dobre połączenia komunikacyjne z dużym ośrodkiem miejskim o znaczeniu ponadregionalnym jakim jest Wrocław, może stanowić szansę dla Legnicy, jako miejsca przejmującego część funkcji mieszkalnej Wrocławia. Osoby pracujące we Wrocławiu lub na jego gospodarczych suburbiach szukające wygodnego miejsca do życia, zapewniającego dostęp do szeroko pojętej infrastruktury kulturowo-rekreacyjnej, przy jednoczesnym braku wielkomiejskiego zgiełku, mogą skierować swoją uwagę ku rozwijającej się Legnicy. Tocząc rozważania dotyczące postępujących procesów demograficznyc</w:t>
                      </w:r>
                      <w:r w:rsidRPr="00DC2D17">
                        <w:rPr>
                          <w:rFonts w:asciiTheme="minorHAnsi" w:hAnsiTheme="minorHAnsi"/>
                          <w:color w:val="FFFFFF" w:themeColor="background1"/>
                          <w:sz w:val="22"/>
                        </w:rPr>
                        <w:t xml:space="preserve">h, </w:t>
                      </w:r>
                      <w:r w:rsidRPr="000100D2">
                        <w:rPr>
                          <w:rFonts w:asciiTheme="minorHAnsi" w:hAnsiTheme="minorHAnsi"/>
                          <w:color w:val="FFFFFF" w:themeColor="background1"/>
                          <w:sz w:val="22"/>
                        </w:rPr>
                        <w:t>należy również mieć na uwadze potrzeby osób starszych i kreować programy społeczne i politykę socjalną w tym zakresie, nastawioną</w:t>
                      </w:r>
                      <w:r>
                        <w:rPr>
                          <w:rFonts w:asciiTheme="minorHAnsi" w:hAnsiTheme="minorHAnsi"/>
                          <w:color w:val="FFFFFF" w:themeColor="background1"/>
                          <w:sz w:val="22"/>
                        </w:rPr>
                        <w:t xml:space="preserve"> zwłaszcza na ich aktywizację. </w:t>
                      </w:r>
                    </w:p>
                    <w:p w:rsidR="00960314" w:rsidRDefault="00960314" w:rsidP="003E5507"/>
                  </w:txbxContent>
                </v:textbox>
                <w10:wrap type="topAndBottom"/>
              </v:shape>
            </w:pict>
          </mc:Fallback>
        </mc:AlternateContent>
      </w:r>
      <w:bookmarkEnd w:id="19"/>
      <w:bookmarkEnd w:id="20"/>
      <w:bookmarkEnd w:id="21"/>
    </w:p>
    <w:p w:rsidR="000535DD" w:rsidRPr="00EB06A5" w:rsidRDefault="00215C32" w:rsidP="00EC5484">
      <w:pPr>
        <w:pStyle w:val="Nagwek3"/>
      </w:pPr>
      <w:bookmarkStart w:id="22" w:name="_Toc399756309"/>
      <w:r w:rsidRPr="00EB06A5">
        <w:t>Infrastruktura społeczna</w:t>
      </w:r>
      <w:bookmarkEnd w:id="22"/>
    </w:p>
    <w:p w:rsidR="005A2ECE" w:rsidRPr="00563EF2" w:rsidRDefault="005A2ECE" w:rsidP="00FD7676">
      <w:pPr>
        <w:rPr>
          <w:rFonts w:asciiTheme="minorHAnsi" w:hAnsiTheme="minorHAnsi"/>
          <w:b/>
          <w:sz w:val="22"/>
        </w:rPr>
      </w:pPr>
    </w:p>
    <w:p w:rsidR="00450A71" w:rsidRPr="00563EF2" w:rsidRDefault="009E4B50" w:rsidP="00EC5484">
      <w:pPr>
        <w:pStyle w:val="Nagwek3"/>
        <w:rPr>
          <w:b w:val="0"/>
        </w:rPr>
      </w:pPr>
      <w:bookmarkStart w:id="23" w:name="_Toc399756310"/>
      <w:r w:rsidRPr="00563EF2">
        <w:rPr>
          <w:b w:val="0"/>
        </w:rPr>
        <w:t>Szkolnictwo</w:t>
      </w:r>
      <w:bookmarkEnd w:id="23"/>
    </w:p>
    <w:p w:rsidR="006228B6" w:rsidRPr="006228B6" w:rsidRDefault="006228B6" w:rsidP="006228B6">
      <w:pPr>
        <w:rPr>
          <w:rFonts w:asciiTheme="minorHAnsi" w:hAnsiTheme="minorHAnsi"/>
          <w:sz w:val="22"/>
        </w:rPr>
      </w:pPr>
    </w:p>
    <w:p w:rsidR="00981782" w:rsidRPr="00A317BF" w:rsidRDefault="00BC0EB3" w:rsidP="00FD7676">
      <w:pPr>
        <w:rPr>
          <w:rFonts w:asciiTheme="minorHAnsi" w:hAnsiTheme="minorHAnsi"/>
          <w:color w:val="000000" w:themeColor="text1"/>
          <w:sz w:val="22"/>
        </w:rPr>
      </w:pPr>
      <w:r w:rsidRPr="00563EF2">
        <w:rPr>
          <w:rFonts w:asciiTheme="minorHAnsi" w:hAnsiTheme="minorHAnsi"/>
          <w:sz w:val="22"/>
        </w:rPr>
        <w:t>Widoczną tendencją</w:t>
      </w:r>
      <w:r w:rsidR="006228B6">
        <w:rPr>
          <w:rFonts w:asciiTheme="minorHAnsi" w:hAnsiTheme="minorHAnsi"/>
          <w:sz w:val="22"/>
        </w:rPr>
        <w:t xml:space="preserve"> w ostatnich latach</w:t>
      </w:r>
      <w:r w:rsidRPr="00563EF2">
        <w:rPr>
          <w:rFonts w:asciiTheme="minorHAnsi" w:hAnsiTheme="minorHAnsi"/>
          <w:sz w:val="22"/>
        </w:rPr>
        <w:t xml:space="preserve"> jest wzrost zapotrzebowania na ofertę</w:t>
      </w:r>
      <w:r w:rsidR="00C60F7C" w:rsidRPr="00563EF2">
        <w:rPr>
          <w:rFonts w:asciiTheme="minorHAnsi" w:hAnsiTheme="minorHAnsi"/>
          <w:sz w:val="22"/>
        </w:rPr>
        <w:t xml:space="preserve"> żłobków i</w:t>
      </w:r>
      <w:r w:rsidRPr="00563EF2">
        <w:rPr>
          <w:rFonts w:asciiTheme="minorHAnsi" w:hAnsiTheme="minorHAnsi"/>
          <w:sz w:val="22"/>
        </w:rPr>
        <w:t xml:space="preserve"> przedszkoli.</w:t>
      </w:r>
      <w:r w:rsidR="00CB3607">
        <w:rPr>
          <w:rFonts w:asciiTheme="minorHAnsi" w:hAnsiTheme="minorHAnsi"/>
          <w:sz w:val="22"/>
        </w:rPr>
        <w:t xml:space="preserve"> </w:t>
      </w:r>
      <w:r w:rsidRPr="00563EF2">
        <w:rPr>
          <w:rFonts w:asciiTheme="minorHAnsi" w:hAnsiTheme="minorHAnsi"/>
          <w:sz w:val="22"/>
        </w:rPr>
        <w:t>W lat</w:t>
      </w:r>
      <w:r w:rsidR="00C60F7C" w:rsidRPr="00563EF2">
        <w:rPr>
          <w:rFonts w:asciiTheme="minorHAnsi" w:hAnsiTheme="minorHAnsi"/>
          <w:sz w:val="22"/>
        </w:rPr>
        <w:t>ach 2008-2012</w:t>
      </w:r>
      <w:r w:rsidRPr="00563EF2">
        <w:rPr>
          <w:rFonts w:asciiTheme="minorHAnsi" w:hAnsiTheme="minorHAnsi"/>
          <w:sz w:val="22"/>
        </w:rPr>
        <w:t xml:space="preserve"> liczba</w:t>
      </w:r>
      <w:r w:rsidR="00C60F7C" w:rsidRPr="00563EF2">
        <w:rPr>
          <w:rFonts w:asciiTheme="minorHAnsi" w:hAnsiTheme="minorHAnsi"/>
          <w:sz w:val="22"/>
        </w:rPr>
        <w:t xml:space="preserve"> przedszkoli</w:t>
      </w:r>
      <w:r w:rsidR="00CB3607">
        <w:rPr>
          <w:rFonts w:asciiTheme="minorHAnsi" w:hAnsiTheme="minorHAnsi"/>
          <w:sz w:val="22"/>
        </w:rPr>
        <w:t xml:space="preserve"> w Legnicy</w:t>
      </w:r>
      <w:r w:rsidRPr="00563EF2">
        <w:rPr>
          <w:rFonts w:asciiTheme="minorHAnsi" w:hAnsiTheme="minorHAnsi"/>
          <w:sz w:val="22"/>
        </w:rPr>
        <w:t xml:space="preserve"> wzrosła o 14 </w:t>
      </w:r>
      <w:r w:rsidR="00C60F7C" w:rsidRPr="00563EF2">
        <w:rPr>
          <w:rFonts w:asciiTheme="minorHAnsi" w:hAnsiTheme="minorHAnsi"/>
          <w:sz w:val="22"/>
        </w:rPr>
        <w:t>obiektów, a liczba miejsc o 606</w:t>
      </w:r>
      <w:r w:rsidRPr="00563EF2">
        <w:rPr>
          <w:rFonts w:asciiTheme="minorHAnsi" w:hAnsiTheme="minorHAnsi"/>
          <w:sz w:val="22"/>
        </w:rPr>
        <w:t>.</w:t>
      </w:r>
      <w:r w:rsidR="00C60F7C" w:rsidRPr="00563EF2">
        <w:rPr>
          <w:rStyle w:val="Odwoanieprzypisudolnego"/>
          <w:rFonts w:asciiTheme="minorHAnsi" w:hAnsiTheme="minorHAnsi"/>
          <w:sz w:val="22"/>
        </w:rPr>
        <w:footnoteReference w:id="6"/>
      </w:r>
      <w:r w:rsidR="00B422E4" w:rsidRPr="00563EF2">
        <w:rPr>
          <w:rFonts w:asciiTheme="minorHAnsi" w:hAnsiTheme="minorHAnsi"/>
          <w:sz w:val="22"/>
        </w:rPr>
        <w:t>.</w:t>
      </w:r>
      <w:r w:rsidR="0061222D">
        <w:rPr>
          <w:rFonts w:asciiTheme="minorHAnsi" w:hAnsiTheme="minorHAnsi"/>
          <w:sz w:val="22"/>
        </w:rPr>
        <w:t xml:space="preserve"> </w:t>
      </w:r>
      <w:r w:rsidR="0061222D" w:rsidRPr="0061222D">
        <w:rPr>
          <w:rFonts w:asciiTheme="minorHAnsi" w:hAnsiTheme="minorHAnsi"/>
          <w:sz w:val="22"/>
        </w:rPr>
        <w:t>W roku szkolnym 2012/13 sieć przedszkoli w gminie Legnica tworzyło</w:t>
      </w:r>
      <w:r w:rsidR="0033475A">
        <w:rPr>
          <w:rFonts w:asciiTheme="minorHAnsi" w:hAnsiTheme="minorHAnsi"/>
          <w:sz w:val="22"/>
        </w:rPr>
        <w:t xml:space="preserve"> 15 przedszkoli publicznych, 16 </w:t>
      </w:r>
      <w:r w:rsidR="0061222D" w:rsidRPr="0061222D">
        <w:rPr>
          <w:rFonts w:asciiTheme="minorHAnsi" w:hAnsiTheme="minorHAnsi"/>
          <w:sz w:val="22"/>
        </w:rPr>
        <w:t>przedszkoli niepubliczny</w:t>
      </w:r>
      <w:r w:rsidR="0061222D">
        <w:rPr>
          <w:rFonts w:asciiTheme="minorHAnsi" w:hAnsiTheme="minorHAnsi"/>
          <w:sz w:val="22"/>
        </w:rPr>
        <w:t xml:space="preserve">ch oraz 4 punkty przedszkolne. </w:t>
      </w:r>
      <w:r w:rsidR="0061222D" w:rsidRPr="0061222D">
        <w:rPr>
          <w:rFonts w:asciiTheme="minorHAnsi" w:hAnsiTheme="minorHAnsi"/>
          <w:sz w:val="22"/>
        </w:rPr>
        <w:t>W 3 przedszkolach publicznych odbywała się realizacja specjalnych  potrzeb edukacyjnych dzieci.</w:t>
      </w:r>
      <w:r w:rsidR="006228B6">
        <w:rPr>
          <w:rFonts w:asciiTheme="minorHAnsi" w:hAnsiTheme="minorHAnsi"/>
          <w:sz w:val="22"/>
        </w:rPr>
        <w:t xml:space="preserve"> </w:t>
      </w:r>
      <w:r w:rsidR="0061222D">
        <w:rPr>
          <w:rFonts w:asciiTheme="minorHAnsi" w:hAnsiTheme="minorHAnsi"/>
          <w:sz w:val="22"/>
        </w:rPr>
        <w:t>Ponadto</w:t>
      </w:r>
      <w:r w:rsidR="00B422E4" w:rsidRPr="00563EF2">
        <w:rPr>
          <w:rFonts w:asciiTheme="minorHAnsi" w:hAnsiTheme="minorHAnsi"/>
          <w:sz w:val="22"/>
        </w:rPr>
        <w:t xml:space="preserve">  </w:t>
      </w:r>
      <w:r w:rsidR="0061222D">
        <w:rPr>
          <w:rFonts w:asciiTheme="minorHAnsi" w:hAnsiTheme="minorHAnsi"/>
          <w:sz w:val="22"/>
        </w:rPr>
        <w:t>w</w:t>
      </w:r>
      <w:r w:rsidR="0061222D">
        <w:rPr>
          <w:sz w:val="26"/>
          <w:szCs w:val="26"/>
        </w:rPr>
        <w:t xml:space="preserve"> </w:t>
      </w:r>
      <w:r w:rsidR="0061222D" w:rsidRPr="0061222D">
        <w:rPr>
          <w:rFonts w:asciiTheme="minorHAnsi" w:hAnsiTheme="minorHAnsi"/>
          <w:sz w:val="22"/>
        </w:rPr>
        <w:t>ostatnich latach w celu zapewnienia miejsca w przedszkolach wszystkim zgłoszonym dzieciom w rejonach Miasta, w których najwięcej dzieci nie zostało przyjętych, tworzono dodatkowe grupy przedszkolne</w:t>
      </w:r>
      <w:r w:rsidR="0061222D">
        <w:rPr>
          <w:rFonts w:asciiTheme="minorHAnsi" w:hAnsiTheme="minorHAnsi"/>
          <w:sz w:val="22"/>
        </w:rPr>
        <w:t>.</w:t>
      </w:r>
      <w:r w:rsidR="007A4A80">
        <w:rPr>
          <w:rFonts w:asciiTheme="minorHAnsi" w:hAnsiTheme="minorHAnsi"/>
          <w:sz w:val="22"/>
        </w:rPr>
        <w:t xml:space="preserve"> Dodatkowo </w:t>
      </w:r>
      <w:r w:rsidR="00516D4B">
        <w:rPr>
          <w:rFonts w:asciiTheme="minorHAnsi" w:hAnsiTheme="minorHAnsi"/>
          <w:sz w:val="22"/>
        </w:rPr>
        <w:t>w</w:t>
      </w:r>
      <w:r w:rsidR="007A4A80" w:rsidRPr="007A4A80">
        <w:rPr>
          <w:rFonts w:asciiTheme="minorHAnsi" w:hAnsiTheme="minorHAnsi"/>
          <w:sz w:val="22"/>
        </w:rPr>
        <w:t xml:space="preserve"> roku szkolnym 2012/13 we wszystkich szkołach podstawowych (poza SP Nr 7) utworzono 23 oddziały przedszkolne</w:t>
      </w:r>
      <w:r w:rsidR="007A4A80">
        <w:rPr>
          <w:rFonts w:asciiTheme="minorHAnsi" w:hAnsiTheme="minorHAnsi"/>
          <w:sz w:val="22"/>
        </w:rPr>
        <w:t>, do których uczęszczało 563 dzieci.</w:t>
      </w:r>
      <w:r w:rsidR="0061222D">
        <w:rPr>
          <w:rFonts w:asciiTheme="minorHAnsi" w:hAnsiTheme="minorHAnsi"/>
          <w:sz w:val="22"/>
        </w:rPr>
        <w:t xml:space="preserve"> Dzięki czynionym zabiegom </w:t>
      </w:r>
      <w:r w:rsidR="00562FD1">
        <w:rPr>
          <w:rFonts w:asciiTheme="minorHAnsi" w:hAnsiTheme="minorHAnsi"/>
          <w:sz w:val="22"/>
        </w:rPr>
        <w:t>osiągnięto w Legnicy wysokie wskaźniki upowszechniania wychowania przedszkolnego znacznie przekraczając w roku szkolnym 2012/2013 średnią krajową (około 70%).</w:t>
      </w:r>
      <w:r w:rsidR="00A317BF" w:rsidRPr="00A317BF">
        <w:rPr>
          <w:rFonts w:asciiTheme="minorHAnsi" w:hAnsiTheme="minorHAnsi"/>
          <w:color w:val="FF0000"/>
          <w:sz w:val="22"/>
        </w:rPr>
        <w:t xml:space="preserve"> </w:t>
      </w:r>
      <w:r w:rsidR="00A317BF" w:rsidRPr="00A317BF">
        <w:rPr>
          <w:rFonts w:asciiTheme="minorHAnsi" w:hAnsiTheme="minorHAnsi"/>
          <w:color w:val="000000" w:themeColor="text1"/>
          <w:sz w:val="22"/>
        </w:rPr>
        <w:t>W latach kolejnych 2013/2014 wskaźnik ten wynosił – 87,74%, a w 2014/2015 - 92,49%.</w:t>
      </w:r>
    </w:p>
    <w:p w:rsidR="00562FD1" w:rsidRDefault="00562FD1" w:rsidP="00FD7676">
      <w:pPr>
        <w:rPr>
          <w:rFonts w:asciiTheme="minorHAnsi" w:hAnsiTheme="minorHAnsi"/>
          <w:sz w:val="22"/>
        </w:rPr>
      </w:pPr>
    </w:p>
    <w:p w:rsidR="00562FD1" w:rsidRPr="007F6382" w:rsidRDefault="00562FD1" w:rsidP="00562FD1">
      <w:pPr>
        <w:pStyle w:val="Legenda"/>
        <w:keepNext/>
        <w:rPr>
          <w:rFonts w:asciiTheme="minorHAnsi" w:hAnsiTheme="minorHAnsi"/>
          <w:sz w:val="20"/>
        </w:rPr>
      </w:pPr>
      <w:r w:rsidRPr="007F6382">
        <w:rPr>
          <w:rFonts w:asciiTheme="minorHAnsi" w:hAnsiTheme="minorHAnsi"/>
          <w:sz w:val="20"/>
        </w:rPr>
        <w:t xml:space="preserve">Wykres </w:t>
      </w:r>
      <w:r w:rsidRPr="007F6382">
        <w:rPr>
          <w:rFonts w:asciiTheme="minorHAnsi" w:hAnsiTheme="minorHAnsi"/>
          <w:sz w:val="20"/>
        </w:rPr>
        <w:fldChar w:fldCharType="begin"/>
      </w:r>
      <w:r w:rsidRPr="007F6382">
        <w:rPr>
          <w:rFonts w:asciiTheme="minorHAnsi" w:hAnsiTheme="minorHAnsi"/>
          <w:sz w:val="20"/>
        </w:rPr>
        <w:instrText xml:space="preserve"> SEQ Wykres \* ARABIC </w:instrText>
      </w:r>
      <w:r w:rsidRPr="007F6382">
        <w:rPr>
          <w:rFonts w:asciiTheme="minorHAnsi" w:hAnsiTheme="minorHAnsi"/>
          <w:sz w:val="20"/>
        </w:rPr>
        <w:fldChar w:fldCharType="separate"/>
      </w:r>
      <w:r w:rsidR="007B2916">
        <w:rPr>
          <w:rFonts w:asciiTheme="minorHAnsi" w:hAnsiTheme="minorHAnsi"/>
          <w:noProof/>
          <w:sz w:val="20"/>
        </w:rPr>
        <w:t>6</w:t>
      </w:r>
      <w:r w:rsidRPr="007F6382">
        <w:rPr>
          <w:rFonts w:asciiTheme="minorHAnsi" w:hAnsiTheme="minorHAnsi"/>
          <w:sz w:val="20"/>
        </w:rPr>
        <w:fldChar w:fldCharType="end"/>
      </w:r>
      <w:r w:rsidRPr="007F6382">
        <w:rPr>
          <w:rFonts w:asciiTheme="minorHAnsi" w:hAnsiTheme="minorHAnsi"/>
          <w:sz w:val="20"/>
        </w:rPr>
        <w:t>. Wskaźnik upowszechniania wychowania przedszkolnego (2,5- 6 lat)  w Legnicy</w:t>
      </w:r>
    </w:p>
    <w:p w:rsidR="00562FD1" w:rsidRDefault="00562FD1" w:rsidP="00FD7676">
      <w:pPr>
        <w:rPr>
          <w:rFonts w:asciiTheme="minorHAnsi" w:hAnsiTheme="minorHAnsi"/>
          <w:sz w:val="22"/>
        </w:rPr>
      </w:pPr>
      <w:r>
        <w:rPr>
          <w:noProof/>
          <w:lang w:eastAsia="pl-PL"/>
        </w:rPr>
        <w:drawing>
          <wp:inline distT="0" distB="0" distL="0" distR="0" wp14:anchorId="1FFE9418" wp14:editId="04840D5A">
            <wp:extent cx="4572000" cy="164782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2FC3" w:rsidRPr="002E2D3F" w:rsidRDefault="00EC2FC3" w:rsidP="00FD7676">
      <w:pPr>
        <w:rPr>
          <w:rFonts w:asciiTheme="minorHAnsi" w:hAnsiTheme="minorHAnsi"/>
          <w:sz w:val="20"/>
        </w:rPr>
      </w:pPr>
      <w:r w:rsidRPr="002E2D3F">
        <w:rPr>
          <w:rFonts w:asciiTheme="minorHAnsi" w:hAnsiTheme="minorHAnsi"/>
          <w:sz w:val="20"/>
        </w:rPr>
        <w:t>Źródło:</w:t>
      </w:r>
      <w:r w:rsidR="006633DF" w:rsidRPr="002E2D3F">
        <w:rPr>
          <w:rFonts w:asciiTheme="minorHAnsi" w:hAnsiTheme="minorHAnsi"/>
          <w:sz w:val="20"/>
        </w:rPr>
        <w:t xml:space="preserve"> Wydział </w:t>
      </w:r>
      <w:r w:rsidR="002E5844" w:rsidRPr="002E2D3F">
        <w:rPr>
          <w:rFonts w:asciiTheme="minorHAnsi" w:hAnsiTheme="minorHAnsi"/>
          <w:sz w:val="20"/>
        </w:rPr>
        <w:t>Oświaty, Kultury i Sportu,</w:t>
      </w:r>
      <w:r w:rsidRPr="002E2D3F">
        <w:rPr>
          <w:rFonts w:asciiTheme="minorHAnsi" w:hAnsiTheme="minorHAnsi"/>
          <w:sz w:val="20"/>
        </w:rPr>
        <w:t xml:space="preserve"> Urząd Miasta Legnicy</w:t>
      </w:r>
      <w:r w:rsidR="0010032B">
        <w:rPr>
          <w:rFonts w:asciiTheme="minorHAnsi" w:hAnsiTheme="minorHAnsi"/>
          <w:sz w:val="20"/>
        </w:rPr>
        <w:t>.</w:t>
      </w:r>
    </w:p>
    <w:p w:rsidR="00AD48FD" w:rsidRPr="00563EF2" w:rsidRDefault="00AD48FD" w:rsidP="00FD7676">
      <w:pPr>
        <w:rPr>
          <w:rFonts w:asciiTheme="minorHAnsi" w:hAnsiTheme="minorHAnsi"/>
          <w:sz w:val="22"/>
        </w:rPr>
      </w:pPr>
    </w:p>
    <w:p w:rsidR="00AD48FD" w:rsidRDefault="00AD48FD" w:rsidP="00FD7676">
      <w:pPr>
        <w:rPr>
          <w:rFonts w:asciiTheme="minorHAnsi" w:hAnsiTheme="minorHAnsi"/>
          <w:sz w:val="22"/>
        </w:rPr>
      </w:pPr>
      <w:r w:rsidRPr="00563EF2">
        <w:rPr>
          <w:rFonts w:asciiTheme="minorHAnsi" w:hAnsiTheme="minorHAnsi"/>
          <w:sz w:val="22"/>
        </w:rPr>
        <w:t>Niż demograficzny widoczny jest w wyraźnym spadku uczniów szk</w:t>
      </w:r>
      <w:r w:rsidR="0033475A">
        <w:rPr>
          <w:rFonts w:asciiTheme="minorHAnsi" w:hAnsiTheme="minorHAnsi"/>
          <w:sz w:val="22"/>
        </w:rPr>
        <w:t>ół podstawowych i gimnazjów, co </w:t>
      </w:r>
      <w:r w:rsidRPr="00563EF2">
        <w:rPr>
          <w:rFonts w:asciiTheme="minorHAnsi" w:hAnsiTheme="minorHAnsi"/>
          <w:sz w:val="22"/>
        </w:rPr>
        <w:t>wiąże się z rosnącymi kosztami utrzymania tych placówek oświatowyc</w:t>
      </w:r>
      <w:r w:rsidR="006633DF">
        <w:rPr>
          <w:rFonts w:asciiTheme="minorHAnsi" w:hAnsiTheme="minorHAnsi"/>
          <w:sz w:val="22"/>
        </w:rPr>
        <w:t>h ze względu na rosnące koszty stałe</w:t>
      </w:r>
      <w:r w:rsidRPr="00563EF2">
        <w:rPr>
          <w:rFonts w:asciiTheme="minorHAnsi" w:hAnsiTheme="minorHAnsi"/>
          <w:sz w:val="22"/>
        </w:rPr>
        <w:t xml:space="preserve"> ich funkcjonowania, przy coraz </w:t>
      </w:r>
      <w:r w:rsidR="00B062E7" w:rsidRPr="00563EF2">
        <w:rPr>
          <w:rFonts w:asciiTheme="minorHAnsi" w:hAnsiTheme="minorHAnsi"/>
          <w:sz w:val="22"/>
        </w:rPr>
        <w:t xml:space="preserve">mniejszej subwencji oświatowej. </w:t>
      </w:r>
    </w:p>
    <w:p w:rsidR="00EE4646" w:rsidRDefault="00EE4646" w:rsidP="00FD7676">
      <w:pPr>
        <w:rPr>
          <w:rFonts w:asciiTheme="minorHAnsi" w:hAnsiTheme="minorHAnsi"/>
          <w:sz w:val="22"/>
        </w:rPr>
      </w:pPr>
    </w:p>
    <w:p w:rsidR="00EE4646" w:rsidRPr="00E42742" w:rsidRDefault="00E42742" w:rsidP="00EE4646">
      <w:pPr>
        <w:rPr>
          <w:rFonts w:asciiTheme="minorHAnsi" w:hAnsiTheme="minorHAnsi"/>
          <w:sz w:val="22"/>
        </w:rPr>
      </w:pPr>
      <w:r>
        <w:rPr>
          <w:rFonts w:asciiTheme="minorHAnsi" w:hAnsiTheme="minorHAnsi"/>
          <w:sz w:val="22"/>
        </w:rPr>
        <w:t>W Legnicy funkcjonuje</w:t>
      </w:r>
      <w:r w:rsidR="00EE4646" w:rsidRPr="00E42742">
        <w:rPr>
          <w:rFonts w:asciiTheme="minorHAnsi" w:hAnsiTheme="minorHAnsi"/>
          <w:sz w:val="22"/>
        </w:rPr>
        <w:t xml:space="preserve"> 11 ogólnodostępnych szkół podstawowych </w:t>
      </w:r>
      <w:r>
        <w:rPr>
          <w:rFonts w:asciiTheme="minorHAnsi" w:hAnsiTheme="minorHAnsi"/>
          <w:sz w:val="22"/>
        </w:rPr>
        <w:t>prowadzonych przez Gminę</w:t>
      </w:r>
      <w:r w:rsidR="00EE4646" w:rsidRPr="00E42742">
        <w:rPr>
          <w:rFonts w:asciiTheme="minorHAnsi" w:hAnsiTheme="minorHAnsi"/>
          <w:sz w:val="22"/>
        </w:rPr>
        <w:t>. Dziesięć szkół podstawowych funkcjonuje w samodzielnych obiektach sz</w:t>
      </w:r>
      <w:r w:rsidR="006645CE">
        <w:rPr>
          <w:rFonts w:asciiTheme="minorHAnsi" w:hAnsiTheme="minorHAnsi"/>
          <w:sz w:val="22"/>
        </w:rPr>
        <w:t>kolnych. Tylko jedna z nich, SP </w:t>
      </w:r>
      <w:r w:rsidR="00EE4646" w:rsidRPr="00E42742">
        <w:rPr>
          <w:rFonts w:asciiTheme="minorHAnsi" w:hAnsiTheme="minorHAnsi"/>
          <w:sz w:val="22"/>
        </w:rPr>
        <w:t xml:space="preserve">Nr 20 z oddziałami integracyjnymi, działa w jednym obiekcie szkolnym - obok gimnazjum i liceum - </w:t>
      </w:r>
      <w:r w:rsidR="00EE4646" w:rsidRPr="00E42742">
        <w:rPr>
          <w:rFonts w:asciiTheme="minorHAnsi" w:hAnsiTheme="minorHAnsi"/>
          <w:sz w:val="22"/>
        </w:rPr>
        <w:br/>
        <w:t xml:space="preserve">w ramach zespołu szkół.  Ponadto w Zespole Szkół Muzycznych funkcjonuje szkoła podstawowa artystyczna – OSM I stopnia. W roku szkolnym 2012/13 we wszystkich szkołach podstawowych uczyło się 4.977 uczniów w 204 oddziałach. Średnia liczba uczniów na oddział wynosiła 24,4. </w:t>
      </w:r>
      <w:r w:rsidR="0033475A">
        <w:rPr>
          <w:rFonts w:asciiTheme="minorHAnsi" w:hAnsiTheme="minorHAnsi"/>
          <w:sz w:val="22"/>
        </w:rPr>
        <w:t>Ponadto w </w:t>
      </w:r>
      <w:r>
        <w:rPr>
          <w:rFonts w:asciiTheme="minorHAnsi" w:hAnsiTheme="minorHAnsi"/>
          <w:sz w:val="22"/>
        </w:rPr>
        <w:t xml:space="preserve">Legnicy funkcjonują dwie szkoły prywatne, do których w roku szkolnym 2012/13 </w:t>
      </w:r>
      <w:r w:rsidR="00EE4646" w:rsidRPr="00E42742">
        <w:rPr>
          <w:rFonts w:asciiTheme="minorHAnsi" w:hAnsiTheme="minorHAnsi"/>
          <w:sz w:val="22"/>
        </w:rPr>
        <w:t xml:space="preserve">uczęszczało łącznie 142 uczniów,  którzy uczyli się w 12 oddziałach.  </w:t>
      </w:r>
    </w:p>
    <w:p w:rsidR="00EE4646" w:rsidRDefault="00EE4646" w:rsidP="00FD7676">
      <w:pPr>
        <w:rPr>
          <w:rFonts w:asciiTheme="minorHAnsi" w:hAnsiTheme="minorHAnsi"/>
          <w:sz w:val="22"/>
        </w:rPr>
      </w:pPr>
    </w:p>
    <w:p w:rsidR="00C378FD" w:rsidRPr="007F6382" w:rsidRDefault="00C378FD" w:rsidP="00C378FD">
      <w:pPr>
        <w:pStyle w:val="Legenda"/>
        <w:keepNext/>
        <w:rPr>
          <w:rFonts w:asciiTheme="minorHAnsi" w:hAnsiTheme="minorHAnsi"/>
          <w:sz w:val="20"/>
        </w:rPr>
      </w:pPr>
      <w:r w:rsidRPr="007F6382">
        <w:rPr>
          <w:rFonts w:asciiTheme="minorHAnsi" w:hAnsiTheme="minorHAnsi"/>
          <w:sz w:val="20"/>
        </w:rPr>
        <w:t xml:space="preserve">Wykres </w:t>
      </w:r>
      <w:r w:rsidRPr="007F6382">
        <w:rPr>
          <w:rFonts w:asciiTheme="minorHAnsi" w:hAnsiTheme="minorHAnsi"/>
          <w:sz w:val="20"/>
        </w:rPr>
        <w:fldChar w:fldCharType="begin"/>
      </w:r>
      <w:r w:rsidRPr="007F6382">
        <w:rPr>
          <w:rFonts w:asciiTheme="minorHAnsi" w:hAnsiTheme="minorHAnsi"/>
          <w:sz w:val="20"/>
        </w:rPr>
        <w:instrText xml:space="preserve"> SEQ Wykres \* ARABIC </w:instrText>
      </w:r>
      <w:r w:rsidRPr="007F6382">
        <w:rPr>
          <w:rFonts w:asciiTheme="minorHAnsi" w:hAnsiTheme="minorHAnsi"/>
          <w:sz w:val="20"/>
        </w:rPr>
        <w:fldChar w:fldCharType="separate"/>
      </w:r>
      <w:r w:rsidR="007B2916">
        <w:rPr>
          <w:rFonts w:asciiTheme="minorHAnsi" w:hAnsiTheme="minorHAnsi"/>
          <w:noProof/>
          <w:sz w:val="20"/>
        </w:rPr>
        <w:t>7</w:t>
      </w:r>
      <w:r w:rsidRPr="007F6382">
        <w:rPr>
          <w:rFonts w:asciiTheme="minorHAnsi" w:hAnsiTheme="minorHAnsi"/>
          <w:sz w:val="20"/>
        </w:rPr>
        <w:fldChar w:fldCharType="end"/>
      </w:r>
      <w:r w:rsidRPr="007F6382">
        <w:rPr>
          <w:rFonts w:asciiTheme="minorHAnsi" w:hAnsiTheme="minorHAnsi"/>
          <w:sz w:val="20"/>
        </w:rPr>
        <w:t>. Liczba uczniów publicznych szkół podstawowych</w:t>
      </w:r>
      <w:r w:rsidRPr="007F6382">
        <w:rPr>
          <w:rFonts w:asciiTheme="minorHAnsi" w:hAnsiTheme="minorHAnsi"/>
          <w:noProof/>
          <w:sz w:val="20"/>
        </w:rPr>
        <w:t xml:space="preserve"> w Legnicy w latach 2006-2013</w:t>
      </w:r>
    </w:p>
    <w:p w:rsidR="00C378FD" w:rsidRPr="00563EF2" w:rsidRDefault="00E42742" w:rsidP="00FD7676">
      <w:pPr>
        <w:rPr>
          <w:rFonts w:asciiTheme="minorHAnsi" w:hAnsiTheme="minorHAnsi"/>
          <w:sz w:val="22"/>
        </w:rPr>
      </w:pPr>
      <w:r>
        <w:rPr>
          <w:noProof/>
          <w:lang w:eastAsia="pl-PL"/>
        </w:rPr>
        <w:drawing>
          <wp:inline distT="0" distB="0" distL="0" distR="0" wp14:anchorId="5900E4C0" wp14:editId="1254764A">
            <wp:extent cx="4572000" cy="185737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48FD" w:rsidRPr="002E2D3F" w:rsidRDefault="00C378FD" w:rsidP="00FD7676">
      <w:pPr>
        <w:rPr>
          <w:rFonts w:asciiTheme="minorHAnsi" w:hAnsiTheme="minorHAnsi"/>
          <w:sz w:val="20"/>
        </w:rPr>
      </w:pPr>
      <w:r w:rsidRPr="002E2D3F">
        <w:rPr>
          <w:rFonts w:asciiTheme="minorHAnsi" w:hAnsiTheme="minorHAnsi"/>
          <w:sz w:val="20"/>
        </w:rPr>
        <w:t>Źródło: Wydział Oświaty, Kultury i Sportu, Urząd Miasta Legnicy.</w:t>
      </w:r>
    </w:p>
    <w:p w:rsidR="006228B6" w:rsidRPr="00563EF2" w:rsidRDefault="006228B6" w:rsidP="00FD7676">
      <w:pPr>
        <w:rPr>
          <w:rFonts w:asciiTheme="minorHAnsi" w:hAnsiTheme="minorHAnsi"/>
          <w:sz w:val="22"/>
        </w:rPr>
      </w:pPr>
    </w:p>
    <w:p w:rsidR="00EE4646" w:rsidRDefault="002E5844" w:rsidP="00FD7676">
      <w:pPr>
        <w:rPr>
          <w:rFonts w:asciiTheme="minorHAnsi" w:hAnsiTheme="minorHAnsi"/>
          <w:sz w:val="22"/>
        </w:rPr>
      </w:pPr>
      <w:r w:rsidRPr="00031E44">
        <w:rPr>
          <w:rFonts w:asciiTheme="minorHAnsi" w:hAnsiTheme="minorHAnsi"/>
          <w:sz w:val="22"/>
        </w:rPr>
        <w:t xml:space="preserve">Miasto prowadzi 10 gimnazjów (dwa samodzielne i osiem funkcjonujących </w:t>
      </w:r>
      <w:r w:rsidRPr="00031E44">
        <w:rPr>
          <w:rFonts w:asciiTheme="minorHAnsi" w:hAnsiTheme="minorHAnsi"/>
          <w:sz w:val="22"/>
        </w:rPr>
        <w:br/>
        <w:t xml:space="preserve">w ramach zespołów szkół). W roku szkolnym 2012/2013 uczęszczało do nich ogółem </w:t>
      </w:r>
      <w:r w:rsidR="006228B6">
        <w:rPr>
          <w:rFonts w:asciiTheme="minorHAnsi" w:hAnsiTheme="minorHAnsi"/>
          <w:sz w:val="22"/>
        </w:rPr>
        <w:t xml:space="preserve">2 </w:t>
      </w:r>
      <w:r w:rsidR="00BC5391">
        <w:rPr>
          <w:rFonts w:asciiTheme="minorHAnsi" w:hAnsiTheme="minorHAnsi"/>
          <w:sz w:val="22"/>
        </w:rPr>
        <w:t>510 uczniów (w </w:t>
      </w:r>
      <w:r w:rsidRPr="00031E44">
        <w:rPr>
          <w:rFonts w:asciiTheme="minorHAnsi" w:hAnsiTheme="minorHAnsi"/>
          <w:sz w:val="22"/>
        </w:rPr>
        <w:t>roku 2011/12 – 2.690 uczniów)</w:t>
      </w:r>
      <w:r w:rsidR="00031E44">
        <w:rPr>
          <w:rFonts w:asciiTheme="minorHAnsi" w:hAnsiTheme="minorHAnsi"/>
          <w:sz w:val="22"/>
        </w:rPr>
        <w:t xml:space="preserve">. Uczyli się oni w 97 oddziałach </w:t>
      </w:r>
      <w:r w:rsidRPr="00031E44">
        <w:rPr>
          <w:rFonts w:asciiTheme="minorHAnsi" w:hAnsiTheme="minorHAnsi"/>
          <w:sz w:val="22"/>
        </w:rPr>
        <w:t>(w roku szkolnym 2011/12 – 109 oddziałów). Średnia liczba uczniów w oddziale wynosiła  25,88.</w:t>
      </w:r>
      <w:r w:rsidR="00031E44">
        <w:rPr>
          <w:rFonts w:asciiTheme="minorHAnsi" w:hAnsiTheme="minorHAnsi"/>
          <w:sz w:val="22"/>
        </w:rPr>
        <w:t xml:space="preserve"> </w:t>
      </w:r>
      <w:r w:rsidR="00031E44" w:rsidRPr="00031E44">
        <w:rPr>
          <w:rFonts w:asciiTheme="minorHAnsi" w:hAnsiTheme="minorHAnsi"/>
          <w:sz w:val="22"/>
        </w:rPr>
        <w:t>Sieć gimnazjów prowadzonych przez Miasto uzupełniają trzy szkoły niepubliczne, w których łącznie w 2012</w:t>
      </w:r>
      <w:r w:rsidR="00031E44">
        <w:rPr>
          <w:rFonts w:asciiTheme="minorHAnsi" w:hAnsiTheme="minorHAnsi"/>
          <w:sz w:val="22"/>
        </w:rPr>
        <w:t xml:space="preserve">/13 uczyło się 476 uczniów w 26 </w:t>
      </w:r>
      <w:r w:rsidR="00031E44" w:rsidRPr="00031E44">
        <w:rPr>
          <w:rFonts w:asciiTheme="minorHAnsi" w:hAnsiTheme="minorHAnsi"/>
          <w:sz w:val="22"/>
        </w:rPr>
        <w:t>oddziałach.</w:t>
      </w:r>
    </w:p>
    <w:p w:rsidR="00031E44" w:rsidRPr="00C378FD" w:rsidRDefault="001A123D" w:rsidP="00C378FD">
      <w:pPr>
        <w:rPr>
          <w:rFonts w:asciiTheme="minorHAnsi" w:hAnsiTheme="minorHAnsi"/>
          <w:sz w:val="22"/>
        </w:rPr>
      </w:pPr>
      <w:r>
        <w:rPr>
          <w:noProof/>
          <w:lang w:eastAsia="pl-PL"/>
        </w:rPr>
        <mc:AlternateContent>
          <mc:Choice Requires="wps">
            <w:drawing>
              <wp:anchor distT="0" distB="0" distL="114300" distR="114300" simplePos="0" relativeHeight="251668480" behindDoc="0" locked="0" layoutInCell="1" allowOverlap="1" wp14:anchorId="4D4AB4DF" wp14:editId="4609AD7F">
                <wp:simplePos x="0" y="0"/>
                <wp:positionH relativeFrom="column">
                  <wp:posOffset>0</wp:posOffset>
                </wp:positionH>
                <wp:positionV relativeFrom="paragraph">
                  <wp:posOffset>163195</wp:posOffset>
                </wp:positionV>
                <wp:extent cx="4572000" cy="228600"/>
                <wp:effectExtent l="4445" t="0" r="0" b="635"/>
                <wp:wrapSquare wrapText="bothSides"/>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2" w:rsidRPr="007F6382" w:rsidRDefault="00A469F2" w:rsidP="00C378FD">
                            <w:pPr>
                              <w:pStyle w:val="Legenda"/>
                              <w:rPr>
                                <w:rFonts w:asciiTheme="minorHAnsi" w:hAnsiTheme="minorHAnsi"/>
                                <w:noProof/>
                                <w:sz w:val="28"/>
                              </w:rPr>
                            </w:pPr>
                            <w:r w:rsidRPr="007F6382">
                              <w:rPr>
                                <w:rFonts w:asciiTheme="minorHAnsi" w:hAnsiTheme="minorHAnsi"/>
                                <w:sz w:val="20"/>
                              </w:rPr>
                              <w:t xml:space="preserve">Wykres </w:t>
                            </w:r>
                            <w:r w:rsidRPr="007F6382">
                              <w:rPr>
                                <w:rFonts w:asciiTheme="minorHAnsi" w:hAnsiTheme="minorHAnsi"/>
                                <w:sz w:val="20"/>
                              </w:rPr>
                              <w:fldChar w:fldCharType="begin"/>
                            </w:r>
                            <w:r w:rsidRPr="007F6382">
                              <w:rPr>
                                <w:rFonts w:asciiTheme="minorHAnsi" w:hAnsiTheme="minorHAnsi"/>
                                <w:sz w:val="20"/>
                              </w:rPr>
                              <w:instrText xml:space="preserve"> SEQ Wykres \* ARABIC </w:instrText>
                            </w:r>
                            <w:r w:rsidRPr="007F6382">
                              <w:rPr>
                                <w:rFonts w:asciiTheme="minorHAnsi" w:hAnsiTheme="minorHAnsi"/>
                                <w:sz w:val="20"/>
                              </w:rPr>
                              <w:fldChar w:fldCharType="separate"/>
                            </w:r>
                            <w:r w:rsidR="007B2916">
                              <w:rPr>
                                <w:rFonts w:asciiTheme="minorHAnsi" w:hAnsiTheme="minorHAnsi"/>
                                <w:noProof/>
                                <w:sz w:val="20"/>
                              </w:rPr>
                              <w:t>8</w:t>
                            </w:r>
                            <w:r w:rsidRPr="007F6382">
                              <w:rPr>
                                <w:rFonts w:asciiTheme="minorHAnsi" w:hAnsiTheme="minorHAnsi"/>
                                <w:sz w:val="20"/>
                              </w:rPr>
                              <w:fldChar w:fldCharType="end"/>
                            </w:r>
                            <w:r w:rsidRPr="007F6382">
                              <w:rPr>
                                <w:rFonts w:asciiTheme="minorHAnsi" w:hAnsiTheme="minorHAnsi"/>
                                <w:sz w:val="20"/>
                              </w:rPr>
                              <w:t>. Liczba uczniów publicznych gimnazjów w Legnicy, lata 2004-2012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9" type="#_x0000_t202" style="position:absolute;left:0;text-align:left;margin-left:0;margin-top:12.85pt;width:5in;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DgAIAAAkFAAAOAAAAZHJzL2Uyb0RvYy54bWysVNuO2yAQfa/Uf0C8Z32Rc7G1zmovTVVp&#10;e5F2+wHE4BgVAwUSe1vtv3eAON20qlRVzYMzwMxhZs4ZLq/GXqADM5YrWePsIsWIyUZRLnc1/vy4&#10;ma0wso5ISoSSrMZPzOKr9etXl4OuWK46JSgzCECkrQZd4845XSWJbTrWE3uhNJNw2CrTEwdLs0uo&#10;IQOg9yLJ03SRDMpQbVTDrIXdu3iI1wG/bVnjPratZQ6JGkNuLnxN+G79N1lfkmpniO54c0yD/EMW&#10;PeESLj1B3RFH0N7w36B63hhlVesuGtUnqm15w0INUE2W/lLNQ0c0C7VAc6w+tcn+P9jmw+GTQZzW&#10;eFlgJEkPHD2y0aEbNaIs8/0ZtK3A7UGDoxthH3gOtVp9r5ovFkl12xG5Y9fGqKFjhEJ+ITJ5ERpx&#10;rAfZDu8VhXvI3qkANLam982DdiBAB56eTtz4XBrYLOZL4BuOGjjL89UCbEguIdUUrY11b5nqkTdq&#10;bID7gE4O99ZF18nFX2aV4HTDhQgLs9veCoMOBHSyCb8j+pmbkN5ZKh8WEeMOJAl3+DOfbuD9e5nl&#10;RXqTl7PNYrWcFZtiPiuX6WqWZuVNuUiLsrjbPPsEs6LqOKVM3nPJJg1mxd9xfJyGqJ6gQjTUuJzn&#10;80jRH4uEXvp2xirOiuy5g5EUvK/x6uREKk/sG0khgFSOcBHt5Dz9QAj0YPoPXQky8MxHDbhxOwbF&#10;ZYtJXltFn0AYRgFvQDG8J2B0ynzDaIDZrLH9uieGYSTeSRCXH+TJMJOxnQwiGwitscMomrcuDvxe&#10;G77rADnKV6prEGDLgza8UmMWkLpfwLyFIo5vgx/ol+vg9fMFW/8AAAD//wMAUEsDBBQABgAIAAAA&#10;IQAusw/f2wAAAAYBAAAPAAAAZHJzL2Rvd25yZXYueG1sTI9BT4NAEIXvJv6HzZh4MXYpicUgS6Ot&#10;3vTQ2vQ8ZUcgsrOEXQr9944nPU7ey/e+Kdaz69SZhtB6NrBcJKCIK29brg0cPt/uH0GFiGyx80wG&#10;LhRgXV5fFZhbP/GOzvtYK4FwyNFAE2Ofax2qhhyGhe+JJfvyg8Mo51BrO+AkcNfpNElW2mHLstBg&#10;T5uGqu/96AystsM47Xhztz28vuNHX6fHl8vRmNub+fkJVKQ5/pXhV1/UoRSnkx/ZBtUZkEeigfQh&#10;AyVpJmOgToJeZqDLQv/XL38AAAD//wMAUEsBAi0AFAAGAAgAAAAhALaDOJL+AAAA4QEAABMAAAAA&#10;AAAAAAAAAAAAAAAAAFtDb250ZW50X1R5cGVzXS54bWxQSwECLQAUAAYACAAAACEAOP0h/9YAAACU&#10;AQAACwAAAAAAAAAAAAAAAAAvAQAAX3JlbHMvLnJlbHNQSwECLQAUAAYACAAAACEAQlzPw4ACAAAJ&#10;BQAADgAAAAAAAAAAAAAAAAAuAgAAZHJzL2Uyb0RvYy54bWxQSwECLQAUAAYACAAAACEALrMP39sA&#10;AAAGAQAADwAAAAAAAAAAAAAAAADaBAAAZHJzL2Rvd25yZXYueG1sUEsFBgAAAAAEAAQA8wAAAOIF&#10;AAAAAA==&#10;" stroked="f">
                <v:textbox inset="0,0,0,0">
                  <w:txbxContent>
                    <w:p w:rsidR="00A469F2" w:rsidRPr="007F6382" w:rsidRDefault="00A469F2" w:rsidP="00C378FD">
                      <w:pPr>
                        <w:pStyle w:val="Legenda"/>
                        <w:rPr>
                          <w:rFonts w:asciiTheme="minorHAnsi" w:hAnsiTheme="minorHAnsi"/>
                          <w:noProof/>
                          <w:sz w:val="28"/>
                        </w:rPr>
                      </w:pPr>
                      <w:r w:rsidRPr="007F6382">
                        <w:rPr>
                          <w:rFonts w:asciiTheme="minorHAnsi" w:hAnsiTheme="minorHAnsi"/>
                          <w:sz w:val="20"/>
                        </w:rPr>
                        <w:t xml:space="preserve">Wykres </w:t>
                      </w:r>
                      <w:r w:rsidRPr="007F6382">
                        <w:rPr>
                          <w:rFonts w:asciiTheme="minorHAnsi" w:hAnsiTheme="minorHAnsi"/>
                          <w:sz w:val="20"/>
                        </w:rPr>
                        <w:fldChar w:fldCharType="begin"/>
                      </w:r>
                      <w:r w:rsidRPr="007F6382">
                        <w:rPr>
                          <w:rFonts w:asciiTheme="minorHAnsi" w:hAnsiTheme="minorHAnsi"/>
                          <w:sz w:val="20"/>
                        </w:rPr>
                        <w:instrText xml:space="preserve"> SEQ Wykres \* ARABIC </w:instrText>
                      </w:r>
                      <w:r w:rsidRPr="007F6382">
                        <w:rPr>
                          <w:rFonts w:asciiTheme="minorHAnsi" w:hAnsiTheme="minorHAnsi"/>
                          <w:sz w:val="20"/>
                        </w:rPr>
                        <w:fldChar w:fldCharType="separate"/>
                      </w:r>
                      <w:r w:rsidR="007B2916">
                        <w:rPr>
                          <w:rFonts w:asciiTheme="minorHAnsi" w:hAnsiTheme="minorHAnsi"/>
                          <w:noProof/>
                          <w:sz w:val="20"/>
                        </w:rPr>
                        <w:t>8</w:t>
                      </w:r>
                      <w:r w:rsidRPr="007F6382">
                        <w:rPr>
                          <w:rFonts w:asciiTheme="minorHAnsi" w:hAnsiTheme="minorHAnsi"/>
                          <w:sz w:val="20"/>
                        </w:rPr>
                        <w:fldChar w:fldCharType="end"/>
                      </w:r>
                      <w:r w:rsidRPr="007F6382">
                        <w:rPr>
                          <w:rFonts w:asciiTheme="minorHAnsi" w:hAnsiTheme="minorHAnsi"/>
                          <w:sz w:val="20"/>
                        </w:rPr>
                        <w:t>. Liczba uczniów publicznych gimnazjów w Legnicy, lata 2004-2012</w:t>
                      </w:r>
                    </w:p>
                  </w:txbxContent>
                </v:textbox>
                <w10:wrap type="square"/>
              </v:shape>
            </w:pict>
          </mc:Fallback>
        </mc:AlternateContent>
      </w:r>
      <w:r w:rsidR="002E5844" w:rsidRPr="00031E44">
        <w:rPr>
          <w:rFonts w:asciiTheme="minorHAnsi" w:hAnsiTheme="minorHAnsi"/>
          <w:sz w:val="22"/>
        </w:rPr>
        <w:br/>
      </w:r>
    </w:p>
    <w:p w:rsidR="00031E44" w:rsidRPr="002E2D3F" w:rsidRDefault="00031E44" w:rsidP="00FD7676">
      <w:pPr>
        <w:rPr>
          <w:rFonts w:asciiTheme="minorHAnsi" w:hAnsiTheme="minorHAnsi"/>
          <w:sz w:val="20"/>
        </w:rPr>
      </w:pPr>
      <w:r>
        <w:rPr>
          <w:noProof/>
          <w:lang w:eastAsia="pl-PL"/>
        </w:rPr>
        <w:drawing>
          <wp:anchor distT="0" distB="0" distL="114300" distR="114300" simplePos="0" relativeHeight="251666432" behindDoc="0" locked="0" layoutInCell="1" allowOverlap="1" wp14:anchorId="7C51BCD8" wp14:editId="66C6B742">
            <wp:simplePos x="0" y="0"/>
            <wp:positionH relativeFrom="column">
              <wp:posOffset>-4445</wp:posOffset>
            </wp:positionH>
            <wp:positionV relativeFrom="paragraph">
              <wp:posOffset>57150</wp:posOffset>
            </wp:positionV>
            <wp:extent cx="4572000" cy="1724025"/>
            <wp:effectExtent l="0" t="0" r="0" b="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2E2D3F">
        <w:rPr>
          <w:rFonts w:asciiTheme="minorHAnsi" w:hAnsiTheme="minorHAnsi"/>
          <w:sz w:val="20"/>
        </w:rPr>
        <w:br w:type="textWrapping" w:clear="all"/>
        <w:t>Źródło: Wydział Oświaty, Kultury i Sportu, Urząd Miasta Legnicy</w:t>
      </w:r>
      <w:r w:rsidR="0010032B">
        <w:rPr>
          <w:rFonts w:asciiTheme="minorHAnsi" w:hAnsiTheme="minorHAnsi"/>
          <w:sz w:val="20"/>
        </w:rPr>
        <w:t>.</w:t>
      </w:r>
    </w:p>
    <w:p w:rsidR="00B422E4" w:rsidRPr="00563EF2" w:rsidRDefault="00B422E4" w:rsidP="00FD7676">
      <w:pPr>
        <w:rPr>
          <w:rFonts w:asciiTheme="minorHAnsi" w:hAnsiTheme="minorHAnsi"/>
          <w:sz w:val="22"/>
        </w:rPr>
      </w:pPr>
    </w:p>
    <w:p w:rsidR="00B062E7" w:rsidRDefault="0027462F" w:rsidP="00273769">
      <w:pPr>
        <w:rPr>
          <w:rFonts w:asciiTheme="minorHAnsi" w:hAnsiTheme="minorHAnsi"/>
          <w:sz w:val="22"/>
        </w:rPr>
      </w:pPr>
      <w:r>
        <w:rPr>
          <w:rFonts w:asciiTheme="minorHAnsi" w:hAnsiTheme="minorHAnsi"/>
          <w:sz w:val="22"/>
        </w:rPr>
        <w:t xml:space="preserve">Legnica jest </w:t>
      </w:r>
      <w:r w:rsidR="003C5EFD">
        <w:rPr>
          <w:rFonts w:asciiTheme="minorHAnsi" w:hAnsiTheme="minorHAnsi"/>
          <w:sz w:val="22"/>
        </w:rPr>
        <w:t>regionalny</w:t>
      </w:r>
      <w:r>
        <w:rPr>
          <w:rFonts w:asciiTheme="minorHAnsi" w:hAnsiTheme="minorHAnsi"/>
          <w:sz w:val="22"/>
        </w:rPr>
        <w:t>m ośrodkiem oświaty</w:t>
      </w:r>
      <w:r w:rsidR="00961B25" w:rsidRPr="00563EF2">
        <w:rPr>
          <w:rFonts w:asciiTheme="minorHAnsi" w:hAnsiTheme="minorHAnsi"/>
          <w:sz w:val="22"/>
        </w:rPr>
        <w:t xml:space="preserve"> oferujący</w:t>
      </w:r>
      <w:r>
        <w:rPr>
          <w:rFonts w:asciiTheme="minorHAnsi" w:hAnsiTheme="minorHAnsi"/>
          <w:sz w:val="22"/>
        </w:rPr>
        <w:t>m</w:t>
      </w:r>
      <w:r w:rsidR="00961B25" w:rsidRPr="00563EF2">
        <w:rPr>
          <w:rFonts w:asciiTheme="minorHAnsi" w:hAnsiTheme="minorHAnsi"/>
          <w:sz w:val="22"/>
        </w:rPr>
        <w:t xml:space="preserve"> eduka</w:t>
      </w:r>
      <w:r w:rsidR="00516D4B">
        <w:rPr>
          <w:rFonts w:asciiTheme="minorHAnsi" w:hAnsiTheme="minorHAnsi"/>
          <w:sz w:val="22"/>
        </w:rPr>
        <w:t>cję na szczeblu ponadgimnazjalnym</w:t>
      </w:r>
      <w:r w:rsidR="00961B25" w:rsidRPr="00563EF2">
        <w:rPr>
          <w:rFonts w:asciiTheme="minorHAnsi" w:hAnsiTheme="minorHAnsi"/>
          <w:sz w:val="22"/>
        </w:rPr>
        <w:t xml:space="preserve"> dla gmin powiatu legnickiego.</w:t>
      </w:r>
      <w:r w:rsidR="0038663B">
        <w:rPr>
          <w:rFonts w:asciiTheme="minorHAnsi" w:hAnsiTheme="minorHAnsi"/>
          <w:sz w:val="22"/>
        </w:rPr>
        <w:t xml:space="preserve"> O roli Legnicy jako regionalnego ośrodka edukacji świadczy udział uczniów </w:t>
      </w:r>
      <w:r w:rsidR="0038663B" w:rsidRPr="0038663B">
        <w:rPr>
          <w:rFonts w:asciiTheme="minorHAnsi" w:hAnsiTheme="minorHAnsi"/>
          <w:sz w:val="22"/>
        </w:rPr>
        <w:t>z okolicznych wsi i małych miast do 5 tysięcy mieszkańców</w:t>
      </w:r>
      <w:r w:rsidR="00DC2D17">
        <w:rPr>
          <w:rFonts w:asciiTheme="minorHAnsi" w:hAnsiTheme="minorHAnsi"/>
          <w:sz w:val="22"/>
        </w:rPr>
        <w:t>,</w:t>
      </w:r>
      <w:r w:rsidR="0038663B">
        <w:rPr>
          <w:rFonts w:asciiTheme="minorHAnsi" w:hAnsiTheme="minorHAnsi"/>
          <w:sz w:val="22"/>
        </w:rPr>
        <w:t xml:space="preserve"> kształcących się w ogóle uczniów legnickich szkół ponadgimnazjalnych</w:t>
      </w:r>
      <w:r w:rsidR="00DC2D17">
        <w:rPr>
          <w:rFonts w:asciiTheme="minorHAnsi" w:hAnsiTheme="minorHAnsi"/>
          <w:sz w:val="22"/>
        </w:rPr>
        <w:t>,</w:t>
      </w:r>
      <w:r w:rsidR="0038663B">
        <w:rPr>
          <w:rFonts w:asciiTheme="minorHAnsi" w:hAnsiTheme="minorHAnsi"/>
          <w:sz w:val="22"/>
        </w:rPr>
        <w:t xml:space="preserve"> dla liceów wynoszący</w:t>
      </w:r>
      <w:r w:rsidR="00B422E4" w:rsidRPr="00563EF2">
        <w:rPr>
          <w:rFonts w:asciiTheme="minorHAnsi" w:hAnsiTheme="minorHAnsi"/>
          <w:sz w:val="22"/>
        </w:rPr>
        <w:t xml:space="preserve"> </w:t>
      </w:r>
      <w:r w:rsidR="006228B6" w:rsidRPr="0038663B">
        <w:rPr>
          <w:rFonts w:asciiTheme="minorHAnsi" w:hAnsiTheme="minorHAnsi"/>
          <w:sz w:val="22"/>
        </w:rPr>
        <w:t>31,89 %  (818 osób)</w:t>
      </w:r>
      <w:r w:rsidR="0038663B">
        <w:rPr>
          <w:rFonts w:asciiTheme="minorHAnsi" w:hAnsiTheme="minorHAnsi"/>
          <w:sz w:val="22"/>
        </w:rPr>
        <w:t>, a dla szkół zawodowych</w:t>
      </w:r>
      <w:r w:rsidR="006228B6" w:rsidRPr="0038663B">
        <w:rPr>
          <w:rFonts w:asciiTheme="minorHAnsi" w:hAnsiTheme="minorHAnsi"/>
          <w:sz w:val="22"/>
        </w:rPr>
        <w:t xml:space="preserve"> </w:t>
      </w:r>
      <w:r w:rsidR="005B0B14" w:rsidRPr="0038663B">
        <w:rPr>
          <w:rFonts w:asciiTheme="minorHAnsi" w:hAnsiTheme="minorHAnsi"/>
          <w:sz w:val="22"/>
        </w:rPr>
        <w:t>40,16 %  (1.007 os</w:t>
      </w:r>
      <w:r w:rsidR="0038663B">
        <w:rPr>
          <w:rFonts w:asciiTheme="minorHAnsi" w:hAnsiTheme="minorHAnsi"/>
          <w:sz w:val="22"/>
        </w:rPr>
        <w:t>ób).</w:t>
      </w:r>
      <w:r w:rsidR="005B0B14" w:rsidRPr="0038663B">
        <w:rPr>
          <w:rFonts w:asciiTheme="minorHAnsi" w:hAnsiTheme="minorHAnsi"/>
          <w:sz w:val="22"/>
        </w:rPr>
        <w:t xml:space="preserve"> </w:t>
      </w:r>
    </w:p>
    <w:p w:rsidR="006228B6" w:rsidRPr="00563EF2" w:rsidRDefault="006228B6" w:rsidP="00273769">
      <w:pPr>
        <w:rPr>
          <w:rFonts w:asciiTheme="minorHAnsi" w:hAnsiTheme="minorHAnsi"/>
          <w:sz w:val="22"/>
        </w:rPr>
      </w:pPr>
    </w:p>
    <w:p w:rsidR="007571AB" w:rsidRPr="006228B6" w:rsidRDefault="007571AB" w:rsidP="006228B6">
      <w:pPr>
        <w:rPr>
          <w:rFonts w:asciiTheme="minorHAnsi" w:hAnsiTheme="minorHAnsi"/>
          <w:sz w:val="22"/>
        </w:rPr>
      </w:pPr>
      <w:r w:rsidRPr="006228B6">
        <w:rPr>
          <w:rFonts w:asciiTheme="minorHAnsi" w:hAnsiTheme="minorHAnsi"/>
          <w:sz w:val="22"/>
        </w:rPr>
        <w:t>Na terenie miasta funkcjonuje  9 publicznych liceów ogólnokształcących, w tym:</w:t>
      </w:r>
    </w:p>
    <w:p w:rsidR="007571AB" w:rsidRPr="006228B6" w:rsidRDefault="007571AB" w:rsidP="00E6635A">
      <w:pPr>
        <w:pStyle w:val="Akapitzlist"/>
        <w:numPr>
          <w:ilvl w:val="0"/>
          <w:numId w:val="46"/>
        </w:numPr>
        <w:rPr>
          <w:rFonts w:asciiTheme="minorHAnsi" w:hAnsiTheme="minorHAnsi"/>
          <w:sz w:val="22"/>
        </w:rPr>
      </w:pPr>
      <w:r w:rsidRPr="006228B6">
        <w:rPr>
          <w:rFonts w:asciiTheme="minorHAnsi" w:hAnsiTheme="minorHAnsi"/>
          <w:sz w:val="22"/>
        </w:rPr>
        <w:t xml:space="preserve">6 liceów </w:t>
      </w:r>
      <w:r w:rsidR="0038663B">
        <w:rPr>
          <w:rFonts w:asciiTheme="minorHAnsi" w:hAnsiTheme="minorHAnsi"/>
          <w:sz w:val="22"/>
        </w:rPr>
        <w:t>ogólnokształcących</w:t>
      </w:r>
    </w:p>
    <w:p w:rsidR="007571AB" w:rsidRPr="006228B6" w:rsidRDefault="0038663B" w:rsidP="00E6635A">
      <w:pPr>
        <w:pStyle w:val="Akapitzlist"/>
        <w:numPr>
          <w:ilvl w:val="0"/>
          <w:numId w:val="46"/>
        </w:numPr>
        <w:rPr>
          <w:rFonts w:asciiTheme="minorHAnsi" w:hAnsiTheme="minorHAnsi"/>
          <w:sz w:val="22"/>
        </w:rPr>
      </w:pPr>
      <w:r>
        <w:rPr>
          <w:rFonts w:asciiTheme="minorHAnsi" w:hAnsiTheme="minorHAnsi"/>
          <w:sz w:val="22"/>
        </w:rPr>
        <w:t>1 liceum integracyjne</w:t>
      </w:r>
      <w:r w:rsidR="007571AB" w:rsidRPr="006228B6">
        <w:rPr>
          <w:rFonts w:asciiTheme="minorHAnsi" w:hAnsiTheme="minorHAnsi"/>
          <w:sz w:val="22"/>
        </w:rPr>
        <w:t>,</w:t>
      </w:r>
    </w:p>
    <w:p w:rsidR="0038663B" w:rsidRDefault="007571AB" w:rsidP="00E6635A">
      <w:pPr>
        <w:pStyle w:val="Akapitzlist"/>
        <w:numPr>
          <w:ilvl w:val="0"/>
          <w:numId w:val="46"/>
        </w:numPr>
        <w:rPr>
          <w:rFonts w:asciiTheme="minorHAnsi" w:hAnsiTheme="minorHAnsi"/>
          <w:sz w:val="22"/>
        </w:rPr>
      </w:pPr>
      <w:r w:rsidRPr="0038663B">
        <w:rPr>
          <w:rFonts w:asciiTheme="minorHAnsi" w:hAnsiTheme="minorHAnsi"/>
          <w:sz w:val="22"/>
        </w:rPr>
        <w:t xml:space="preserve">1 liceum z dodatkową nauką języka mniejszości narodowej </w:t>
      </w:r>
      <w:r w:rsidR="0038663B">
        <w:rPr>
          <w:rFonts w:asciiTheme="minorHAnsi" w:hAnsiTheme="minorHAnsi"/>
          <w:sz w:val="22"/>
        </w:rPr>
        <w:t>–</w:t>
      </w:r>
      <w:r w:rsidRPr="0038663B">
        <w:rPr>
          <w:rFonts w:asciiTheme="minorHAnsi" w:hAnsiTheme="minorHAnsi"/>
          <w:sz w:val="22"/>
        </w:rPr>
        <w:t xml:space="preserve"> języka</w:t>
      </w:r>
      <w:r w:rsidR="0038663B">
        <w:rPr>
          <w:rFonts w:asciiTheme="minorHAnsi" w:hAnsiTheme="minorHAnsi"/>
          <w:sz w:val="22"/>
        </w:rPr>
        <w:t xml:space="preserve"> ukraińskiego,</w:t>
      </w:r>
      <w:r w:rsidRPr="0038663B">
        <w:rPr>
          <w:rFonts w:asciiTheme="minorHAnsi" w:hAnsiTheme="minorHAnsi"/>
          <w:sz w:val="22"/>
        </w:rPr>
        <w:t xml:space="preserve">  </w:t>
      </w:r>
    </w:p>
    <w:p w:rsidR="007571AB" w:rsidRPr="0038663B" w:rsidRDefault="007571AB" w:rsidP="00E6635A">
      <w:pPr>
        <w:pStyle w:val="Akapitzlist"/>
        <w:numPr>
          <w:ilvl w:val="0"/>
          <w:numId w:val="46"/>
        </w:numPr>
        <w:rPr>
          <w:rFonts w:asciiTheme="minorHAnsi" w:hAnsiTheme="minorHAnsi"/>
          <w:sz w:val="22"/>
        </w:rPr>
      </w:pPr>
      <w:r w:rsidRPr="0038663B">
        <w:rPr>
          <w:rFonts w:asciiTheme="minorHAnsi" w:hAnsiTheme="minorHAnsi"/>
          <w:sz w:val="22"/>
        </w:rPr>
        <w:t>1 liceum artystyczne  (klasy 4-6 Ogólnokształcącej Szkoły  Muzycznej przy ZSMuz).</w:t>
      </w:r>
    </w:p>
    <w:p w:rsidR="007571AB" w:rsidRPr="006228B6" w:rsidRDefault="007571AB" w:rsidP="007571AB">
      <w:pPr>
        <w:rPr>
          <w:rFonts w:asciiTheme="minorHAnsi" w:hAnsiTheme="minorHAnsi"/>
          <w:sz w:val="22"/>
        </w:rPr>
      </w:pPr>
    </w:p>
    <w:p w:rsidR="00DE03A5" w:rsidRPr="006228B6" w:rsidRDefault="006228B6" w:rsidP="007571AB">
      <w:pPr>
        <w:rPr>
          <w:rFonts w:asciiTheme="minorHAnsi" w:hAnsiTheme="minorHAnsi"/>
          <w:sz w:val="22"/>
        </w:rPr>
      </w:pPr>
      <w:r w:rsidRPr="006228B6">
        <w:rPr>
          <w:rFonts w:asciiTheme="minorHAnsi" w:hAnsiTheme="minorHAnsi"/>
          <w:sz w:val="22"/>
        </w:rPr>
        <w:t>Liczba</w:t>
      </w:r>
      <w:r w:rsidR="007571AB" w:rsidRPr="006228B6">
        <w:rPr>
          <w:rFonts w:asciiTheme="minorHAnsi" w:hAnsiTheme="minorHAnsi"/>
          <w:sz w:val="22"/>
        </w:rPr>
        <w:t xml:space="preserve"> uczniów </w:t>
      </w:r>
      <w:r w:rsidRPr="006228B6">
        <w:rPr>
          <w:rFonts w:asciiTheme="minorHAnsi" w:hAnsiTheme="minorHAnsi"/>
          <w:sz w:val="22"/>
        </w:rPr>
        <w:t>legnickich liceów</w:t>
      </w:r>
      <w:r w:rsidR="007571AB" w:rsidRPr="006228B6">
        <w:rPr>
          <w:rFonts w:asciiTheme="minorHAnsi" w:hAnsiTheme="minorHAnsi"/>
          <w:sz w:val="22"/>
        </w:rPr>
        <w:t xml:space="preserve"> w roku szkolnym 2012/13  </w:t>
      </w:r>
      <w:r w:rsidRPr="006228B6">
        <w:rPr>
          <w:rFonts w:asciiTheme="minorHAnsi" w:hAnsiTheme="minorHAnsi"/>
          <w:sz w:val="22"/>
        </w:rPr>
        <w:t>wynosiła</w:t>
      </w:r>
      <w:r w:rsidR="007571AB" w:rsidRPr="006228B6">
        <w:rPr>
          <w:rFonts w:asciiTheme="minorHAnsi" w:hAnsiTheme="minorHAnsi"/>
          <w:sz w:val="22"/>
        </w:rPr>
        <w:t xml:space="preserve"> 2.565 licealistów</w:t>
      </w:r>
      <w:r w:rsidRPr="006228B6">
        <w:rPr>
          <w:rFonts w:asciiTheme="minorHAnsi" w:hAnsiTheme="minorHAnsi"/>
          <w:sz w:val="22"/>
        </w:rPr>
        <w:t>, którzy uczyli</w:t>
      </w:r>
      <w:r w:rsidR="007571AB" w:rsidRPr="006228B6">
        <w:rPr>
          <w:rFonts w:asciiTheme="minorHAnsi" w:hAnsiTheme="minorHAnsi"/>
          <w:sz w:val="22"/>
        </w:rPr>
        <w:t xml:space="preserve"> się w 91 oddziałach. Obok liceów publicznych funkcjonują dwa licea prywatne</w:t>
      </w:r>
      <w:r w:rsidR="00DC2D17">
        <w:rPr>
          <w:rFonts w:asciiTheme="minorHAnsi" w:hAnsiTheme="minorHAnsi"/>
          <w:sz w:val="22"/>
        </w:rPr>
        <w:t>,</w:t>
      </w:r>
      <w:r w:rsidR="007571AB" w:rsidRPr="006228B6">
        <w:rPr>
          <w:rFonts w:asciiTheme="minorHAnsi" w:hAnsiTheme="minorHAnsi"/>
          <w:sz w:val="22"/>
        </w:rPr>
        <w:t xml:space="preserve"> w których w roku szkolnym 2012/13 kształciło się 156 uczniów  w 9 oddziałach.</w:t>
      </w:r>
    </w:p>
    <w:p w:rsidR="007571AB" w:rsidRDefault="007571AB" w:rsidP="007571AB">
      <w:pPr>
        <w:rPr>
          <w:rFonts w:asciiTheme="minorHAnsi" w:hAnsiTheme="minorHAnsi"/>
          <w:sz w:val="22"/>
        </w:rPr>
      </w:pPr>
    </w:p>
    <w:p w:rsidR="006228B6" w:rsidRDefault="006228B6" w:rsidP="00FD7676">
      <w:pPr>
        <w:rPr>
          <w:rFonts w:asciiTheme="minorHAnsi" w:hAnsiTheme="minorHAnsi"/>
          <w:sz w:val="22"/>
        </w:rPr>
      </w:pPr>
      <w:r>
        <w:rPr>
          <w:rFonts w:asciiTheme="minorHAnsi" w:hAnsiTheme="minorHAnsi"/>
          <w:sz w:val="22"/>
        </w:rPr>
        <w:t>Uczniowie techników</w:t>
      </w:r>
      <w:r w:rsidR="007571AB" w:rsidRPr="006228B6">
        <w:rPr>
          <w:rFonts w:asciiTheme="minorHAnsi" w:hAnsiTheme="minorHAnsi"/>
          <w:sz w:val="22"/>
        </w:rPr>
        <w:t xml:space="preserve"> stanowiący grupę 79,18% wszystkich uczniów szkół ponadgimnazjalnych zawodowych (1985 uczniów) uczyli się w 13 technikach</w:t>
      </w:r>
      <w:r>
        <w:rPr>
          <w:rFonts w:asciiTheme="minorHAnsi" w:hAnsiTheme="minorHAnsi"/>
          <w:sz w:val="22"/>
        </w:rPr>
        <w:t xml:space="preserve">. </w:t>
      </w:r>
      <w:r w:rsidR="00516D4B">
        <w:rPr>
          <w:rFonts w:asciiTheme="minorHAnsi" w:hAnsiTheme="minorHAnsi"/>
          <w:sz w:val="22"/>
        </w:rPr>
        <w:t>Uczniowie czterech</w:t>
      </w:r>
      <w:r>
        <w:rPr>
          <w:rFonts w:asciiTheme="minorHAnsi" w:hAnsiTheme="minorHAnsi"/>
          <w:sz w:val="22"/>
        </w:rPr>
        <w:t xml:space="preserve"> zasadniczych szkół zawodowych stanowili </w:t>
      </w:r>
      <w:r w:rsidR="007571AB" w:rsidRPr="006228B6">
        <w:rPr>
          <w:rFonts w:asciiTheme="minorHAnsi" w:hAnsiTheme="minorHAnsi"/>
          <w:sz w:val="22"/>
        </w:rPr>
        <w:t>18,94</w:t>
      </w:r>
      <w:r>
        <w:rPr>
          <w:rFonts w:asciiTheme="minorHAnsi" w:hAnsiTheme="minorHAnsi"/>
          <w:sz w:val="22"/>
        </w:rPr>
        <w:t xml:space="preserve">% ogółu uczniów </w:t>
      </w:r>
      <w:r w:rsidR="007571AB" w:rsidRPr="006228B6">
        <w:rPr>
          <w:rFonts w:asciiTheme="minorHAnsi" w:hAnsiTheme="minorHAnsi"/>
          <w:sz w:val="22"/>
        </w:rPr>
        <w:t>w szkołach zawodowych (475 uczniów).</w:t>
      </w:r>
    </w:p>
    <w:p w:rsidR="006228B6" w:rsidRPr="00563EF2" w:rsidRDefault="006228B6" w:rsidP="00FD7676">
      <w:pPr>
        <w:rPr>
          <w:rFonts w:asciiTheme="minorHAnsi" w:hAnsiTheme="minorHAnsi"/>
          <w:sz w:val="22"/>
        </w:rPr>
      </w:pPr>
    </w:p>
    <w:p w:rsidR="00961B25" w:rsidRPr="007F6382" w:rsidRDefault="00961B25"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9</w:t>
      </w:r>
      <w:r w:rsidR="00017794" w:rsidRPr="007F6382">
        <w:rPr>
          <w:rFonts w:asciiTheme="minorHAnsi" w:hAnsiTheme="minorHAnsi"/>
          <w:sz w:val="20"/>
          <w:szCs w:val="22"/>
        </w:rPr>
        <w:fldChar w:fldCharType="end"/>
      </w:r>
      <w:r w:rsidRPr="007F6382">
        <w:rPr>
          <w:rFonts w:asciiTheme="minorHAnsi" w:hAnsiTheme="minorHAnsi"/>
          <w:sz w:val="20"/>
          <w:szCs w:val="22"/>
        </w:rPr>
        <w:t>. Liczba uczniów i</w:t>
      </w:r>
      <w:r w:rsidR="006228B6" w:rsidRPr="007F6382">
        <w:rPr>
          <w:rFonts w:asciiTheme="minorHAnsi" w:hAnsiTheme="minorHAnsi"/>
          <w:sz w:val="20"/>
          <w:szCs w:val="22"/>
        </w:rPr>
        <w:t xml:space="preserve"> oddziałów publicznych</w:t>
      </w:r>
      <w:r w:rsidRPr="007F6382">
        <w:rPr>
          <w:rFonts w:asciiTheme="minorHAnsi" w:hAnsiTheme="minorHAnsi"/>
          <w:sz w:val="20"/>
          <w:szCs w:val="22"/>
        </w:rPr>
        <w:t xml:space="preserve"> szkół ponadgimnazjalnych funkcjonujących na te</w:t>
      </w:r>
      <w:r w:rsidR="004A00DC">
        <w:rPr>
          <w:rFonts w:asciiTheme="minorHAnsi" w:hAnsiTheme="minorHAnsi"/>
          <w:sz w:val="20"/>
          <w:szCs w:val="22"/>
        </w:rPr>
        <w:t>renie Legnicy w latach 2007-2013</w:t>
      </w:r>
      <w:r w:rsidRPr="007F6382">
        <w:rPr>
          <w:rFonts w:asciiTheme="minorHAnsi" w:hAnsiTheme="minorHAnsi"/>
          <w:sz w:val="20"/>
          <w:szCs w:val="22"/>
        </w:rPr>
        <w:t>.</w:t>
      </w:r>
    </w:p>
    <w:tbl>
      <w:tblPr>
        <w:tblStyle w:val="Jasnasiatkaakcent11"/>
        <w:tblW w:w="9113" w:type="dxa"/>
        <w:tblLook w:val="04A0" w:firstRow="1" w:lastRow="0" w:firstColumn="1" w:lastColumn="0" w:noHBand="0" w:noVBand="1"/>
      </w:tblPr>
      <w:tblGrid>
        <w:gridCol w:w="1975"/>
        <w:gridCol w:w="1318"/>
        <w:gridCol w:w="970"/>
        <w:gridCol w:w="970"/>
        <w:gridCol w:w="970"/>
        <w:gridCol w:w="970"/>
        <w:gridCol w:w="970"/>
        <w:gridCol w:w="970"/>
      </w:tblGrid>
      <w:tr w:rsidR="0021780B" w:rsidRPr="008D2BC4" w:rsidTr="008D2BC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93" w:type="dxa"/>
            <w:gridSpan w:val="2"/>
            <w:noWrap/>
            <w:hideMark/>
          </w:tcPr>
          <w:p w:rsidR="0021780B" w:rsidRPr="008D2BC4" w:rsidRDefault="0021780B" w:rsidP="00FD7676">
            <w:pPr>
              <w:rPr>
                <w:rFonts w:asciiTheme="minorHAnsi" w:eastAsia="Times New Roman" w:hAnsiTheme="minorHAnsi" w:cs="Arial"/>
                <w:b w:val="0"/>
                <w:bCs w:val="0"/>
                <w:color w:val="000000" w:themeColor="text1"/>
                <w:sz w:val="22"/>
                <w:lang w:eastAsia="pl-PL"/>
              </w:rPr>
            </w:pP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2007</w:t>
            </w:r>
            <w:r w:rsidR="004A00DC" w:rsidRPr="008D2BC4">
              <w:rPr>
                <w:rFonts w:asciiTheme="minorHAnsi" w:eastAsia="Times New Roman" w:hAnsiTheme="minorHAnsi" w:cs="Arial"/>
                <w:b w:val="0"/>
                <w:bCs w:val="0"/>
                <w:color w:val="000000" w:themeColor="text1"/>
                <w:sz w:val="22"/>
                <w:lang w:eastAsia="pl-PL"/>
              </w:rPr>
              <w:t>/08</w:t>
            </w: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2008</w:t>
            </w:r>
            <w:r w:rsidR="004A00DC" w:rsidRPr="008D2BC4">
              <w:rPr>
                <w:rFonts w:asciiTheme="minorHAnsi" w:eastAsia="Times New Roman" w:hAnsiTheme="minorHAnsi" w:cs="Arial"/>
                <w:b w:val="0"/>
                <w:bCs w:val="0"/>
                <w:color w:val="000000" w:themeColor="text1"/>
                <w:sz w:val="22"/>
                <w:lang w:eastAsia="pl-PL"/>
              </w:rPr>
              <w:t>/09</w:t>
            </w: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2009</w:t>
            </w:r>
            <w:r w:rsidR="004A00DC" w:rsidRPr="008D2BC4">
              <w:rPr>
                <w:rFonts w:asciiTheme="minorHAnsi" w:eastAsia="Times New Roman" w:hAnsiTheme="minorHAnsi" w:cs="Arial"/>
                <w:b w:val="0"/>
                <w:bCs w:val="0"/>
                <w:color w:val="000000" w:themeColor="text1"/>
                <w:sz w:val="22"/>
                <w:lang w:eastAsia="pl-PL"/>
              </w:rPr>
              <w:t>/10</w:t>
            </w: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2010</w:t>
            </w:r>
            <w:r w:rsidR="004A00DC" w:rsidRPr="008D2BC4">
              <w:rPr>
                <w:rFonts w:asciiTheme="minorHAnsi" w:eastAsia="Times New Roman" w:hAnsiTheme="minorHAnsi" w:cs="Arial"/>
                <w:b w:val="0"/>
                <w:bCs w:val="0"/>
                <w:color w:val="000000" w:themeColor="text1"/>
                <w:sz w:val="22"/>
                <w:lang w:eastAsia="pl-PL"/>
              </w:rPr>
              <w:t>/11</w:t>
            </w: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2011</w:t>
            </w:r>
            <w:r w:rsidR="004A00DC" w:rsidRPr="008D2BC4">
              <w:rPr>
                <w:rFonts w:asciiTheme="minorHAnsi" w:eastAsia="Times New Roman" w:hAnsiTheme="minorHAnsi" w:cs="Arial"/>
                <w:b w:val="0"/>
                <w:bCs w:val="0"/>
                <w:color w:val="000000" w:themeColor="text1"/>
                <w:sz w:val="22"/>
                <w:lang w:eastAsia="pl-PL"/>
              </w:rPr>
              <w:t>/12</w:t>
            </w:r>
          </w:p>
        </w:tc>
        <w:tc>
          <w:tcPr>
            <w:tcW w:w="970" w:type="dxa"/>
            <w:noWrap/>
            <w:hideMark/>
          </w:tcPr>
          <w:p w:rsidR="0021780B" w:rsidRPr="008D2BC4" w:rsidRDefault="0021780B"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themeColor="text1"/>
                <w:sz w:val="22"/>
                <w:lang w:eastAsia="pl-PL"/>
              </w:rPr>
            </w:pPr>
            <w:r w:rsidRPr="008D2BC4">
              <w:rPr>
                <w:rFonts w:asciiTheme="minorHAnsi" w:eastAsia="Times New Roman" w:hAnsiTheme="minorHAnsi" w:cs="Arial"/>
                <w:b w:val="0"/>
                <w:bCs w:val="0"/>
                <w:color w:val="000000" w:themeColor="text1"/>
                <w:sz w:val="22"/>
                <w:lang w:eastAsia="pl-PL"/>
              </w:rPr>
              <w:t>2012</w:t>
            </w:r>
            <w:r w:rsidR="004A00DC" w:rsidRPr="008D2BC4">
              <w:rPr>
                <w:rFonts w:asciiTheme="minorHAnsi" w:eastAsia="Times New Roman" w:hAnsiTheme="minorHAnsi" w:cs="Arial"/>
                <w:b w:val="0"/>
                <w:bCs w:val="0"/>
                <w:color w:val="000000" w:themeColor="text1"/>
                <w:sz w:val="22"/>
                <w:lang w:eastAsia="pl-PL"/>
              </w:rPr>
              <w:t>/13</w:t>
            </w:r>
          </w:p>
        </w:tc>
      </w:tr>
      <w:tr w:rsidR="0021780B" w:rsidRPr="008D2BC4" w:rsidTr="008D2BC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vMerge w:val="restart"/>
            <w:noWrap/>
            <w:hideMark/>
          </w:tcPr>
          <w:p w:rsidR="0021780B" w:rsidRPr="008D2BC4" w:rsidRDefault="0021780B" w:rsidP="00FD7676">
            <w:pPr>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Licea ogólnokształcące</w:t>
            </w:r>
          </w:p>
        </w:tc>
        <w:tc>
          <w:tcPr>
            <w:tcW w:w="1318" w:type="dxa"/>
          </w:tcPr>
          <w:p w:rsidR="0021780B" w:rsidRPr="008D2BC4" w:rsidRDefault="007571A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Oddziały</w:t>
            </w:r>
          </w:p>
        </w:tc>
        <w:tc>
          <w:tcPr>
            <w:tcW w:w="970" w:type="dxa"/>
            <w:noWrap/>
            <w:hideMark/>
          </w:tcPr>
          <w:p w:rsidR="0021780B" w:rsidRPr="008D2BC4" w:rsidRDefault="0021780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10</w:t>
            </w:r>
            <w:r w:rsidR="00232D6E" w:rsidRPr="008D2BC4">
              <w:rPr>
                <w:rFonts w:asciiTheme="minorHAnsi" w:eastAsia="Times New Roman" w:hAnsiTheme="minorHAnsi" w:cs="Arial"/>
                <w:sz w:val="22"/>
                <w:lang w:eastAsia="pl-PL"/>
              </w:rPr>
              <w:t>2</w:t>
            </w:r>
          </w:p>
        </w:tc>
        <w:tc>
          <w:tcPr>
            <w:tcW w:w="970" w:type="dxa"/>
            <w:noWrap/>
            <w:hideMark/>
          </w:tcPr>
          <w:p w:rsidR="0021780B" w:rsidRPr="008D2BC4" w:rsidRDefault="0021780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10</w:t>
            </w:r>
            <w:r w:rsidR="00232D6E" w:rsidRPr="008D2BC4">
              <w:rPr>
                <w:rFonts w:asciiTheme="minorHAnsi" w:eastAsia="Times New Roman" w:hAnsiTheme="minorHAnsi" w:cs="Arial"/>
                <w:sz w:val="22"/>
                <w:lang w:eastAsia="pl-PL"/>
              </w:rPr>
              <w:t>2</w:t>
            </w:r>
          </w:p>
        </w:tc>
        <w:tc>
          <w:tcPr>
            <w:tcW w:w="970" w:type="dxa"/>
            <w:noWrap/>
            <w:hideMark/>
          </w:tcPr>
          <w:p w:rsidR="0021780B" w:rsidRPr="008D2BC4" w:rsidRDefault="0021780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10</w:t>
            </w:r>
            <w:r w:rsidR="00232D6E" w:rsidRPr="008D2BC4">
              <w:rPr>
                <w:rFonts w:asciiTheme="minorHAnsi" w:eastAsia="Times New Roman" w:hAnsiTheme="minorHAnsi" w:cs="Arial"/>
                <w:sz w:val="22"/>
                <w:lang w:eastAsia="pl-PL"/>
              </w:rPr>
              <w:t>1</w:t>
            </w:r>
          </w:p>
        </w:tc>
        <w:tc>
          <w:tcPr>
            <w:tcW w:w="970" w:type="dxa"/>
            <w:noWrap/>
            <w:hideMark/>
          </w:tcPr>
          <w:p w:rsidR="0021780B" w:rsidRPr="008D2BC4" w:rsidRDefault="0021780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10</w:t>
            </w:r>
            <w:r w:rsidR="00232D6E" w:rsidRPr="008D2BC4">
              <w:rPr>
                <w:rFonts w:asciiTheme="minorHAnsi" w:eastAsia="Times New Roman" w:hAnsiTheme="minorHAnsi" w:cs="Arial"/>
                <w:sz w:val="22"/>
                <w:lang w:eastAsia="pl-PL"/>
              </w:rPr>
              <w:t>1</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98</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91</w:t>
            </w:r>
          </w:p>
        </w:tc>
      </w:tr>
      <w:tr w:rsidR="0021780B" w:rsidRPr="008D2BC4" w:rsidTr="008D2BC4">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75" w:type="dxa"/>
            <w:vMerge/>
            <w:noWrap/>
            <w:hideMark/>
          </w:tcPr>
          <w:p w:rsidR="0021780B" w:rsidRPr="008D2BC4" w:rsidRDefault="0021780B" w:rsidP="00FD7676">
            <w:pPr>
              <w:rPr>
                <w:rFonts w:asciiTheme="minorHAnsi" w:eastAsia="Times New Roman" w:hAnsiTheme="minorHAnsi" w:cs="Arial"/>
                <w:sz w:val="22"/>
                <w:lang w:eastAsia="pl-PL"/>
              </w:rPr>
            </w:pPr>
          </w:p>
        </w:tc>
        <w:tc>
          <w:tcPr>
            <w:tcW w:w="1318" w:type="dxa"/>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Uczniowie</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2980</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2905</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2772</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2740</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2693</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2565</w:t>
            </w:r>
          </w:p>
        </w:tc>
      </w:tr>
      <w:tr w:rsidR="0021780B" w:rsidRPr="008D2BC4" w:rsidTr="008D2B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5" w:type="dxa"/>
            <w:vMerge w:val="restart"/>
            <w:noWrap/>
            <w:hideMark/>
          </w:tcPr>
          <w:p w:rsidR="0021780B" w:rsidRPr="008D2BC4" w:rsidRDefault="0021780B" w:rsidP="00FD7676">
            <w:pPr>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Licea profilowane</w:t>
            </w:r>
          </w:p>
        </w:tc>
        <w:tc>
          <w:tcPr>
            <w:tcW w:w="1318" w:type="dxa"/>
          </w:tcPr>
          <w:p w:rsidR="0021780B" w:rsidRPr="008D2BC4" w:rsidRDefault="007571A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Oddziały</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11</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8</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6</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5</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4</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w:t>
            </w:r>
          </w:p>
        </w:tc>
      </w:tr>
      <w:tr w:rsidR="0021780B" w:rsidRPr="008D2BC4" w:rsidTr="008D2BC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5" w:type="dxa"/>
            <w:vMerge/>
            <w:noWrap/>
            <w:hideMark/>
          </w:tcPr>
          <w:p w:rsidR="0021780B" w:rsidRPr="008D2BC4" w:rsidRDefault="0021780B" w:rsidP="00FD7676">
            <w:pPr>
              <w:rPr>
                <w:rFonts w:asciiTheme="minorHAnsi" w:eastAsia="Times New Roman" w:hAnsiTheme="minorHAnsi" w:cs="Arial"/>
                <w:sz w:val="22"/>
                <w:lang w:eastAsia="pl-PL"/>
              </w:rPr>
            </w:pPr>
          </w:p>
        </w:tc>
        <w:tc>
          <w:tcPr>
            <w:tcW w:w="1318" w:type="dxa"/>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Uczniowie</w:t>
            </w:r>
          </w:p>
        </w:tc>
        <w:tc>
          <w:tcPr>
            <w:tcW w:w="970" w:type="dxa"/>
            <w:noWrap/>
            <w:hideMark/>
          </w:tcPr>
          <w:p w:rsidR="0021780B" w:rsidRPr="008D2BC4" w:rsidRDefault="00232D6E" w:rsidP="00232D6E">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282</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222</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165</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135</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109</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47</w:t>
            </w:r>
          </w:p>
        </w:tc>
      </w:tr>
      <w:tr w:rsidR="0021780B" w:rsidRPr="008D2BC4" w:rsidTr="008D2BC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75" w:type="dxa"/>
            <w:vMerge w:val="restart"/>
            <w:noWrap/>
            <w:hideMark/>
          </w:tcPr>
          <w:p w:rsidR="0021780B" w:rsidRPr="008D2BC4" w:rsidRDefault="0021780B" w:rsidP="00FD7676">
            <w:pPr>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Zasadnicze szkoły zawodowe</w:t>
            </w:r>
          </w:p>
        </w:tc>
        <w:tc>
          <w:tcPr>
            <w:tcW w:w="1318" w:type="dxa"/>
          </w:tcPr>
          <w:p w:rsidR="0021780B" w:rsidRPr="008D2BC4" w:rsidRDefault="007571A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Oddziały</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19</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21</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20</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20</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18</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17</w:t>
            </w:r>
          </w:p>
        </w:tc>
      </w:tr>
      <w:tr w:rsidR="0021780B" w:rsidRPr="008D2BC4" w:rsidTr="008D2BC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rsidR="0021780B" w:rsidRPr="008D2BC4" w:rsidRDefault="0021780B" w:rsidP="00FD7676">
            <w:pPr>
              <w:rPr>
                <w:rFonts w:asciiTheme="minorHAnsi" w:eastAsia="Times New Roman" w:hAnsiTheme="minorHAnsi" w:cs="Arial"/>
                <w:sz w:val="22"/>
                <w:lang w:eastAsia="pl-PL"/>
              </w:rPr>
            </w:pPr>
          </w:p>
        </w:tc>
        <w:tc>
          <w:tcPr>
            <w:tcW w:w="1318" w:type="dxa"/>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Uczniowie</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501</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543</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523</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476</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485</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475</w:t>
            </w:r>
          </w:p>
        </w:tc>
      </w:tr>
      <w:tr w:rsidR="0021780B" w:rsidRPr="008D2BC4" w:rsidTr="008D2B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5" w:type="dxa"/>
            <w:vMerge w:val="restart"/>
            <w:noWrap/>
            <w:hideMark/>
          </w:tcPr>
          <w:p w:rsidR="0021780B" w:rsidRPr="008D2BC4" w:rsidRDefault="0021780B" w:rsidP="00FD7676">
            <w:pPr>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Technika</w:t>
            </w:r>
          </w:p>
        </w:tc>
        <w:tc>
          <w:tcPr>
            <w:tcW w:w="1318" w:type="dxa"/>
          </w:tcPr>
          <w:p w:rsidR="0021780B" w:rsidRPr="008D2BC4" w:rsidRDefault="007571AB"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Oddziały</w:t>
            </w:r>
          </w:p>
        </w:tc>
        <w:tc>
          <w:tcPr>
            <w:tcW w:w="970" w:type="dxa"/>
            <w:noWrap/>
            <w:hideMark/>
          </w:tcPr>
          <w:p w:rsidR="0021780B" w:rsidRPr="008D2BC4" w:rsidRDefault="006228B6" w:rsidP="006228B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92</w:t>
            </w:r>
          </w:p>
        </w:tc>
        <w:tc>
          <w:tcPr>
            <w:tcW w:w="970" w:type="dxa"/>
            <w:noWrap/>
            <w:hideMark/>
          </w:tcPr>
          <w:p w:rsidR="0021780B" w:rsidRPr="008D2BC4" w:rsidRDefault="006228B6"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88</w:t>
            </w:r>
          </w:p>
        </w:tc>
        <w:tc>
          <w:tcPr>
            <w:tcW w:w="970" w:type="dxa"/>
            <w:noWrap/>
            <w:hideMark/>
          </w:tcPr>
          <w:p w:rsidR="0021780B" w:rsidRPr="008D2BC4" w:rsidRDefault="006228B6"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87</w:t>
            </w:r>
          </w:p>
        </w:tc>
        <w:tc>
          <w:tcPr>
            <w:tcW w:w="970" w:type="dxa"/>
            <w:noWrap/>
            <w:hideMark/>
          </w:tcPr>
          <w:p w:rsidR="0021780B" w:rsidRPr="008D2BC4" w:rsidRDefault="006228B6"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87</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77</w:t>
            </w:r>
          </w:p>
        </w:tc>
        <w:tc>
          <w:tcPr>
            <w:tcW w:w="970" w:type="dxa"/>
            <w:noWrap/>
            <w:hideMark/>
          </w:tcPr>
          <w:p w:rsidR="0021780B" w:rsidRPr="008D2BC4" w:rsidRDefault="00232D6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76</w:t>
            </w:r>
          </w:p>
        </w:tc>
      </w:tr>
      <w:tr w:rsidR="0021780B" w:rsidRPr="008D2BC4" w:rsidTr="008D2BC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5" w:type="dxa"/>
            <w:vMerge/>
            <w:noWrap/>
            <w:hideMark/>
          </w:tcPr>
          <w:p w:rsidR="0021780B" w:rsidRPr="008D2BC4" w:rsidRDefault="0021780B" w:rsidP="00FD7676">
            <w:pPr>
              <w:rPr>
                <w:rFonts w:asciiTheme="minorHAnsi" w:eastAsia="Times New Roman" w:hAnsiTheme="minorHAnsi" w:cs="Arial"/>
                <w:sz w:val="22"/>
                <w:lang w:eastAsia="pl-PL"/>
              </w:rPr>
            </w:pPr>
          </w:p>
        </w:tc>
        <w:tc>
          <w:tcPr>
            <w:tcW w:w="1318" w:type="dxa"/>
          </w:tcPr>
          <w:p w:rsidR="0021780B" w:rsidRPr="008D2BC4" w:rsidRDefault="007571A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U</w:t>
            </w:r>
            <w:r w:rsidR="0021780B" w:rsidRPr="008D2BC4">
              <w:rPr>
                <w:rFonts w:asciiTheme="minorHAnsi" w:eastAsia="Times New Roman" w:hAnsiTheme="minorHAnsi" w:cs="Arial"/>
                <w:sz w:val="22"/>
                <w:lang w:eastAsia="pl-PL"/>
              </w:rPr>
              <w:t>czniowie</w:t>
            </w:r>
          </w:p>
        </w:tc>
        <w:tc>
          <w:tcPr>
            <w:tcW w:w="970" w:type="dxa"/>
            <w:noWrap/>
            <w:hideMark/>
          </w:tcPr>
          <w:p w:rsidR="0021780B" w:rsidRPr="008D2BC4" w:rsidRDefault="006228B6"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2192</w:t>
            </w:r>
          </w:p>
        </w:tc>
        <w:tc>
          <w:tcPr>
            <w:tcW w:w="970" w:type="dxa"/>
            <w:noWrap/>
            <w:hideMark/>
          </w:tcPr>
          <w:p w:rsidR="0021780B" w:rsidRPr="008D2BC4" w:rsidRDefault="006228B6"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2058</w:t>
            </w:r>
          </w:p>
        </w:tc>
        <w:tc>
          <w:tcPr>
            <w:tcW w:w="970" w:type="dxa"/>
            <w:noWrap/>
            <w:hideMark/>
          </w:tcPr>
          <w:p w:rsidR="0021780B" w:rsidRPr="008D2BC4" w:rsidRDefault="006228B6"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2025</w:t>
            </w:r>
          </w:p>
        </w:tc>
        <w:tc>
          <w:tcPr>
            <w:tcW w:w="970" w:type="dxa"/>
            <w:noWrap/>
            <w:hideMark/>
          </w:tcPr>
          <w:p w:rsidR="0021780B" w:rsidRPr="008D2BC4" w:rsidRDefault="0021780B"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2038</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1927</w:t>
            </w:r>
          </w:p>
        </w:tc>
        <w:tc>
          <w:tcPr>
            <w:tcW w:w="970" w:type="dxa"/>
            <w:noWrap/>
            <w:hideMark/>
          </w:tcPr>
          <w:p w:rsidR="0021780B" w:rsidRPr="008D2BC4" w:rsidRDefault="00232D6E"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8D2BC4">
              <w:rPr>
                <w:rFonts w:asciiTheme="minorHAnsi" w:eastAsia="Times New Roman" w:hAnsiTheme="minorHAnsi" w:cs="Arial"/>
                <w:sz w:val="22"/>
                <w:lang w:eastAsia="pl-PL"/>
              </w:rPr>
              <w:t>1985</w:t>
            </w:r>
          </w:p>
        </w:tc>
      </w:tr>
    </w:tbl>
    <w:p w:rsidR="0021780B" w:rsidRPr="002E2D3F" w:rsidRDefault="0021780B" w:rsidP="00FD7676">
      <w:pPr>
        <w:rPr>
          <w:rFonts w:asciiTheme="minorHAnsi" w:hAnsiTheme="minorHAnsi"/>
          <w:sz w:val="20"/>
        </w:rPr>
      </w:pPr>
      <w:r w:rsidRPr="002E2D3F">
        <w:rPr>
          <w:rFonts w:asciiTheme="minorHAnsi" w:hAnsiTheme="minorHAnsi"/>
          <w:sz w:val="20"/>
        </w:rPr>
        <w:t>Źródło: Opracowanie własne na podstawie: Bank Danych Lokalnych, GUS.</w:t>
      </w:r>
    </w:p>
    <w:p w:rsidR="00273769" w:rsidRDefault="00273769" w:rsidP="00FD7676">
      <w:pPr>
        <w:rPr>
          <w:rFonts w:asciiTheme="minorHAnsi" w:hAnsiTheme="minorHAnsi"/>
          <w:sz w:val="22"/>
        </w:rPr>
      </w:pPr>
    </w:p>
    <w:p w:rsidR="0038663B" w:rsidRPr="00563EF2" w:rsidRDefault="004F1ABD" w:rsidP="0038663B">
      <w:pPr>
        <w:rPr>
          <w:rFonts w:asciiTheme="minorHAnsi" w:hAnsiTheme="minorHAnsi"/>
          <w:sz w:val="22"/>
        </w:rPr>
      </w:pPr>
      <w:r>
        <w:rPr>
          <w:rFonts w:asciiTheme="minorHAnsi" w:hAnsiTheme="minorHAnsi"/>
          <w:sz w:val="22"/>
        </w:rPr>
        <w:t xml:space="preserve">Rozwój szkolnictwa zawodowego na terenie Legnicy możliwy był dzięki </w:t>
      </w:r>
      <w:r w:rsidR="00273769" w:rsidRPr="00563EF2">
        <w:rPr>
          <w:rFonts w:asciiTheme="minorHAnsi" w:hAnsiTheme="minorHAnsi"/>
          <w:sz w:val="22"/>
        </w:rPr>
        <w:t>dalekowzroczn</w:t>
      </w:r>
      <w:r>
        <w:rPr>
          <w:rFonts w:asciiTheme="minorHAnsi" w:hAnsiTheme="minorHAnsi"/>
          <w:sz w:val="22"/>
        </w:rPr>
        <w:t>ej polityce oświatowej</w:t>
      </w:r>
      <w:r w:rsidR="00273769" w:rsidRPr="00563EF2">
        <w:rPr>
          <w:rFonts w:asciiTheme="minorHAnsi" w:hAnsiTheme="minorHAnsi"/>
          <w:sz w:val="22"/>
        </w:rPr>
        <w:t xml:space="preserve"> Miasta, która nie doprowadziła do marginalizacji </w:t>
      </w:r>
      <w:r>
        <w:rPr>
          <w:rFonts w:asciiTheme="minorHAnsi" w:hAnsiTheme="minorHAnsi"/>
          <w:sz w:val="22"/>
        </w:rPr>
        <w:t>zasadniczych szkół zawodowych i </w:t>
      </w:r>
      <w:r w:rsidR="00273769" w:rsidRPr="00563EF2">
        <w:rPr>
          <w:rFonts w:asciiTheme="minorHAnsi" w:hAnsiTheme="minorHAnsi"/>
          <w:sz w:val="22"/>
        </w:rPr>
        <w:t>techników na terenie Legnicy, co często miało miejsce w przypadku innych samorządów. Zespoły szkół ściśle współpracują z firmami zlokaliz</w:t>
      </w:r>
      <w:r>
        <w:rPr>
          <w:rFonts w:asciiTheme="minorHAnsi" w:hAnsiTheme="minorHAnsi"/>
          <w:sz w:val="22"/>
        </w:rPr>
        <w:t>owanymi w okolicy</w:t>
      </w:r>
      <w:r w:rsidR="00DC2D17">
        <w:rPr>
          <w:rFonts w:asciiTheme="minorHAnsi" w:hAnsiTheme="minorHAnsi"/>
          <w:sz w:val="22"/>
        </w:rPr>
        <w:t>,</w:t>
      </w:r>
      <w:r w:rsidR="00273769" w:rsidRPr="00563EF2">
        <w:rPr>
          <w:rFonts w:asciiTheme="minorHAnsi" w:hAnsiTheme="minorHAnsi"/>
          <w:sz w:val="22"/>
        </w:rPr>
        <w:t xml:space="preserve"> poprzez prowadzenie programów praktyk uczniowskich na terenie zakładów, tworz</w:t>
      </w:r>
      <w:r w:rsidR="000C20EF">
        <w:rPr>
          <w:rFonts w:asciiTheme="minorHAnsi" w:hAnsiTheme="minorHAnsi"/>
          <w:sz w:val="22"/>
        </w:rPr>
        <w:t>enie oczekiwanych i zamawianych</w:t>
      </w:r>
      <w:r w:rsidR="00273769" w:rsidRPr="00563EF2">
        <w:rPr>
          <w:rFonts w:asciiTheme="minorHAnsi" w:hAnsiTheme="minorHAnsi"/>
          <w:sz w:val="22"/>
        </w:rPr>
        <w:t xml:space="preserve"> kierunków kształcenia zawodowego, czy wspomaganie ze strony firm tworzenia odpowiedniej infrastruktury i pracowni dla rozwoju edukacji zawodowej. Działania te pozwalają na lepsze dostosowanie edukacji i kierunków kształcenia do zmieniającej się rzeczywistości i wymagań rynku pracy.</w:t>
      </w:r>
      <w:r w:rsidR="0038663B">
        <w:rPr>
          <w:rFonts w:asciiTheme="minorHAnsi" w:hAnsiTheme="minorHAnsi"/>
          <w:sz w:val="22"/>
        </w:rPr>
        <w:t xml:space="preserve"> Pozycję legnickiego kształcenia technicznego i zawodowego obrazują także średnie wyniki egzaminów zawodowych</w:t>
      </w:r>
      <w:r w:rsidR="00DC2D17">
        <w:rPr>
          <w:rFonts w:asciiTheme="minorHAnsi" w:hAnsiTheme="minorHAnsi"/>
          <w:sz w:val="22"/>
        </w:rPr>
        <w:t>,</w:t>
      </w:r>
      <w:r w:rsidR="0038663B">
        <w:rPr>
          <w:rFonts w:asciiTheme="minorHAnsi" w:hAnsiTheme="minorHAnsi"/>
          <w:sz w:val="22"/>
        </w:rPr>
        <w:t xml:space="preserve"> znacznie przewyższające średnią krajową i wojewódzką. </w:t>
      </w:r>
    </w:p>
    <w:p w:rsidR="00273769" w:rsidRDefault="00273769" w:rsidP="00273769">
      <w:pPr>
        <w:rPr>
          <w:rFonts w:asciiTheme="minorHAnsi" w:hAnsiTheme="minorHAnsi"/>
          <w:sz w:val="22"/>
        </w:rPr>
      </w:pPr>
    </w:p>
    <w:p w:rsidR="00273769" w:rsidRPr="007F6382" w:rsidRDefault="00273769" w:rsidP="00273769">
      <w:pPr>
        <w:pStyle w:val="Legenda"/>
        <w:keepNext/>
        <w:rPr>
          <w:rFonts w:asciiTheme="minorHAnsi" w:hAnsiTheme="minorHAnsi"/>
          <w:sz w:val="20"/>
        </w:rPr>
      </w:pPr>
      <w:r w:rsidRPr="007F6382">
        <w:rPr>
          <w:rFonts w:asciiTheme="minorHAnsi" w:hAnsiTheme="minorHAnsi"/>
          <w:sz w:val="20"/>
        </w:rPr>
        <w:t xml:space="preserve">Wykres </w:t>
      </w:r>
      <w:r w:rsidRPr="007F6382">
        <w:rPr>
          <w:rFonts w:asciiTheme="minorHAnsi" w:hAnsiTheme="minorHAnsi"/>
          <w:sz w:val="20"/>
        </w:rPr>
        <w:fldChar w:fldCharType="begin"/>
      </w:r>
      <w:r w:rsidRPr="007F6382">
        <w:rPr>
          <w:rFonts w:asciiTheme="minorHAnsi" w:hAnsiTheme="minorHAnsi"/>
          <w:sz w:val="20"/>
        </w:rPr>
        <w:instrText xml:space="preserve"> SEQ Wykres \* ARABIC </w:instrText>
      </w:r>
      <w:r w:rsidRPr="007F6382">
        <w:rPr>
          <w:rFonts w:asciiTheme="minorHAnsi" w:hAnsiTheme="minorHAnsi"/>
          <w:sz w:val="20"/>
        </w:rPr>
        <w:fldChar w:fldCharType="separate"/>
      </w:r>
      <w:r w:rsidR="007B2916">
        <w:rPr>
          <w:rFonts w:asciiTheme="minorHAnsi" w:hAnsiTheme="minorHAnsi"/>
          <w:noProof/>
          <w:sz w:val="20"/>
        </w:rPr>
        <w:t>9</w:t>
      </w:r>
      <w:r w:rsidRPr="007F6382">
        <w:rPr>
          <w:rFonts w:asciiTheme="minorHAnsi" w:hAnsiTheme="minorHAnsi"/>
          <w:sz w:val="20"/>
        </w:rPr>
        <w:fldChar w:fldCharType="end"/>
      </w:r>
      <w:r w:rsidRPr="007F6382">
        <w:rPr>
          <w:rFonts w:asciiTheme="minorHAnsi" w:hAnsiTheme="minorHAnsi"/>
          <w:sz w:val="20"/>
        </w:rPr>
        <w:t>. Średnie wyniki egzaminów zawodowych w roku szkolnym 2012/2013</w:t>
      </w:r>
    </w:p>
    <w:p w:rsidR="00273769" w:rsidRDefault="00273769" w:rsidP="00273769">
      <w:pPr>
        <w:rPr>
          <w:rFonts w:asciiTheme="minorHAnsi" w:hAnsiTheme="minorHAnsi"/>
          <w:sz w:val="22"/>
        </w:rPr>
      </w:pPr>
      <w:r>
        <w:rPr>
          <w:noProof/>
          <w:lang w:eastAsia="pl-PL"/>
        </w:rPr>
        <w:drawing>
          <wp:inline distT="0" distB="0" distL="0" distR="0" wp14:anchorId="70714480" wp14:editId="445DE76C">
            <wp:extent cx="4572000" cy="180975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3769" w:rsidRPr="002E2D3F" w:rsidRDefault="00273769" w:rsidP="00FD7676">
      <w:pPr>
        <w:rPr>
          <w:rFonts w:asciiTheme="minorHAnsi" w:hAnsiTheme="minorHAnsi"/>
          <w:sz w:val="20"/>
        </w:rPr>
      </w:pPr>
      <w:r w:rsidRPr="002E2D3F">
        <w:rPr>
          <w:rFonts w:asciiTheme="minorHAnsi" w:hAnsiTheme="minorHAnsi"/>
          <w:sz w:val="20"/>
        </w:rPr>
        <w:t xml:space="preserve">Źródło: Wydział </w:t>
      </w:r>
      <w:r w:rsidR="002E5844" w:rsidRPr="002E2D3F">
        <w:rPr>
          <w:rFonts w:asciiTheme="minorHAnsi" w:hAnsiTheme="minorHAnsi"/>
          <w:sz w:val="20"/>
        </w:rPr>
        <w:t>Oświaty, Kultury i Sportu,</w:t>
      </w:r>
      <w:r w:rsidRPr="002E2D3F">
        <w:rPr>
          <w:rFonts w:asciiTheme="minorHAnsi" w:hAnsiTheme="minorHAnsi"/>
          <w:sz w:val="20"/>
        </w:rPr>
        <w:t xml:space="preserve"> Urząd Miasta Legnicy.</w:t>
      </w:r>
    </w:p>
    <w:p w:rsidR="00770950" w:rsidRPr="00563EF2" w:rsidRDefault="00770950" w:rsidP="00FD7676">
      <w:pPr>
        <w:rPr>
          <w:rFonts w:asciiTheme="minorHAnsi" w:hAnsiTheme="minorHAnsi"/>
          <w:sz w:val="22"/>
        </w:rPr>
      </w:pPr>
    </w:p>
    <w:p w:rsidR="003948A4" w:rsidRDefault="00837FC3" w:rsidP="00FD7676">
      <w:pPr>
        <w:rPr>
          <w:rFonts w:asciiTheme="minorHAnsi" w:hAnsiTheme="minorHAnsi"/>
          <w:sz w:val="22"/>
        </w:rPr>
      </w:pPr>
      <w:r w:rsidRPr="00563EF2">
        <w:rPr>
          <w:rFonts w:asciiTheme="minorHAnsi" w:hAnsiTheme="minorHAnsi"/>
          <w:sz w:val="22"/>
        </w:rPr>
        <w:t>Wyniki</w:t>
      </w:r>
      <w:r w:rsidR="0038663B">
        <w:rPr>
          <w:rFonts w:asciiTheme="minorHAnsi" w:hAnsiTheme="minorHAnsi"/>
          <w:sz w:val="22"/>
        </w:rPr>
        <w:t xml:space="preserve"> pozostałych</w:t>
      </w:r>
      <w:r w:rsidRPr="00563EF2">
        <w:rPr>
          <w:rFonts w:asciiTheme="minorHAnsi" w:hAnsiTheme="minorHAnsi"/>
          <w:sz w:val="22"/>
        </w:rPr>
        <w:t xml:space="preserve"> egzaminów państwowych w Legnicy w 2013 r. charakteryzowały się w sposób zróżnicowany. </w:t>
      </w:r>
      <w:r w:rsidR="00451E59" w:rsidRPr="00563EF2">
        <w:rPr>
          <w:rFonts w:asciiTheme="minorHAnsi" w:hAnsiTheme="minorHAnsi"/>
          <w:sz w:val="22"/>
        </w:rPr>
        <w:t xml:space="preserve">Średni wynik sprawdzianu 6-klasisty w legnickich szkołach podstawowych był niższy niż średni wynik dla województwa dolnośląskiego i </w:t>
      </w:r>
      <w:r w:rsidR="00925910">
        <w:rPr>
          <w:rFonts w:asciiTheme="minorHAnsi" w:hAnsiTheme="minorHAnsi"/>
          <w:sz w:val="22"/>
        </w:rPr>
        <w:t>kraju.</w:t>
      </w:r>
      <w:r w:rsidR="00DE70A0">
        <w:rPr>
          <w:rFonts w:asciiTheme="minorHAnsi" w:hAnsiTheme="minorHAnsi"/>
          <w:sz w:val="22"/>
        </w:rPr>
        <w:t xml:space="preserve"> </w:t>
      </w:r>
      <w:r w:rsidR="00451E59" w:rsidRPr="00563EF2">
        <w:rPr>
          <w:rFonts w:asciiTheme="minorHAnsi" w:hAnsiTheme="minorHAnsi"/>
          <w:sz w:val="22"/>
        </w:rPr>
        <w:t xml:space="preserve">Średnie wyniki osiągnięte przez uczniów legnickich gimnazjów również charakteryzowały się sporym zróżnicowaniem. Generalnie oprócz </w:t>
      </w:r>
      <w:r w:rsidR="00925910">
        <w:rPr>
          <w:rFonts w:asciiTheme="minorHAnsi" w:hAnsiTheme="minorHAnsi"/>
          <w:sz w:val="22"/>
        </w:rPr>
        <w:t>języków obcych</w:t>
      </w:r>
      <w:r w:rsidR="00451E59" w:rsidRPr="00563EF2">
        <w:rPr>
          <w:rFonts w:asciiTheme="minorHAnsi" w:hAnsiTheme="minorHAnsi"/>
          <w:sz w:val="22"/>
        </w:rPr>
        <w:t xml:space="preserve"> we wszystkich częściach przedmiotowych eg</w:t>
      </w:r>
      <w:r w:rsidR="00925910">
        <w:rPr>
          <w:rFonts w:asciiTheme="minorHAnsi" w:hAnsiTheme="minorHAnsi"/>
          <w:sz w:val="22"/>
        </w:rPr>
        <w:t>zaminu wyniki plasowały się poniżej średniej krajow</w:t>
      </w:r>
      <w:r w:rsidR="00451E59" w:rsidRPr="00563EF2">
        <w:rPr>
          <w:rFonts w:asciiTheme="minorHAnsi" w:hAnsiTheme="minorHAnsi"/>
          <w:sz w:val="22"/>
        </w:rPr>
        <w:t>ej</w:t>
      </w:r>
      <w:r w:rsidR="00925910">
        <w:rPr>
          <w:rFonts w:asciiTheme="minorHAnsi" w:hAnsiTheme="minorHAnsi"/>
          <w:sz w:val="22"/>
        </w:rPr>
        <w:t>.</w:t>
      </w:r>
      <w:r w:rsidR="00451E59" w:rsidRPr="00563EF2">
        <w:rPr>
          <w:rFonts w:asciiTheme="minorHAnsi" w:hAnsiTheme="minorHAnsi"/>
          <w:sz w:val="22"/>
        </w:rPr>
        <w:t xml:space="preserve"> Gimnazja legni</w:t>
      </w:r>
      <w:r w:rsidR="00925910">
        <w:rPr>
          <w:rFonts w:asciiTheme="minorHAnsi" w:hAnsiTheme="minorHAnsi"/>
          <w:sz w:val="22"/>
        </w:rPr>
        <w:t>ckie osiągnęły wynik wyższy</w:t>
      </w:r>
      <w:r w:rsidR="00DC2D17">
        <w:rPr>
          <w:rFonts w:asciiTheme="minorHAnsi" w:hAnsiTheme="minorHAnsi"/>
          <w:sz w:val="22"/>
        </w:rPr>
        <w:t>,</w:t>
      </w:r>
      <w:r w:rsidR="00925910">
        <w:rPr>
          <w:rFonts w:asciiTheme="minorHAnsi" w:hAnsiTheme="minorHAnsi"/>
          <w:sz w:val="22"/>
        </w:rPr>
        <w:t xml:space="preserve"> </w:t>
      </w:r>
      <w:r w:rsidR="00AE03A4">
        <w:rPr>
          <w:rFonts w:asciiTheme="minorHAnsi" w:hAnsiTheme="minorHAnsi"/>
          <w:sz w:val="22"/>
        </w:rPr>
        <w:t>a</w:t>
      </w:r>
      <w:r w:rsidR="00925910">
        <w:rPr>
          <w:rFonts w:asciiTheme="minorHAnsi" w:hAnsiTheme="minorHAnsi"/>
          <w:sz w:val="22"/>
        </w:rPr>
        <w:t>niż</w:t>
      </w:r>
      <w:r w:rsidR="00AE03A4">
        <w:rPr>
          <w:rFonts w:asciiTheme="minorHAnsi" w:hAnsiTheme="minorHAnsi"/>
          <w:sz w:val="22"/>
        </w:rPr>
        <w:t>eli</w:t>
      </w:r>
      <w:r w:rsidR="00925910">
        <w:rPr>
          <w:rFonts w:asciiTheme="minorHAnsi" w:hAnsiTheme="minorHAnsi"/>
          <w:sz w:val="22"/>
        </w:rPr>
        <w:t xml:space="preserve"> średnia wojewódzka w takich częściach przedmiotowych egzaminu jak: historia i WOS, język polski, </w:t>
      </w:r>
      <w:r w:rsidR="00AE03A4">
        <w:rPr>
          <w:rFonts w:asciiTheme="minorHAnsi" w:hAnsiTheme="minorHAnsi"/>
          <w:sz w:val="22"/>
        </w:rPr>
        <w:t xml:space="preserve">przedmioty przyrodnicze i języki obce (niemiecki, angielski) w stopniu podstawowym. </w:t>
      </w:r>
    </w:p>
    <w:p w:rsidR="00546BC9" w:rsidRDefault="00546BC9" w:rsidP="00FD7676">
      <w:pPr>
        <w:rPr>
          <w:rFonts w:asciiTheme="minorHAnsi" w:hAnsiTheme="minorHAnsi"/>
          <w:sz w:val="22"/>
        </w:rPr>
      </w:pPr>
    </w:p>
    <w:p w:rsidR="00546BC9" w:rsidRDefault="00546BC9" w:rsidP="00FD7676">
      <w:pPr>
        <w:rPr>
          <w:rFonts w:asciiTheme="minorHAnsi" w:hAnsiTheme="minorHAnsi"/>
          <w:sz w:val="22"/>
        </w:rPr>
      </w:pPr>
      <w:r w:rsidRPr="00563EF2">
        <w:rPr>
          <w:rFonts w:asciiTheme="minorHAnsi" w:hAnsiTheme="minorHAnsi"/>
          <w:sz w:val="22"/>
        </w:rPr>
        <w:t xml:space="preserve">Zdawalność egzaminu maturalnego w Legnicy w 2013 r. </w:t>
      </w:r>
      <w:r w:rsidR="00AE03A4">
        <w:rPr>
          <w:rFonts w:asciiTheme="minorHAnsi" w:hAnsiTheme="minorHAnsi"/>
          <w:sz w:val="22"/>
        </w:rPr>
        <w:t>była</w:t>
      </w:r>
      <w:r w:rsidRPr="00563EF2">
        <w:rPr>
          <w:rFonts w:asciiTheme="minorHAnsi" w:hAnsiTheme="minorHAnsi"/>
          <w:sz w:val="22"/>
        </w:rPr>
        <w:t xml:space="preserve"> niższa zarówno od średnie</w:t>
      </w:r>
      <w:r w:rsidR="00AE03A4">
        <w:rPr>
          <w:rFonts w:asciiTheme="minorHAnsi" w:hAnsiTheme="minorHAnsi"/>
          <w:sz w:val="22"/>
        </w:rPr>
        <w:t>j w</w:t>
      </w:r>
      <w:r w:rsidR="00DC2D17">
        <w:rPr>
          <w:rFonts w:asciiTheme="minorHAnsi" w:hAnsiTheme="minorHAnsi"/>
          <w:sz w:val="22"/>
        </w:rPr>
        <w:t xml:space="preserve">ojewódzkiej, </w:t>
      </w:r>
      <w:r w:rsidR="00AE03A4">
        <w:rPr>
          <w:rFonts w:asciiTheme="minorHAnsi" w:hAnsiTheme="minorHAnsi"/>
          <w:sz w:val="22"/>
        </w:rPr>
        <w:t>jak i średniej krajowej</w:t>
      </w:r>
      <w:r w:rsidRPr="00563EF2">
        <w:rPr>
          <w:rFonts w:asciiTheme="minorHAnsi" w:hAnsiTheme="minorHAnsi"/>
          <w:sz w:val="22"/>
        </w:rPr>
        <w:t xml:space="preserve">.   </w:t>
      </w:r>
    </w:p>
    <w:p w:rsidR="00546BC9" w:rsidRPr="00563EF2" w:rsidRDefault="00546BC9" w:rsidP="00FD7676">
      <w:pPr>
        <w:rPr>
          <w:rFonts w:asciiTheme="minorHAnsi" w:hAnsiTheme="minorHAnsi"/>
          <w:sz w:val="22"/>
        </w:rPr>
      </w:pPr>
    </w:p>
    <w:p w:rsidR="00770950" w:rsidRPr="00563EF2" w:rsidRDefault="00770950" w:rsidP="00FD7676">
      <w:pPr>
        <w:pStyle w:val="Legenda"/>
        <w:keepNext/>
        <w:spacing w:line="276" w:lineRule="auto"/>
        <w:rPr>
          <w:rFonts w:asciiTheme="minorHAnsi" w:hAnsiTheme="minorHAnsi"/>
          <w:sz w:val="22"/>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C56DB"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10</w:t>
      </w:r>
      <w:r w:rsidR="00017794" w:rsidRPr="007F6382">
        <w:rPr>
          <w:rFonts w:asciiTheme="minorHAnsi" w:hAnsiTheme="minorHAnsi"/>
          <w:sz w:val="20"/>
          <w:szCs w:val="22"/>
        </w:rPr>
        <w:fldChar w:fldCharType="end"/>
      </w:r>
      <w:r w:rsidRPr="007F6382">
        <w:rPr>
          <w:rFonts w:asciiTheme="minorHAnsi" w:hAnsiTheme="minorHAnsi"/>
          <w:sz w:val="20"/>
          <w:szCs w:val="22"/>
        </w:rPr>
        <w:t>. Zdawalność matur i średnie wyniki</w:t>
      </w:r>
      <w:r w:rsidRPr="007F6382">
        <w:rPr>
          <w:rFonts w:asciiTheme="minorHAnsi" w:hAnsiTheme="minorHAnsi"/>
          <w:noProof/>
          <w:sz w:val="20"/>
          <w:szCs w:val="22"/>
        </w:rPr>
        <w:t xml:space="preserve"> poszczególnych egzaminów oświatowych w 2013 r.</w:t>
      </w:r>
    </w:p>
    <w:tbl>
      <w:tblPr>
        <w:tblStyle w:val="Jasnasiatkaakcent5"/>
        <w:tblW w:w="0" w:type="auto"/>
        <w:tblLook w:val="04A0" w:firstRow="1" w:lastRow="0" w:firstColumn="1" w:lastColumn="0" w:noHBand="0" w:noVBand="1"/>
      </w:tblPr>
      <w:tblGrid>
        <w:gridCol w:w="2913"/>
        <w:gridCol w:w="1799"/>
        <w:gridCol w:w="1461"/>
        <w:gridCol w:w="1461"/>
        <w:gridCol w:w="1462"/>
      </w:tblGrid>
      <w:tr w:rsidR="00925910" w:rsidRPr="00546BC9" w:rsidTr="009259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8" w:type="dxa"/>
            <w:gridSpan w:val="2"/>
            <w:hideMark/>
          </w:tcPr>
          <w:p w:rsidR="00925910" w:rsidRPr="00546BC9" w:rsidRDefault="00925910" w:rsidP="00FD7676">
            <w:pPr>
              <w:rPr>
                <w:rFonts w:asciiTheme="minorHAnsi" w:hAnsiTheme="minorHAnsi"/>
                <w:sz w:val="20"/>
              </w:rPr>
            </w:pPr>
            <w:r w:rsidRPr="00546BC9">
              <w:rPr>
                <w:rFonts w:asciiTheme="minorHAnsi" w:hAnsiTheme="minorHAnsi"/>
                <w:bCs w:val="0"/>
                <w:sz w:val="20"/>
              </w:rPr>
              <w:t xml:space="preserve">Typ egzaminu </w:t>
            </w:r>
          </w:p>
        </w:tc>
        <w:tc>
          <w:tcPr>
            <w:tcW w:w="1461" w:type="dxa"/>
          </w:tcPr>
          <w:p w:rsidR="00925910" w:rsidRPr="00546BC9" w:rsidRDefault="0092591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rPr>
            </w:pPr>
            <w:r>
              <w:rPr>
                <w:rFonts w:asciiTheme="minorHAnsi" w:hAnsiTheme="minorHAnsi"/>
                <w:bCs w:val="0"/>
                <w:sz w:val="20"/>
              </w:rPr>
              <w:t>Kraj</w:t>
            </w:r>
          </w:p>
        </w:tc>
        <w:tc>
          <w:tcPr>
            <w:tcW w:w="1461" w:type="dxa"/>
            <w:hideMark/>
          </w:tcPr>
          <w:p w:rsidR="00925910" w:rsidRPr="00546BC9" w:rsidRDefault="0092591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546BC9">
              <w:rPr>
                <w:rFonts w:asciiTheme="minorHAnsi" w:hAnsiTheme="minorHAnsi"/>
                <w:bCs w:val="0"/>
                <w:sz w:val="20"/>
              </w:rPr>
              <w:t>Województwo dolnośląskie</w:t>
            </w:r>
          </w:p>
        </w:tc>
        <w:tc>
          <w:tcPr>
            <w:tcW w:w="1462" w:type="dxa"/>
            <w:shd w:val="clear" w:color="auto" w:fill="FFC000"/>
            <w:hideMark/>
          </w:tcPr>
          <w:p w:rsidR="00925910" w:rsidRPr="00546BC9" w:rsidRDefault="0092591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546BC9">
              <w:rPr>
                <w:rFonts w:asciiTheme="minorHAnsi" w:hAnsiTheme="minorHAnsi"/>
                <w:bCs w:val="0"/>
                <w:sz w:val="20"/>
              </w:rPr>
              <w:t>Legnica</w:t>
            </w:r>
          </w:p>
        </w:tc>
      </w:tr>
      <w:tr w:rsidR="00925910" w:rsidRPr="00546BC9" w:rsidTr="0092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8" w:type="dxa"/>
            <w:gridSpan w:val="2"/>
            <w:hideMark/>
          </w:tcPr>
          <w:p w:rsidR="00925910" w:rsidRPr="00546BC9" w:rsidRDefault="00925910" w:rsidP="00FD7676">
            <w:pPr>
              <w:rPr>
                <w:rFonts w:asciiTheme="minorHAnsi" w:hAnsiTheme="minorHAnsi"/>
                <w:sz w:val="20"/>
              </w:rPr>
            </w:pPr>
            <w:r w:rsidRPr="00546BC9">
              <w:rPr>
                <w:rFonts w:asciiTheme="minorHAnsi" w:hAnsiTheme="minorHAnsi"/>
                <w:bCs w:val="0"/>
                <w:sz w:val="20"/>
              </w:rPr>
              <w:t xml:space="preserve">Sprawdzian 6-klasisty – śr. wynik </w:t>
            </w:r>
          </w:p>
        </w:tc>
        <w:tc>
          <w:tcPr>
            <w:tcW w:w="1461" w:type="dxa"/>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24,03</w:t>
            </w:r>
          </w:p>
        </w:tc>
        <w:tc>
          <w:tcPr>
            <w:tcW w:w="1461"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sz w:val="20"/>
              </w:rPr>
              <w:t>23,6</w:t>
            </w:r>
          </w:p>
        </w:tc>
        <w:tc>
          <w:tcPr>
            <w:tcW w:w="1462" w:type="dxa"/>
            <w:shd w:val="clear" w:color="auto" w:fill="FBE4D5" w:themeFill="accent2" w:themeFillTint="33"/>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546BC9">
              <w:rPr>
                <w:rFonts w:asciiTheme="minorHAnsi" w:hAnsiTheme="minorHAnsi"/>
                <w:b/>
                <w:sz w:val="20"/>
              </w:rPr>
              <w:t>22,5</w:t>
            </w:r>
          </w:p>
        </w:tc>
      </w:tr>
      <w:tr w:rsidR="00925910" w:rsidRPr="00546BC9" w:rsidTr="009259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925910" w:rsidRPr="00546BC9" w:rsidRDefault="00925910" w:rsidP="00FD7676">
            <w:pPr>
              <w:rPr>
                <w:rFonts w:asciiTheme="minorHAnsi" w:hAnsiTheme="minorHAnsi"/>
                <w:sz w:val="20"/>
              </w:rPr>
            </w:pPr>
            <w:r w:rsidRPr="00546BC9">
              <w:rPr>
                <w:rFonts w:asciiTheme="minorHAnsi" w:hAnsiTheme="minorHAnsi"/>
                <w:bCs w:val="0"/>
                <w:sz w:val="20"/>
              </w:rPr>
              <w:t xml:space="preserve">Egzamin Gimnazjalny – śr. wynik </w:t>
            </w:r>
          </w:p>
        </w:tc>
        <w:tc>
          <w:tcPr>
            <w:tcW w:w="1799" w:type="dxa"/>
            <w:hideMark/>
          </w:tcPr>
          <w:p w:rsidR="00925910" w:rsidRPr="00546BC9" w:rsidRDefault="00AE03A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bCs/>
                <w:sz w:val="20"/>
              </w:rPr>
              <w:t>h</w:t>
            </w:r>
            <w:r w:rsidR="00925910">
              <w:rPr>
                <w:rFonts w:asciiTheme="minorHAnsi" w:hAnsiTheme="minorHAnsi"/>
                <w:bCs/>
                <w:sz w:val="20"/>
              </w:rPr>
              <w:t>istoria i WOS</w:t>
            </w:r>
          </w:p>
        </w:tc>
        <w:tc>
          <w:tcPr>
            <w:tcW w:w="1461" w:type="dxa"/>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58</w:t>
            </w:r>
          </w:p>
        </w:tc>
        <w:tc>
          <w:tcPr>
            <w:tcW w:w="1461" w:type="dxa"/>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546BC9">
              <w:rPr>
                <w:rFonts w:asciiTheme="minorHAnsi" w:hAnsiTheme="minorHAnsi"/>
                <w:sz w:val="20"/>
              </w:rPr>
              <w:t>56,7</w:t>
            </w:r>
          </w:p>
        </w:tc>
        <w:tc>
          <w:tcPr>
            <w:tcW w:w="1462" w:type="dxa"/>
            <w:shd w:val="clear" w:color="auto" w:fill="FBE4D5" w:themeFill="accent2" w:themeFillTint="33"/>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b/>
                <w:sz w:val="20"/>
              </w:rPr>
            </w:pPr>
            <w:r w:rsidRPr="00546BC9">
              <w:rPr>
                <w:rFonts w:asciiTheme="minorHAnsi" w:hAnsiTheme="minorHAnsi"/>
                <w:b/>
                <w:sz w:val="20"/>
              </w:rPr>
              <w:t>57,3</w:t>
            </w:r>
          </w:p>
        </w:tc>
      </w:tr>
      <w:tr w:rsidR="00925910" w:rsidRPr="00546BC9" w:rsidTr="00925910">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0" w:type="auto"/>
            <w:vMerge/>
            <w:hideMark/>
          </w:tcPr>
          <w:p w:rsidR="00925910" w:rsidRPr="00546BC9" w:rsidRDefault="00925910" w:rsidP="00FD7676">
            <w:pPr>
              <w:rPr>
                <w:rFonts w:asciiTheme="minorHAnsi" w:hAnsiTheme="minorHAnsi"/>
                <w:sz w:val="20"/>
              </w:rPr>
            </w:pPr>
          </w:p>
        </w:tc>
        <w:tc>
          <w:tcPr>
            <w:tcW w:w="1799" w:type="dxa"/>
            <w:hideMark/>
          </w:tcPr>
          <w:p w:rsidR="00925910" w:rsidRPr="00546BC9" w:rsidRDefault="00AE03A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bCs/>
                <w:sz w:val="20"/>
              </w:rPr>
              <w:t>j</w:t>
            </w:r>
            <w:r w:rsidR="00925910" w:rsidRPr="00546BC9">
              <w:rPr>
                <w:rFonts w:asciiTheme="minorHAnsi" w:hAnsiTheme="minorHAnsi"/>
                <w:bCs/>
                <w:sz w:val="20"/>
              </w:rPr>
              <w:t>. polski</w:t>
            </w:r>
          </w:p>
        </w:tc>
        <w:tc>
          <w:tcPr>
            <w:tcW w:w="1461" w:type="dxa"/>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62</w:t>
            </w:r>
          </w:p>
        </w:tc>
        <w:tc>
          <w:tcPr>
            <w:tcW w:w="1461"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sz w:val="20"/>
              </w:rPr>
              <w:t>60,1</w:t>
            </w:r>
          </w:p>
        </w:tc>
        <w:tc>
          <w:tcPr>
            <w:tcW w:w="1462" w:type="dxa"/>
            <w:shd w:val="clear" w:color="auto" w:fill="FBE4D5" w:themeFill="accent2" w:themeFillTint="33"/>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546BC9">
              <w:rPr>
                <w:rFonts w:asciiTheme="minorHAnsi" w:hAnsiTheme="minorHAnsi"/>
                <w:b/>
                <w:sz w:val="20"/>
              </w:rPr>
              <w:t>61,6</w:t>
            </w:r>
          </w:p>
        </w:tc>
      </w:tr>
      <w:tr w:rsidR="00925910" w:rsidRPr="00546BC9" w:rsidTr="009259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rsidR="00925910" w:rsidRPr="00546BC9" w:rsidRDefault="00925910" w:rsidP="00FD7676">
            <w:pPr>
              <w:rPr>
                <w:rFonts w:asciiTheme="minorHAnsi" w:hAnsiTheme="minorHAnsi"/>
                <w:sz w:val="20"/>
              </w:rPr>
            </w:pPr>
          </w:p>
        </w:tc>
        <w:tc>
          <w:tcPr>
            <w:tcW w:w="1799" w:type="dxa"/>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546BC9">
              <w:rPr>
                <w:rFonts w:asciiTheme="minorHAnsi" w:hAnsiTheme="minorHAnsi"/>
                <w:bCs/>
                <w:sz w:val="20"/>
              </w:rPr>
              <w:t>przedmioty przyrodnicze</w:t>
            </w:r>
          </w:p>
        </w:tc>
        <w:tc>
          <w:tcPr>
            <w:tcW w:w="1461" w:type="dxa"/>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59</w:t>
            </w:r>
          </w:p>
        </w:tc>
        <w:tc>
          <w:tcPr>
            <w:tcW w:w="1461" w:type="dxa"/>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546BC9">
              <w:rPr>
                <w:rFonts w:asciiTheme="minorHAnsi" w:hAnsiTheme="minorHAnsi"/>
                <w:sz w:val="20"/>
              </w:rPr>
              <w:t>58,1</w:t>
            </w:r>
          </w:p>
        </w:tc>
        <w:tc>
          <w:tcPr>
            <w:tcW w:w="1462" w:type="dxa"/>
            <w:shd w:val="clear" w:color="auto" w:fill="FBE4D5" w:themeFill="accent2" w:themeFillTint="33"/>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b/>
                <w:sz w:val="20"/>
              </w:rPr>
            </w:pPr>
            <w:r w:rsidRPr="00546BC9">
              <w:rPr>
                <w:rFonts w:asciiTheme="minorHAnsi" w:hAnsiTheme="minorHAnsi"/>
                <w:b/>
                <w:sz w:val="20"/>
              </w:rPr>
              <w:t>58,5</w:t>
            </w:r>
          </w:p>
        </w:tc>
      </w:tr>
      <w:tr w:rsidR="00925910" w:rsidRPr="00546BC9" w:rsidTr="00925910">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0" w:type="auto"/>
            <w:vMerge/>
            <w:hideMark/>
          </w:tcPr>
          <w:p w:rsidR="00925910" w:rsidRPr="00546BC9" w:rsidRDefault="00925910" w:rsidP="00FD7676">
            <w:pPr>
              <w:rPr>
                <w:rFonts w:asciiTheme="minorHAnsi" w:hAnsiTheme="minorHAnsi"/>
                <w:sz w:val="20"/>
              </w:rPr>
            </w:pPr>
          </w:p>
        </w:tc>
        <w:tc>
          <w:tcPr>
            <w:tcW w:w="1799"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bCs/>
                <w:sz w:val="20"/>
              </w:rPr>
              <w:t>matematyka</w:t>
            </w:r>
          </w:p>
        </w:tc>
        <w:tc>
          <w:tcPr>
            <w:tcW w:w="1461" w:type="dxa"/>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48</w:t>
            </w:r>
          </w:p>
        </w:tc>
        <w:tc>
          <w:tcPr>
            <w:tcW w:w="1461"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sz w:val="20"/>
              </w:rPr>
              <w:t>46,3</w:t>
            </w:r>
          </w:p>
        </w:tc>
        <w:tc>
          <w:tcPr>
            <w:tcW w:w="1462" w:type="dxa"/>
            <w:shd w:val="clear" w:color="auto" w:fill="FBE4D5" w:themeFill="accent2" w:themeFillTint="33"/>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546BC9">
              <w:rPr>
                <w:rFonts w:asciiTheme="minorHAnsi" w:hAnsiTheme="minorHAnsi"/>
                <w:b/>
                <w:sz w:val="20"/>
              </w:rPr>
              <w:t>45,8</w:t>
            </w:r>
          </w:p>
        </w:tc>
      </w:tr>
      <w:tr w:rsidR="00925910" w:rsidRPr="00546BC9" w:rsidTr="009259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rsidR="00925910" w:rsidRPr="00546BC9" w:rsidRDefault="00925910" w:rsidP="00FD7676">
            <w:pPr>
              <w:rPr>
                <w:rFonts w:asciiTheme="minorHAnsi" w:hAnsiTheme="minorHAnsi"/>
                <w:sz w:val="20"/>
              </w:rPr>
            </w:pPr>
          </w:p>
        </w:tc>
        <w:tc>
          <w:tcPr>
            <w:tcW w:w="1799" w:type="dxa"/>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546BC9">
              <w:rPr>
                <w:rFonts w:asciiTheme="minorHAnsi" w:hAnsiTheme="minorHAnsi"/>
                <w:bCs/>
                <w:sz w:val="20"/>
              </w:rPr>
              <w:t>j. angielski - podst.</w:t>
            </w:r>
          </w:p>
        </w:tc>
        <w:tc>
          <w:tcPr>
            <w:tcW w:w="1461" w:type="dxa"/>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63</w:t>
            </w:r>
          </w:p>
        </w:tc>
        <w:tc>
          <w:tcPr>
            <w:tcW w:w="1461" w:type="dxa"/>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546BC9">
              <w:rPr>
                <w:rFonts w:asciiTheme="minorHAnsi" w:hAnsiTheme="minorHAnsi"/>
                <w:sz w:val="20"/>
              </w:rPr>
              <w:t>62,6</w:t>
            </w:r>
          </w:p>
        </w:tc>
        <w:tc>
          <w:tcPr>
            <w:tcW w:w="1462" w:type="dxa"/>
            <w:shd w:val="clear" w:color="auto" w:fill="FBE4D5" w:themeFill="accent2" w:themeFillTint="33"/>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b/>
                <w:sz w:val="20"/>
              </w:rPr>
            </w:pPr>
            <w:r w:rsidRPr="00546BC9">
              <w:rPr>
                <w:rFonts w:asciiTheme="minorHAnsi" w:hAnsiTheme="minorHAnsi"/>
                <w:b/>
                <w:sz w:val="20"/>
              </w:rPr>
              <w:t>65</w:t>
            </w:r>
          </w:p>
        </w:tc>
      </w:tr>
      <w:tr w:rsidR="00925910" w:rsidRPr="00546BC9" w:rsidTr="0092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rsidR="00925910" w:rsidRPr="00546BC9" w:rsidRDefault="00925910" w:rsidP="00FD7676">
            <w:pPr>
              <w:rPr>
                <w:rFonts w:asciiTheme="minorHAnsi" w:hAnsiTheme="minorHAnsi"/>
                <w:sz w:val="20"/>
              </w:rPr>
            </w:pPr>
          </w:p>
        </w:tc>
        <w:tc>
          <w:tcPr>
            <w:tcW w:w="1799"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bCs/>
                <w:sz w:val="20"/>
              </w:rPr>
              <w:t>j. niemiecki - podst.</w:t>
            </w:r>
          </w:p>
        </w:tc>
        <w:tc>
          <w:tcPr>
            <w:tcW w:w="1461" w:type="dxa"/>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58</w:t>
            </w:r>
          </w:p>
        </w:tc>
        <w:tc>
          <w:tcPr>
            <w:tcW w:w="1461" w:type="dxa"/>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46BC9">
              <w:rPr>
                <w:rFonts w:asciiTheme="minorHAnsi" w:hAnsiTheme="minorHAnsi"/>
                <w:sz w:val="20"/>
              </w:rPr>
              <w:t>57,5</w:t>
            </w:r>
          </w:p>
        </w:tc>
        <w:tc>
          <w:tcPr>
            <w:tcW w:w="1462" w:type="dxa"/>
            <w:shd w:val="clear" w:color="auto" w:fill="FBE4D5" w:themeFill="accent2" w:themeFillTint="33"/>
            <w:hideMark/>
          </w:tcPr>
          <w:p w:rsidR="00925910" w:rsidRPr="00546BC9" w:rsidRDefault="0092591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546BC9">
              <w:rPr>
                <w:rFonts w:asciiTheme="minorHAnsi" w:hAnsiTheme="minorHAnsi"/>
                <w:b/>
                <w:sz w:val="20"/>
              </w:rPr>
              <w:t>59,1</w:t>
            </w:r>
          </w:p>
        </w:tc>
      </w:tr>
      <w:tr w:rsidR="00925910" w:rsidRPr="00546BC9" w:rsidTr="009259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8" w:type="dxa"/>
            <w:gridSpan w:val="2"/>
            <w:hideMark/>
          </w:tcPr>
          <w:p w:rsidR="00925910" w:rsidRPr="00546BC9" w:rsidRDefault="00925910" w:rsidP="00FD7676">
            <w:pPr>
              <w:rPr>
                <w:rFonts w:asciiTheme="minorHAnsi" w:hAnsiTheme="minorHAnsi"/>
                <w:sz w:val="20"/>
              </w:rPr>
            </w:pPr>
            <w:r w:rsidRPr="00546BC9">
              <w:rPr>
                <w:rFonts w:asciiTheme="minorHAnsi" w:hAnsiTheme="minorHAnsi"/>
                <w:bCs w:val="0"/>
                <w:sz w:val="20"/>
              </w:rPr>
              <w:t xml:space="preserve">Matura </w:t>
            </w:r>
            <w:r w:rsidR="00AE03A4">
              <w:rPr>
                <w:rFonts w:asciiTheme="minorHAnsi" w:hAnsiTheme="minorHAnsi"/>
                <w:bCs w:val="0"/>
                <w:sz w:val="20"/>
              </w:rPr>
              <w:t>–</w:t>
            </w:r>
            <w:r w:rsidRPr="00546BC9">
              <w:rPr>
                <w:rFonts w:asciiTheme="minorHAnsi" w:hAnsiTheme="minorHAnsi"/>
                <w:bCs w:val="0"/>
                <w:sz w:val="20"/>
              </w:rPr>
              <w:t xml:space="preserve"> zdawalność</w:t>
            </w:r>
            <w:r w:rsidR="00AE03A4">
              <w:rPr>
                <w:rFonts w:asciiTheme="minorHAnsi" w:hAnsiTheme="minorHAnsi"/>
                <w:bCs w:val="0"/>
                <w:sz w:val="20"/>
              </w:rPr>
              <w:t xml:space="preserve"> (stan po sierpniowej sesji poprawkowej)</w:t>
            </w:r>
          </w:p>
        </w:tc>
        <w:tc>
          <w:tcPr>
            <w:tcW w:w="1461" w:type="dxa"/>
          </w:tcPr>
          <w:p w:rsidR="00925910"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88%</w:t>
            </w:r>
          </w:p>
        </w:tc>
        <w:tc>
          <w:tcPr>
            <w:tcW w:w="1461" w:type="dxa"/>
            <w:hideMark/>
          </w:tcPr>
          <w:p w:rsidR="00925910" w:rsidRPr="00546BC9" w:rsidRDefault="00925910" w:rsidP="00AE03A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86,5</w:t>
            </w:r>
            <w:r w:rsidRPr="00546BC9">
              <w:rPr>
                <w:rFonts w:asciiTheme="minorHAnsi" w:hAnsiTheme="minorHAnsi"/>
                <w:sz w:val="20"/>
              </w:rPr>
              <w:t>%</w:t>
            </w:r>
          </w:p>
        </w:tc>
        <w:tc>
          <w:tcPr>
            <w:tcW w:w="1462" w:type="dxa"/>
            <w:shd w:val="clear" w:color="auto" w:fill="FBE4D5" w:themeFill="accent2" w:themeFillTint="33"/>
            <w:hideMark/>
          </w:tcPr>
          <w:p w:rsidR="00925910" w:rsidRPr="00546BC9" w:rsidRDefault="0092591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b/>
                <w:sz w:val="20"/>
              </w:rPr>
            </w:pPr>
            <w:r>
              <w:rPr>
                <w:rFonts w:asciiTheme="minorHAnsi" w:hAnsiTheme="minorHAnsi"/>
                <w:b/>
                <w:sz w:val="20"/>
              </w:rPr>
              <w:t>84,4</w:t>
            </w:r>
            <w:r w:rsidRPr="00546BC9">
              <w:rPr>
                <w:rFonts w:asciiTheme="minorHAnsi" w:hAnsiTheme="minorHAnsi"/>
                <w:b/>
                <w:sz w:val="20"/>
              </w:rPr>
              <w:t>%</w:t>
            </w:r>
          </w:p>
        </w:tc>
      </w:tr>
    </w:tbl>
    <w:p w:rsidR="009E4B50" w:rsidRPr="002E2D3F" w:rsidRDefault="00770950" w:rsidP="00FD7676">
      <w:pPr>
        <w:rPr>
          <w:rFonts w:asciiTheme="minorHAnsi" w:hAnsiTheme="minorHAnsi"/>
          <w:sz w:val="20"/>
        </w:rPr>
      </w:pPr>
      <w:r w:rsidRPr="002E2D3F">
        <w:rPr>
          <w:rFonts w:asciiTheme="minorHAnsi" w:hAnsiTheme="minorHAnsi"/>
          <w:sz w:val="20"/>
        </w:rPr>
        <w:t>Źródło: Okręgowa Komisja Egzaminacyjna we Wrocławiu</w:t>
      </w:r>
      <w:r w:rsidR="00AE03A4" w:rsidRPr="002E2D3F">
        <w:rPr>
          <w:rFonts w:asciiTheme="minorHAnsi" w:hAnsiTheme="minorHAnsi"/>
          <w:sz w:val="20"/>
        </w:rPr>
        <w:t>, Centralna Komisja Egzaminacyjna.</w:t>
      </w:r>
    </w:p>
    <w:p w:rsidR="003948A4" w:rsidRPr="00563EF2" w:rsidRDefault="003948A4" w:rsidP="00FD7676">
      <w:pPr>
        <w:rPr>
          <w:rFonts w:asciiTheme="minorHAnsi" w:hAnsiTheme="minorHAnsi"/>
          <w:sz w:val="22"/>
        </w:rPr>
      </w:pPr>
    </w:p>
    <w:p w:rsidR="005B0B14" w:rsidRDefault="005B0B14" w:rsidP="005B0B14">
      <w:pPr>
        <w:pStyle w:val="Default"/>
        <w:spacing w:line="276" w:lineRule="auto"/>
        <w:jc w:val="both"/>
        <w:rPr>
          <w:rFonts w:asciiTheme="minorHAnsi" w:hAnsiTheme="minorHAnsi" w:cstheme="minorBidi"/>
          <w:color w:val="auto"/>
          <w:sz w:val="22"/>
          <w:szCs w:val="22"/>
        </w:rPr>
      </w:pPr>
      <w:r w:rsidRPr="005B0B14">
        <w:rPr>
          <w:rFonts w:asciiTheme="minorHAnsi" w:hAnsiTheme="minorHAnsi" w:cstheme="minorBidi"/>
          <w:color w:val="auto"/>
          <w:sz w:val="22"/>
          <w:szCs w:val="22"/>
        </w:rPr>
        <w:t xml:space="preserve">W Legnicy funkcjonuje </w:t>
      </w:r>
      <w:r w:rsidR="00546BC9">
        <w:rPr>
          <w:rFonts w:asciiTheme="minorHAnsi" w:hAnsiTheme="minorHAnsi" w:cstheme="minorBidi"/>
          <w:color w:val="auto"/>
          <w:sz w:val="22"/>
          <w:szCs w:val="22"/>
        </w:rPr>
        <w:t>Zespół Placówek Specjalnych</w:t>
      </w:r>
      <w:r w:rsidR="00DC2D17">
        <w:rPr>
          <w:rFonts w:asciiTheme="minorHAnsi" w:hAnsiTheme="minorHAnsi" w:cstheme="minorBidi"/>
          <w:color w:val="auto"/>
          <w:sz w:val="22"/>
          <w:szCs w:val="22"/>
        </w:rPr>
        <w:t>,</w:t>
      </w:r>
      <w:r w:rsidR="00546BC9">
        <w:rPr>
          <w:rFonts w:asciiTheme="minorHAnsi" w:hAnsiTheme="minorHAnsi" w:cstheme="minorBidi"/>
          <w:color w:val="auto"/>
          <w:sz w:val="22"/>
          <w:szCs w:val="22"/>
        </w:rPr>
        <w:t xml:space="preserve"> do </w:t>
      </w:r>
      <w:r w:rsidRPr="005B0B14">
        <w:rPr>
          <w:rFonts w:asciiTheme="minorHAnsi" w:hAnsiTheme="minorHAnsi" w:cstheme="minorBidi"/>
          <w:color w:val="auto"/>
          <w:sz w:val="22"/>
          <w:szCs w:val="22"/>
        </w:rPr>
        <w:t xml:space="preserve">którego </w:t>
      </w:r>
      <w:r w:rsidR="0033475A">
        <w:rPr>
          <w:rFonts w:asciiTheme="minorHAnsi" w:hAnsiTheme="minorHAnsi" w:cstheme="minorBidi"/>
          <w:color w:val="auto"/>
          <w:sz w:val="22"/>
          <w:szCs w:val="22"/>
        </w:rPr>
        <w:t>uczęszczają dzieci z </w:t>
      </w:r>
      <w:r w:rsidRPr="005B0B14">
        <w:rPr>
          <w:rFonts w:asciiTheme="minorHAnsi" w:hAnsiTheme="minorHAnsi" w:cstheme="minorBidi"/>
          <w:color w:val="auto"/>
          <w:sz w:val="22"/>
          <w:szCs w:val="22"/>
        </w:rPr>
        <w:t>niepełnosprawnością intelektualną w stopniu lekkim, umiarkowanym, znacznym, głębokim oraz dzieci ze sprzężoną niepełnosprawnością, autyzmem i Zespołem  Aspergera. Nauczaniem objęte są dzieci od 3 do 25 roku życia.  W roku szkolnym 2012/13 we wszystki</w:t>
      </w:r>
      <w:r w:rsidR="0033475A">
        <w:rPr>
          <w:rFonts w:asciiTheme="minorHAnsi" w:hAnsiTheme="minorHAnsi" w:cstheme="minorBidi"/>
          <w:color w:val="auto"/>
          <w:sz w:val="22"/>
          <w:szCs w:val="22"/>
        </w:rPr>
        <w:t>ch typach szkół działających  w </w:t>
      </w:r>
      <w:r w:rsidRPr="005B0B14">
        <w:rPr>
          <w:rFonts w:asciiTheme="minorHAnsi" w:hAnsiTheme="minorHAnsi" w:cstheme="minorBidi"/>
          <w:color w:val="auto"/>
          <w:sz w:val="22"/>
          <w:szCs w:val="22"/>
        </w:rPr>
        <w:t>Zespole utworzono 29 oddziałów dla 245 uczniów. W ZPS działają dwie szkoły ponadgimnazjalne. Szkoła Przysposabiająca do Pracy przygotowuje uczniów upośledzonych w stopniu umiarkowany</w:t>
      </w:r>
      <w:r w:rsidR="00DE70A0">
        <w:rPr>
          <w:rFonts w:asciiTheme="minorHAnsi" w:hAnsiTheme="minorHAnsi" w:cstheme="minorBidi"/>
          <w:color w:val="auto"/>
          <w:sz w:val="22"/>
          <w:szCs w:val="22"/>
        </w:rPr>
        <w:t>m</w:t>
      </w:r>
      <w:r w:rsidRPr="005B0B14">
        <w:rPr>
          <w:rFonts w:asciiTheme="minorHAnsi" w:hAnsiTheme="minorHAnsi" w:cstheme="minorBidi"/>
          <w:color w:val="auto"/>
          <w:sz w:val="22"/>
          <w:szCs w:val="22"/>
        </w:rPr>
        <w:t xml:space="preserve"> lub znacznym do życia w społeczeństwie. Uczniowie uczą się dbania o zdrowie i pielęgnowania chorych, obsługi urządzeń technicznych, szycia, dziewiarstwa. Wykonują prace użyteczno - porządkowe, ceramiczne, ogrodnicze, stolarskie. W Specjalnej Zasadniczej Szkole Zawodowej Nr 7 uczni</w:t>
      </w:r>
      <w:r w:rsidR="0033475A">
        <w:rPr>
          <w:rFonts w:asciiTheme="minorHAnsi" w:hAnsiTheme="minorHAnsi" w:cstheme="minorBidi"/>
          <w:color w:val="auto"/>
          <w:sz w:val="22"/>
          <w:szCs w:val="22"/>
        </w:rPr>
        <w:t>owie z </w:t>
      </w:r>
      <w:r w:rsidRPr="005B0B14">
        <w:rPr>
          <w:rFonts w:asciiTheme="minorHAnsi" w:hAnsiTheme="minorHAnsi" w:cstheme="minorBidi"/>
          <w:color w:val="auto"/>
          <w:sz w:val="22"/>
          <w:szCs w:val="22"/>
        </w:rPr>
        <w:t>upośledzeniem umysłowym w stopniu l</w:t>
      </w:r>
      <w:r>
        <w:rPr>
          <w:rFonts w:asciiTheme="minorHAnsi" w:hAnsiTheme="minorHAnsi" w:cstheme="minorBidi"/>
          <w:color w:val="auto"/>
          <w:sz w:val="22"/>
          <w:szCs w:val="22"/>
        </w:rPr>
        <w:t>ekkim  w minionym roku zdobywają</w:t>
      </w:r>
      <w:r w:rsidRPr="005B0B14">
        <w:rPr>
          <w:rFonts w:asciiTheme="minorHAnsi" w:hAnsiTheme="minorHAnsi" w:cstheme="minorBidi"/>
          <w:color w:val="auto"/>
          <w:sz w:val="22"/>
          <w:szCs w:val="22"/>
        </w:rPr>
        <w:t xml:space="preserve"> zawód w następujących kierunkach: krawiec, kucharz, betoniarz- zbrojarz  i ślusarz</w:t>
      </w:r>
      <w:r w:rsidR="000712DD">
        <w:rPr>
          <w:rFonts w:asciiTheme="minorHAnsi" w:hAnsiTheme="minorHAnsi" w:cstheme="minorBidi"/>
          <w:color w:val="auto"/>
          <w:sz w:val="22"/>
          <w:szCs w:val="22"/>
        </w:rPr>
        <w:t xml:space="preserve">. </w:t>
      </w:r>
    </w:p>
    <w:p w:rsidR="000712DD" w:rsidRDefault="000712DD" w:rsidP="005B0B14">
      <w:pPr>
        <w:pStyle w:val="Default"/>
        <w:spacing w:line="276" w:lineRule="auto"/>
        <w:jc w:val="both"/>
        <w:rPr>
          <w:rFonts w:asciiTheme="minorHAnsi" w:hAnsiTheme="minorHAnsi" w:cstheme="minorBidi"/>
          <w:color w:val="auto"/>
          <w:sz w:val="22"/>
          <w:szCs w:val="22"/>
        </w:rPr>
      </w:pPr>
    </w:p>
    <w:p w:rsidR="000712DD" w:rsidRPr="005B0B14" w:rsidRDefault="000712DD" w:rsidP="000712DD">
      <w:pPr>
        <w:tabs>
          <w:tab w:val="left" w:pos="851"/>
        </w:tabs>
        <w:rPr>
          <w:rFonts w:asciiTheme="minorHAnsi" w:hAnsiTheme="minorHAnsi"/>
          <w:sz w:val="22"/>
        </w:rPr>
      </w:pPr>
      <w:r>
        <w:rPr>
          <w:rFonts w:asciiTheme="minorHAnsi" w:hAnsiTheme="minorHAnsi"/>
          <w:sz w:val="22"/>
        </w:rPr>
        <w:t>Ponadto w</w:t>
      </w:r>
      <w:r w:rsidRPr="005B0B14">
        <w:rPr>
          <w:rFonts w:asciiTheme="minorHAnsi" w:hAnsiTheme="minorHAnsi"/>
          <w:sz w:val="22"/>
        </w:rPr>
        <w:t xml:space="preserve"> roku 2012/13 w mieście funkcjonowało 36 grup przedszkolnych specjalnych i oddziałów specjalnych,</w:t>
      </w:r>
      <w:r>
        <w:rPr>
          <w:rFonts w:asciiTheme="minorHAnsi" w:hAnsiTheme="minorHAnsi"/>
          <w:sz w:val="22"/>
        </w:rPr>
        <w:t xml:space="preserve"> gdzie</w:t>
      </w:r>
      <w:r w:rsidRPr="005B0B14">
        <w:rPr>
          <w:rFonts w:asciiTheme="minorHAnsi" w:hAnsiTheme="minorHAnsi"/>
          <w:sz w:val="22"/>
        </w:rPr>
        <w:t xml:space="preserve"> kształceniem objęto łącznie 328 przedszkolaków i uczniów. </w:t>
      </w:r>
    </w:p>
    <w:p w:rsidR="005B0B14" w:rsidRDefault="005B0B14" w:rsidP="005B0B14">
      <w:pPr>
        <w:rPr>
          <w:sz w:val="26"/>
        </w:rPr>
      </w:pPr>
    </w:p>
    <w:p w:rsidR="006228B6" w:rsidRPr="005B0B14" w:rsidRDefault="006228B6" w:rsidP="005B0B14">
      <w:pPr>
        <w:rPr>
          <w:rFonts w:asciiTheme="minorHAnsi" w:hAnsiTheme="minorHAnsi"/>
          <w:sz w:val="22"/>
        </w:rPr>
      </w:pPr>
      <w:r w:rsidRPr="005B0B14">
        <w:rPr>
          <w:rFonts w:asciiTheme="minorHAnsi" w:hAnsiTheme="minorHAnsi"/>
          <w:sz w:val="22"/>
        </w:rPr>
        <w:t>Baza oświatowa</w:t>
      </w:r>
      <w:r w:rsidR="005B0B14">
        <w:rPr>
          <w:rFonts w:asciiTheme="minorHAnsi" w:hAnsiTheme="minorHAnsi"/>
          <w:sz w:val="22"/>
        </w:rPr>
        <w:t xml:space="preserve"> w Legnicy</w:t>
      </w:r>
      <w:r w:rsidRPr="005B0B14">
        <w:rPr>
          <w:rFonts w:asciiTheme="minorHAnsi" w:hAnsiTheme="minorHAnsi"/>
          <w:sz w:val="22"/>
        </w:rPr>
        <w:t xml:space="preserve"> jest stale modernizowana i doposażana. Na po</w:t>
      </w:r>
      <w:r w:rsidR="00546BC9">
        <w:rPr>
          <w:rFonts w:asciiTheme="minorHAnsi" w:hAnsiTheme="minorHAnsi"/>
          <w:sz w:val="22"/>
        </w:rPr>
        <w:t>dkreślenie zasługuje zwłaszcza:</w:t>
      </w:r>
    </w:p>
    <w:p w:rsidR="006228B6" w:rsidRPr="005B0B14" w:rsidRDefault="006228B6" w:rsidP="005B0B14">
      <w:pPr>
        <w:pStyle w:val="Akapitzlist"/>
        <w:numPr>
          <w:ilvl w:val="0"/>
          <w:numId w:val="8"/>
        </w:numPr>
        <w:rPr>
          <w:rFonts w:asciiTheme="minorHAnsi" w:hAnsiTheme="minorHAnsi"/>
          <w:sz w:val="22"/>
        </w:rPr>
      </w:pPr>
      <w:r w:rsidRPr="00CB3607">
        <w:rPr>
          <w:rFonts w:asciiTheme="minorHAnsi" w:hAnsiTheme="minorHAnsi"/>
          <w:sz w:val="22"/>
        </w:rPr>
        <w:t xml:space="preserve">powstanie nowoczesnej pracowni przyrodniczej w SP Nr 9 w ramach realizacji projektu systemowego „Pracownia przyrodnicza w każdej gminie” Działanie 7.2 RPO WD. Wyposażenie pracowni stanowią multimedia, które pozwalają na wizualizację przebiegu i wyników prowadzonych eksperymentów, a także interaktywne systemy informatyczne umożliwiające bieżące i efektywne sprawdzanie wiedzy i umiejętności uczniów. </w:t>
      </w:r>
    </w:p>
    <w:p w:rsidR="006228B6" w:rsidRPr="005B0B14" w:rsidRDefault="006228B6" w:rsidP="00950AA7">
      <w:pPr>
        <w:pStyle w:val="Akapitzlist"/>
        <w:numPr>
          <w:ilvl w:val="0"/>
          <w:numId w:val="8"/>
        </w:numPr>
        <w:rPr>
          <w:rFonts w:asciiTheme="minorHAnsi" w:hAnsiTheme="minorHAnsi"/>
          <w:sz w:val="22"/>
        </w:rPr>
      </w:pPr>
      <w:r w:rsidRPr="005B0B14">
        <w:rPr>
          <w:rFonts w:asciiTheme="minorHAnsi" w:hAnsiTheme="minorHAnsi"/>
          <w:sz w:val="22"/>
        </w:rPr>
        <w:t>przygotowanie sal i innych pomieszczeń szkolnych we wszy</w:t>
      </w:r>
      <w:r w:rsidR="0033475A">
        <w:rPr>
          <w:rFonts w:asciiTheme="minorHAnsi" w:hAnsiTheme="minorHAnsi"/>
          <w:sz w:val="22"/>
        </w:rPr>
        <w:t>stkich szkołach podstawowych, w </w:t>
      </w:r>
      <w:r w:rsidRPr="005B0B14">
        <w:rPr>
          <w:rFonts w:asciiTheme="minorHAnsi" w:hAnsiTheme="minorHAnsi"/>
          <w:sz w:val="22"/>
        </w:rPr>
        <w:t xml:space="preserve">tym specjalnej i artystycznej, w związku z obniżeniem wieku szkolnego. </w:t>
      </w:r>
    </w:p>
    <w:p w:rsidR="005B0B14" w:rsidRDefault="006228B6" w:rsidP="006228B6">
      <w:pPr>
        <w:pStyle w:val="Akapitzlist"/>
        <w:numPr>
          <w:ilvl w:val="0"/>
          <w:numId w:val="8"/>
        </w:numPr>
        <w:rPr>
          <w:rFonts w:asciiTheme="minorHAnsi" w:hAnsiTheme="minorHAnsi"/>
          <w:sz w:val="22"/>
        </w:rPr>
      </w:pPr>
      <w:r w:rsidRPr="00CB3607">
        <w:rPr>
          <w:rFonts w:asciiTheme="minorHAnsi" w:hAnsiTheme="minorHAnsi"/>
          <w:sz w:val="22"/>
        </w:rPr>
        <w:t xml:space="preserve">udział w realizacji projektu </w:t>
      </w:r>
      <w:r w:rsidR="00DC2D17">
        <w:rPr>
          <w:rFonts w:asciiTheme="minorHAnsi" w:hAnsiTheme="minorHAnsi"/>
          <w:sz w:val="22"/>
        </w:rPr>
        <w:t>„</w:t>
      </w:r>
      <w:r w:rsidRPr="00CB3607">
        <w:rPr>
          <w:rFonts w:asciiTheme="minorHAnsi" w:hAnsiTheme="minorHAnsi"/>
          <w:sz w:val="22"/>
        </w:rPr>
        <w:t>Modernizacja centrów kształcenia zawodowego na Dolnym Śląsku</w:t>
      </w:r>
      <w:r w:rsidR="00DC2D17">
        <w:rPr>
          <w:rFonts w:asciiTheme="minorHAnsi" w:hAnsiTheme="minorHAnsi"/>
          <w:sz w:val="22"/>
        </w:rPr>
        <w:t>”</w:t>
      </w:r>
      <w:r w:rsidRPr="00CB3607">
        <w:rPr>
          <w:rFonts w:asciiTheme="minorHAnsi" w:hAnsiTheme="minorHAnsi"/>
          <w:sz w:val="22"/>
        </w:rPr>
        <w:t xml:space="preserve">  Działanie 7.2 - Rozwój infrastruktury placówek edukacyjnych</w:t>
      </w:r>
      <w:r w:rsidR="0033475A">
        <w:rPr>
          <w:rFonts w:asciiTheme="minorHAnsi" w:hAnsiTheme="minorHAnsi"/>
          <w:sz w:val="22"/>
        </w:rPr>
        <w:t xml:space="preserve"> Priorytet nr VII – </w:t>
      </w:r>
      <w:r w:rsidR="00DC2D17">
        <w:rPr>
          <w:rFonts w:asciiTheme="minorHAnsi" w:hAnsiTheme="minorHAnsi"/>
          <w:sz w:val="22"/>
        </w:rPr>
        <w:t>„</w:t>
      </w:r>
      <w:r w:rsidR="0033475A">
        <w:rPr>
          <w:rFonts w:asciiTheme="minorHAnsi" w:hAnsiTheme="minorHAnsi"/>
          <w:sz w:val="22"/>
        </w:rPr>
        <w:t>Rozbudowa i </w:t>
      </w:r>
      <w:r w:rsidRPr="00CB3607">
        <w:rPr>
          <w:rFonts w:asciiTheme="minorHAnsi" w:hAnsiTheme="minorHAnsi"/>
          <w:sz w:val="22"/>
        </w:rPr>
        <w:t xml:space="preserve">modernizacja infrastruktury edukacyjnej na Dolnym Śląsku </w:t>
      </w:r>
      <w:r w:rsidR="00DC2D17">
        <w:rPr>
          <w:rFonts w:asciiTheme="minorHAnsi" w:hAnsiTheme="minorHAnsi"/>
          <w:sz w:val="22"/>
        </w:rPr>
        <w:t>„</w:t>
      </w:r>
      <w:r w:rsidRPr="00CB3607">
        <w:rPr>
          <w:rFonts w:asciiTheme="minorHAnsi" w:hAnsiTheme="minorHAnsi"/>
          <w:sz w:val="22"/>
        </w:rPr>
        <w:t xml:space="preserve">Regionalny Program Operacyjny dla Województwa Dolnośląskiego na lata 2007 -13. W Legnicy </w:t>
      </w:r>
      <w:r w:rsidR="00192EC9">
        <w:rPr>
          <w:rFonts w:asciiTheme="minorHAnsi" w:hAnsiTheme="minorHAnsi"/>
          <w:sz w:val="22"/>
        </w:rPr>
        <w:t>utworzono 43 </w:t>
      </w:r>
      <w:r w:rsidRPr="00CB3607">
        <w:rPr>
          <w:rFonts w:asciiTheme="minorHAnsi" w:hAnsiTheme="minorHAnsi"/>
          <w:sz w:val="22"/>
        </w:rPr>
        <w:t>pracownie, których łączny koszt wyniós</w:t>
      </w:r>
      <w:r w:rsidR="0033475A">
        <w:rPr>
          <w:rFonts w:asciiTheme="minorHAnsi" w:hAnsiTheme="minorHAnsi"/>
          <w:sz w:val="22"/>
        </w:rPr>
        <w:t>ł 7.885.226,58 zł. Doposażono 7 </w:t>
      </w:r>
      <w:r w:rsidRPr="00CB3607">
        <w:rPr>
          <w:rFonts w:asciiTheme="minorHAnsi" w:hAnsiTheme="minorHAnsi"/>
          <w:sz w:val="22"/>
        </w:rPr>
        <w:t>legnickich szkół zawodowych: CKP, Zespół Szkół Budowlanych, Zespół Szkół Ekonomicznych, Zespół Szkół Elektryczno-Mechanicznych, Zespół Szkół Przemysłu Spożywc</w:t>
      </w:r>
      <w:r w:rsidR="00192EC9">
        <w:rPr>
          <w:rFonts w:asciiTheme="minorHAnsi" w:hAnsiTheme="minorHAnsi"/>
          <w:sz w:val="22"/>
        </w:rPr>
        <w:t>zego, Zespół Szkół Rolniczych i </w:t>
      </w:r>
      <w:r w:rsidRPr="00CB3607">
        <w:rPr>
          <w:rFonts w:asciiTheme="minorHAnsi" w:hAnsiTheme="minorHAnsi"/>
          <w:sz w:val="22"/>
        </w:rPr>
        <w:t>Zespół Szkół Samochodowych.</w:t>
      </w:r>
    </w:p>
    <w:p w:rsidR="006228B6" w:rsidRPr="005B0B14" w:rsidRDefault="006228B6" w:rsidP="005B0B14">
      <w:pPr>
        <w:pStyle w:val="Akapitzlist"/>
        <w:numPr>
          <w:ilvl w:val="0"/>
          <w:numId w:val="8"/>
        </w:numPr>
        <w:rPr>
          <w:rFonts w:asciiTheme="minorHAnsi" w:hAnsiTheme="minorHAnsi"/>
          <w:sz w:val="22"/>
        </w:rPr>
      </w:pPr>
      <w:r w:rsidRPr="00CB3607">
        <w:rPr>
          <w:rFonts w:asciiTheme="minorHAnsi" w:hAnsiTheme="minorHAnsi"/>
          <w:sz w:val="22"/>
        </w:rPr>
        <w:t>W Mieście powstało  5 cen</w:t>
      </w:r>
      <w:r w:rsidR="00546BC9">
        <w:rPr>
          <w:rFonts w:asciiTheme="minorHAnsi" w:hAnsiTheme="minorHAnsi"/>
          <w:sz w:val="22"/>
        </w:rPr>
        <w:t xml:space="preserve">trów o zasięgu subregionalnym, </w:t>
      </w:r>
      <w:r w:rsidR="0033475A">
        <w:rPr>
          <w:rFonts w:asciiTheme="minorHAnsi" w:hAnsiTheme="minorHAnsi"/>
          <w:sz w:val="22"/>
        </w:rPr>
        <w:t>w których zorganizowano 28 </w:t>
      </w:r>
      <w:r w:rsidRPr="00CB3607">
        <w:rPr>
          <w:rFonts w:asciiTheme="minorHAnsi" w:hAnsiTheme="minorHAnsi"/>
          <w:sz w:val="22"/>
        </w:rPr>
        <w:t>nowych pracowni kształcenia zawodowego:</w:t>
      </w:r>
    </w:p>
    <w:p w:rsidR="006228B6" w:rsidRPr="00CB3607" w:rsidRDefault="006228B6" w:rsidP="005B0B14">
      <w:pPr>
        <w:pStyle w:val="Akapitzlist"/>
        <w:numPr>
          <w:ilvl w:val="1"/>
          <w:numId w:val="8"/>
        </w:numPr>
        <w:rPr>
          <w:rFonts w:asciiTheme="minorHAnsi" w:hAnsiTheme="minorHAnsi"/>
          <w:sz w:val="22"/>
        </w:rPr>
      </w:pPr>
      <w:r w:rsidRPr="00CB3607">
        <w:rPr>
          <w:rFonts w:asciiTheme="minorHAnsi" w:hAnsiTheme="minorHAnsi"/>
          <w:sz w:val="22"/>
        </w:rPr>
        <w:t>centrum w branży budowlanej (11 pracowni) w Zespole Szkół Budowlanych,</w:t>
      </w:r>
    </w:p>
    <w:p w:rsidR="006228B6" w:rsidRPr="005B0B14" w:rsidRDefault="006228B6" w:rsidP="005B0B14">
      <w:pPr>
        <w:pStyle w:val="Akapitzlist"/>
        <w:numPr>
          <w:ilvl w:val="1"/>
          <w:numId w:val="8"/>
        </w:numPr>
        <w:rPr>
          <w:rFonts w:asciiTheme="minorHAnsi" w:hAnsiTheme="minorHAnsi"/>
          <w:sz w:val="22"/>
        </w:rPr>
      </w:pPr>
      <w:r w:rsidRPr="00CB3607">
        <w:rPr>
          <w:rFonts w:asciiTheme="minorHAnsi" w:hAnsiTheme="minorHAnsi"/>
          <w:sz w:val="22"/>
        </w:rPr>
        <w:t xml:space="preserve">centrum w branży elektryczno - energetycznej (3 pracownie) i centrum </w:t>
      </w:r>
      <w:r w:rsidRPr="00CB3607">
        <w:rPr>
          <w:rFonts w:asciiTheme="minorHAnsi" w:hAnsiTheme="minorHAnsi"/>
          <w:sz w:val="22"/>
        </w:rPr>
        <w:br/>
        <w:t>w branży informatycznej (4 pracownie) w Zespole Szkół Elektryczno-</w:t>
      </w:r>
      <w:r w:rsidR="005B0B14">
        <w:rPr>
          <w:rFonts w:asciiTheme="minorHAnsi" w:hAnsiTheme="minorHAnsi"/>
          <w:sz w:val="22"/>
        </w:rPr>
        <w:t xml:space="preserve"> </w:t>
      </w:r>
      <w:r w:rsidRPr="005B0B14">
        <w:rPr>
          <w:rFonts w:asciiTheme="minorHAnsi" w:hAnsiTheme="minorHAnsi"/>
          <w:sz w:val="22"/>
        </w:rPr>
        <w:t xml:space="preserve">Mechanicznych, </w:t>
      </w:r>
    </w:p>
    <w:p w:rsidR="006228B6" w:rsidRPr="00CB3607" w:rsidRDefault="006228B6" w:rsidP="005B0B14">
      <w:pPr>
        <w:pStyle w:val="Akapitzlist"/>
        <w:numPr>
          <w:ilvl w:val="1"/>
          <w:numId w:val="8"/>
        </w:numPr>
        <w:rPr>
          <w:rFonts w:asciiTheme="minorHAnsi" w:hAnsiTheme="minorHAnsi"/>
          <w:sz w:val="22"/>
        </w:rPr>
      </w:pPr>
      <w:r w:rsidRPr="00CB3607">
        <w:rPr>
          <w:rFonts w:asciiTheme="minorHAnsi" w:hAnsiTheme="minorHAnsi"/>
          <w:sz w:val="22"/>
        </w:rPr>
        <w:t>centrum w branży turystycznej (9 prac</w:t>
      </w:r>
      <w:r w:rsidR="005B0B14">
        <w:rPr>
          <w:rFonts w:asciiTheme="minorHAnsi" w:hAnsiTheme="minorHAnsi"/>
          <w:sz w:val="22"/>
        </w:rPr>
        <w:t xml:space="preserve">owni) w Zespole Szkół Przemysłu </w:t>
      </w:r>
      <w:r w:rsidRPr="00CB3607">
        <w:rPr>
          <w:rFonts w:asciiTheme="minorHAnsi" w:hAnsiTheme="minorHAnsi"/>
          <w:sz w:val="22"/>
        </w:rPr>
        <w:t>Spożywczego,</w:t>
      </w:r>
    </w:p>
    <w:p w:rsidR="005B0B14" w:rsidRDefault="006228B6" w:rsidP="005B0B14">
      <w:pPr>
        <w:pStyle w:val="Akapitzlist"/>
        <w:numPr>
          <w:ilvl w:val="1"/>
          <w:numId w:val="8"/>
        </w:numPr>
        <w:rPr>
          <w:rFonts w:asciiTheme="minorHAnsi" w:hAnsiTheme="minorHAnsi"/>
          <w:sz w:val="22"/>
        </w:rPr>
      </w:pPr>
      <w:r w:rsidRPr="00CB3607">
        <w:rPr>
          <w:rFonts w:asciiTheme="minorHAnsi" w:hAnsiTheme="minorHAnsi"/>
          <w:sz w:val="22"/>
        </w:rPr>
        <w:t xml:space="preserve">centrum w branży mechatroniczno - elektronicznej (1 pracownia) w CKP. </w:t>
      </w:r>
    </w:p>
    <w:p w:rsidR="0038663B" w:rsidRDefault="006228B6" w:rsidP="0038663B">
      <w:pPr>
        <w:pStyle w:val="Akapitzlist"/>
        <w:numPr>
          <w:ilvl w:val="1"/>
          <w:numId w:val="8"/>
        </w:numPr>
        <w:rPr>
          <w:rFonts w:asciiTheme="minorHAnsi" w:hAnsiTheme="minorHAnsi"/>
          <w:sz w:val="22"/>
        </w:rPr>
      </w:pPr>
      <w:r w:rsidRPr="005B0B14">
        <w:rPr>
          <w:rFonts w:asciiTheme="minorHAnsi" w:hAnsiTheme="minorHAnsi"/>
          <w:sz w:val="22"/>
        </w:rPr>
        <w:t>Dodatkowo  wyposażono 15 pracowni kształcenia z</w:t>
      </w:r>
      <w:r w:rsidR="005B0B14">
        <w:rPr>
          <w:rFonts w:asciiTheme="minorHAnsi" w:hAnsiTheme="minorHAnsi"/>
          <w:sz w:val="22"/>
        </w:rPr>
        <w:t xml:space="preserve">awodowego  o charakterze </w:t>
      </w:r>
      <w:r w:rsidRPr="005B0B14">
        <w:rPr>
          <w:rFonts w:asciiTheme="minorHAnsi" w:hAnsiTheme="minorHAnsi"/>
          <w:sz w:val="22"/>
        </w:rPr>
        <w:t>filii. Filie umiejscowiono w szkołach, w których powstały centra oraz w Zespole</w:t>
      </w:r>
      <w:r w:rsidRPr="005B0B14">
        <w:rPr>
          <w:rFonts w:asciiTheme="minorHAnsi" w:hAnsiTheme="minorHAnsi"/>
          <w:sz w:val="22"/>
        </w:rPr>
        <w:br/>
        <w:t>Szkół Samochodowych i Zespole Szkół Rolniczych</w:t>
      </w:r>
      <w:r w:rsidR="00192EC9">
        <w:rPr>
          <w:rFonts w:asciiTheme="minorHAnsi" w:hAnsiTheme="minorHAnsi"/>
          <w:sz w:val="22"/>
        </w:rPr>
        <w:t>,</w:t>
      </w:r>
      <w:r w:rsidRPr="005B0B14">
        <w:rPr>
          <w:rFonts w:asciiTheme="minorHAnsi" w:hAnsiTheme="minorHAnsi"/>
          <w:sz w:val="22"/>
        </w:rPr>
        <w:t xml:space="preserve"> wyposażając je </w:t>
      </w:r>
      <w:r w:rsidRPr="005B0B14">
        <w:rPr>
          <w:rFonts w:asciiTheme="minorHAnsi" w:hAnsiTheme="minorHAnsi"/>
          <w:sz w:val="22"/>
        </w:rPr>
        <w:br/>
        <w:t xml:space="preserve">w nowoczesny sprzęt technodydaktyczny. </w:t>
      </w:r>
    </w:p>
    <w:p w:rsidR="006228B6" w:rsidRDefault="0038663B" w:rsidP="0038663B">
      <w:pPr>
        <w:pStyle w:val="Akapitzlist"/>
        <w:numPr>
          <w:ilvl w:val="1"/>
          <w:numId w:val="8"/>
        </w:numPr>
        <w:rPr>
          <w:rFonts w:asciiTheme="minorHAnsi" w:hAnsiTheme="minorHAnsi"/>
          <w:sz w:val="22"/>
        </w:rPr>
      </w:pPr>
      <w:r>
        <w:rPr>
          <w:rFonts w:asciiTheme="minorHAnsi" w:hAnsiTheme="minorHAnsi"/>
          <w:sz w:val="22"/>
        </w:rPr>
        <w:t>D</w:t>
      </w:r>
      <w:r w:rsidR="006228B6" w:rsidRPr="0038663B">
        <w:rPr>
          <w:rFonts w:asciiTheme="minorHAnsi" w:hAnsiTheme="minorHAnsi"/>
          <w:sz w:val="22"/>
        </w:rPr>
        <w:t xml:space="preserve">oposażenie specjalistycznych stanowisk w sprzęt technodydaktyczny </w:t>
      </w:r>
      <w:r w:rsidR="006228B6" w:rsidRPr="0038663B">
        <w:rPr>
          <w:rFonts w:asciiTheme="minorHAnsi" w:hAnsiTheme="minorHAnsi"/>
          <w:sz w:val="22"/>
        </w:rPr>
        <w:br/>
        <w:t>z oprogramowaniem komputerowym ze środków EFS</w:t>
      </w:r>
      <w:r w:rsidR="00192EC9">
        <w:rPr>
          <w:rFonts w:asciiTheme="minorHAnsi" w:hAnsiTheme="minorHAnsi"/>
          <w:sz w:val="22"/>
        </w:rPr>
        <w:t>,</w:t>
      </w:r>
      <w:r w:rsidR="006228B6" w:rsidRPr="0038663B">
        <w:rPr>
          <w:rFonts w:asciiTheme="minorHAnsi" w:hAnsiTheme="minorHAnsi"/>
          <w:sz w:val="22"/>
        </w:rPr>
        <w:t xml:space="preserve"> w ramach realizacji projektu „Wyposażenie CKU, CKP i szkół zawodowych w stanowiska do egzaminów zawodowych”. Sprzęt wykorzystywany jest w ce</w:t>
      </w:r>
      <w:r w:rsidR="0033475A">
        <w:rPr>
          <w:rFonts w:asciiTheme="minorHAnsi" w:hAnsiTheme="minorHAnsi"/>
          <w:sz w:val="22"/>
        </w:rPr>
        <w:t>lu przygotowania do egzaminów w </w:t>
      </w:r>
      <w:r w:rsidR="006228B6" w:rsidRPr="0038663B">
        <w:rPr>
          <w:rFonts w:asciiTheme="minorHAnsi" w:hAnsiTheme="minorHAnsi"/>
          <w:sz w:val="22"/>
        </w:rPr>
        <w:t xml:space="preserve">trakcie kształcenia, a także do przeprowadzania zewnętrznych egzaminów zawodowych. </w:t>
      </w:r>
    </w:p>
    <w:p w:rsidR="00546BC9" w:rsidRPr="0038663B" w:rsidRDefault="00546BC9" w:rsidP="00546BC9">
      <w:pPr>
        <w:pStyle w:val="Akapitzlist"/>
        <w:ind w:left="1440"/>
        <w:rPr>
          <w:rFonts w:asciiTheme="minorHAnsi" w:hAnsiTheme="minorHAnsi"/>
          <w:sz w:val="22"/>
        </w:rPr>
      </w:pPr>
    </w:p>
    <w:p w:rsidR="006228B6" w:rsidRPr="008A396B" w:rsidRDefault="006228B6" w:rsidP="006228B6">
      <w:pPr>
        <w:rPr>
          <w:rFonts w:asciiTheme="minorHAnsi" w:hAnsiTheme="minorHAnsi"/>
          <w:sz w:val="22"/>
        </w:rPr>
      </w:pPr>
      <w:r w:rsidRPr="00CB3607">
        <w:rPr>
          <w:rFonts w:asciiTheme="minorHAnsi" w:hAnsiTheme="minorHAnsi"/>
          <w:sz w:val="22"/>
        </w:rPr>
        <w:t>Legnickie szkoły podejmują</w:t>
      </w:r>
      <w:r w:rsidR="00546BC9">
        <w:rPr>
          <w:rFonts w:asciiTheme="minorHAnsi" w:hAnsiTheme="minorHAnsi"/>
          <w:sz w:val="22"/>
        </w:rPr>
        <w:t xml:space="preserve"> również</w:t>
      </w:r>
      <w:r w:rsidRPr="00CB3607">
        <w:rPr>
          <w:rFonts w:asciiTheme="minorHAnsi" w:hAnsiTheme="minorHAnsi"/>
          <w:sz w:val="22"/>
        </w:rPr>
        <w:t xml:space="preserve"> szereg przedsię</w:t>
      </w:r>
      <w:r w:rsidR="00546BC9">
        <w:rPr>
          <w:rFonts w:asciiTheme="minorHAnsi" w:hAnsiTheme="minorHAnsi"/>
          <w:sz w:val="22"/>
        </w:rPr>
        <w:t xml:space="preserve">wzięć związanych z utrzymaniem  </w:t>
      </w:r>
      <w:r w:rsidRPr="00CB3607">
        <w:rPr>
          <w:rFonts w:asciiTheme="minorHAnsi" w:hAnsiTheme="minorHAnsi"/>
          <w:sz w:val="22"/>
        </w:rPr>
        <w:t xml:space="preserve">i poprawą stanu bezpieczeństwa osób przebywających w szkole i na jej terenie, utrzymaniem i poprawą stanu technicznego obiektów szkolnych, także udoskonaleniem systemu dozoru obiektów. Na realizację Rządowego programu wspierania w latach 2007 – 2009 organów prowadzących w zapewnieniu bezpiecznych warunków nauki, wychowania i opieki w publicznych szkołach i placówkach „Monitoring wizyjny” Miasto wydatkowało łącznie 1.084.502 zł, z tego 294.704 zł  pochodzące z dotacji.  </w:t>
      </w:r>
    </w:p>
    <w:p w:rsidR="008D2BC4" w:rsidRDefault="008D2BC4" w:rsidP="00FD7676">
      <w:pPr>
        <w:rPr>
          <w:rFonts w:asciiTheme="minorHAnsi" w:hAnsiTheme="minorHAnsi"/>
          <w:sz w:val="22"/>
        </w:rPr>
      </w:pPr>
      <w:r>
        <w:rPr>
          <w:rFonts w:asciiTheme="minorHAnsi" w:hAnsiTheme="minorHAnsi"/>
          <w:sz w:val="22"/>
        </w:rPr>
        <w:br w:type="page"/>
      </w:r>
    </w:p>
    <w:p w:rsidR="00511588" w:rsidRDefault="00511588" w:rsidP="00EC5484">
      <w:pPr>
        <w:pStyle w:val="Nagwek3"/>
        <w:rPr>
          <w:b w:val="0"/>
        </w:rPr>
      </w:pPr>
      <w:bookmarkStart w:id="24" w:name="_Toc399756311"/>
    </w:p>
    <w:p w:rsidR="009E4B50" w:rsidRDefault="009E4B50" w:rsidP="00EC5484">
      <w:pPr>
        <w:pStyle w:val="Nagwek3"/>
        <w:rPr>
          <w:b w:val="0"/>
        </w:rPr>
      </w:pPr>
      <w:r w:rsidRPr="00563EF2">
        <w:rPr>
          <w:b w:val="0"/>
        </w:rPr>
        <w:t>Szkolnictwo wyższe</w:t>
      </w:r>
      <w:bookmarkEnd w:id="24"/>
    </w:p>
    <w:p w:rsidR="003948A4" w:rsidRPr="003948A4" w:rsidRDefault="003948A4" w:rsidP="003948A4"/>
    <w:p w:rsidR="009E4B50" w:rsidRDefault="00CC113A" w:rsidP="00FD7676">
      <w:pPr>
        <w:rPr>
          <w:rFonts w:asciiTheme="minorHAnsi" w:hAnsiTheme="minorHAnsi"/>
          <w:sz w:val="22"/>
        </w:rPr>
      </w:pPr>
      <w:r w:rsidRPr="00563EF2">
        <w:rPr>
          <w:rFonts w:asciiTheme="minorHAnsi" w:hAnsiTheme="minorHAnsi"/>
          <w:sz w:val="22"/>
        </w:rPr>
        <w:t xml:space="preserve">Legnica stanowi </w:t>
      </w:r>
      <w:r w:rsidR="00A5203F" w:rsidRPr="00563EF2">
        <w:rPr>
          <w:rFonts w:asciiTheme="minorHAnsi" w:hAnsiTheme="minorHAnsi"/>
          <w:sz w:val="22"/>
        </w:rPr>
        <w:t>najważniejszy po Wrocławiu</w:t>
      </w:r>
      <w:r w:rsidRPr="00563EF2">
        <w:rPr>
          <w:rFonts w:asciiTheme="minorHAnsi" w:hAnsiTheme="minorHAnsi"/>
          <w:sz w:val="22"/>
        </w:rPr>
        <w:t xml:space="preserve"> ośrodek akadem</w:t>
      </w:r>
      <w:r w:rsidR="00A5203F" w:rsidRPr="00563EF2">
        <w:rPr>
          <w:rFonts w:asciiTheme="minorHAnsi" w:hAnsiTheme="minorHAnsi"/>
          <w:sz w:val="22"/>
        </w:rPr>
        <w:t>icki Dolnego Śląska. W 2012 r. na legnickich uczelniach wyższych studiowało</w:t>
      </w:r>
      <w:r w:rsidR="00260889" w:rsidRPr="00563EF2">
        <w:rPr>
          <w:rFonts w:asciiTheme="minorHAnsi" w:hAnsiTheme="minorHAnsi"/>
          <w:sz w:val="22"/>
        </w:rPr>
        <w:t xml:space="preserve"> ogółem</w:t>
      </w:r>
      <w:r w:rsidR="00A5203F" w:rsidRPr="00563EF2">
        <w:rPr>
          <w:rFonts w:asciiTheme="minorHAnsi" w:hAnsiTheme="minorHAnsi"/>
          <w:sz w:val="22"/>
        </w:rPr>
        <w:t xml:space="preserve"> 7</w:t>
      </w:r>
      <w:r w:rsidR="00260889" w:rsidRPr="00563EF2">
        <w:rPr>
          <w:rFonts w:asciiTheme="minorHAnsi" w:hAnsiTheme="minorHAnsi"/>
          <w:sz w:val="22"/>
        </w:rPr>
        <w:t> </w:t>
      </w:r>
      <w:r w:rsidR="00A5203F" w:rsidRPr="00563EF2">
        <w:rPr>
          <w:rFonts w:asciiTheme="minorHAnsi" w:hAnsiTheme="minorHAnsi"/>
          <w:sz w:val="22"/>
        </w:rPr>
        <w:t>388</w:t>
      </w:r>
      <w:r w:rsidR="00260889" w:rsidRPr="00563EF2">
        <w:rPr>
          <w:rFonts w:asciiTheme="minorHAnsi" w:hAnsiTheme="minorHAnsi"/>
          <w:sz w:val="22"/>
        </w:rPr>
        <w:t xml:space="preserve"> osób</w:t>
      </w:r>
      <w:r w:rsidR="00A5203F" w:rsidRPr="00563EF2">
        <w:rPr>
          <w:rFonts w:asciiTheme="minorHAnsi" w:hAnsiTheme="minorHAnsi"/>
          <w:sz w:val="22"/>
        </w:rPr>
        <w:t>, czyli 4,76% ogółu studentów województwa dolnośląskiego.</w:t>
      </w:r>
    </w:p>
    <w:p w:rsidR="00546BC9" w:rsidRPr="00563EF2" w:rsidRDefault="00546BC9" w:rsidP="00FD7676">
      <w:pPr>
        <w:rPr>
          <w:rFonts w:asciiTheme="minorHAnsi" w:hAnsiTheme="minorHAnsi"/>
          <w:sz w:val="22"/>
        </w:rPr>
      </w:pPr>
    </w:p>
    <w:p w:rsidR="002C09BE" w:rsidRPr="007F6382" w:rsidRDefault="002C09BE"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11</w:t>
      </w:r>
      <w:r w:rsidR="00017794" w:rsidRPr="007F6382">
        <w:rPr>
          <w:rFonts w:asciiTheme="minorHAnsi" w:hAnsiTheme="minorHAnsi"/>
          <w:sz w:val="20"/>
          <w:szCs w:val="22"/>
        </w:rPr>
        <w:fldChar w:fldCharType="end"/>
      </w:r>
      <w:r w:rsidRPr="007F6382">
        <w:rPr>
          <w:rFonts w:asciiTheme="minorHAnsi" w:hAnsiTheme="minorHAnsi"/>
          <w:sz w:val="20"/>
          <w:szCs w:val="22"/>
        </w:rPr>
        <w:t>. Zestawienie danych dotyczących najważniejszych ośrodków akademickich w woj. dolnośląskim</w:t>
      </w:r>
    </w:p>
    <w:tbl>
      <w:tblPr>
        <w:tblStyle w:val="Jasnasiatkaakcent5"/>
        <w:tblW w:w="9288" w:type="dxa"/>
        <w:tblLook w:val="04A0" w:firstRow="1" w:lastRow="0" w:firstColumn="1" w:lastColumn="0" w:noHBand="0" w:noVBand="1"/>
      </w:tblPr>
      <w:tblGrid>
        <w:gridCol w:w="1881"/>
        <w:gridCol w:w="633"/>
        <w:gridCol w:w="1563"/>
        <w:gridCol w:w="1250"/>
        <w:gridCol w:w="868"/>
        <w:gridCol w:w="1131"/>
        <w:gridCol w:w="927"/>
        <w:gridCol w:w="1035"/>
      </w:tblGrid>
      <w:tr w:rsidR="008E1C17" w:rsidRPr="00546BC9" w:rsidTr="00CB360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514" w:type="dxa"/>
            <w:gridSpan w:val="2"/>
            <w:noWrap/>
            <w:hideMark/>
          </w:tcPr>
          <w:p w:rsidR="008E1C17" w:rsidRPr="00546BC9" w:rsidRDefault="008E1C17" w:rsidP="00FD7676">
            <w:pPr>
              <w:rPr>
                <w:rFonts w:asciiTheme="minorHAnsi" w:eastAsia="Times New Roman" w:hAnsiTheme="minorHAnsi" w:cs="Arial"/>
                <w:color w:val="000000" w:themeColor="text1"/>
                <w:sz w:val="22"/>
                <w:lang w:eastAsia="pl-PL"/>
              </w:rPr>
            </w:pPr>
          </w:p>
        </w:tc>
        <w:tc>
          <w:tcPr>
            <w:tcW w:w="1563" w:type="dxa"/>
            <w:hideMark/>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Województwo dolnośląskie</w:t>
            </w:r>
          </w:p>
        </w:tc>
        <w:tc>
          <w:tcPr>
            <w:tcW w:w="1252" w:type="dxa"/>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Wałbrzych</w:t>
            </w:r>
          </w:p>
        </w:tc>
        <w:tc>
          <w:tcPr>
            <w:tcW w:w="868" w:type="dxa"/>
            <w:hideMark/>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Jelenia Góra</w:t>
            </w:r>
          </w:p>
        </w:tc>
        <w:tc>
          <w:tcPr>
            <w:tcW w:w="1130" w:type="dxa"/>
            <w:hideMark/>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Powiat głogowski</w:t>
            </w:r>
          </w:p>
        </w:tc>
        <w:tc>
          <w:tcPr>
            <w:tcW w:w="927" w:type="dxa"/>
            <w:shd w:val="clear" w:color="auto" w:fill="FFC000"/>
            <w:hideMark/>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Legnica</w:t>
            </w:r>
          </w:p>
        </w:tc>
        <w:tc>
          <w:tcPr>
            <w:tcW w:w="1034" w:type="dxa"/>
            <w:hideMark/>
          </w:tcPr>
          <w:p w:rsidR="008E1C17" w:rsidRPr="00546BC9" w:rsidRDefault="008E1C17"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Wrocław</w:t>
            </w:r>
          </w:p>
        </w:tc>
      </w:tr>
      <w:tr w:rsidR="00A5203F" w:rsidRPr="00546BC9" w:rsidTr="00CB36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1" w:type="dxa"/>
            <w:noWrap/>
            <w:hideMark/>
          </w:tcPr>
          <w:p w:rsidR="00A5203F" w:rsidRPr="00546BC9" w:rsidRDefault="00A5203F" w:rsidP="00FD7676">
            <w:pPr>
              <w:rPr>
                <w:rFonts w:asciiTheme="minorHAnsi" w:eastAsia="Times New Roman" w:hAnsiTheme="minorHAnsi" w:cs="Arial"/>
                <w:bCs w:val="0"/>
                <w:color w:val="000000" w:themeColor="text1"/>
                <w:sz w:val="22"/>
                <w:lang w:eastAsia="pl-PL"/>
              </w:rPr>
            </w:pPr>
            <w:r w:rsidRPr="00546BC9">
              <w:rPr>
                <w:rFonts w:asciiTheme="minorHAnsi" w:eastAsia="Times New Roman" w:hAnsiTheme="minorHAnsi" w:cs="Arial"/>
                <w:bCs w:val="0"/>
                <w:color w:val="000000" w:themeColor="text1"/>
                <w:sz w:val="22"/>
                <w:lang w:eastAsia="pl-PL"/>
              </w:rPr>
              <w:t>szkoły wyższe ogółem</w:t>
            </w:r>
          </w:p>
        </w:tc>
        <w:tc>
          <w:tcPr>
            <w:tcW w:w="633"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2"/>
                <w:lang w:eastAsia="pl-PL"/>
              </w:rPr>
            </w:pPr>
            <w:r w:rsidRPr="00546BC9">
              <w:rPr>
                <w:rFonts w:asciiTheme="minorHAnsi" w:eastAsia="Times New Roman" w:hAnsiTheme="minorHAnsi" w:cs="Arial"/>
                <w:b/>
                <w:bCs/>
                <w:color w:val="000000" w:themeColor="text1"/>
                <w:sz w:val="22"/>
                <w:lang w:eastAsia="pl-PL"/>
              </w:rPr>
              <w:t>ob.</w:t>
            </w:r>
          </w:p>
        </w:tc>
        <w:tc>
          <w:tcPr>
            <w:tcW w:w="1563"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38</w:t>
            </w:r>
          </w:p>
        </w:tc>
        <w:tc>
          <w:tcPr>
            <w:tcW w:w="1252" w:type="dxa"/>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868"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1130"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w:t>
            </w:r>
          </w:p>
        </w:tc>
        <w:tc>
          <w:tcPr>
            <w:tcW w:w="927" w:type="dxa"/>
            <w:shd w:val="clear" w:color="auto" w:fill="FBE4D5" w:themeFill="accent2" w:themeFillTint="33"/>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2"/>
                <w:lang w:eastAsia="pl-PL"/>
              </w:rPr>
            </w:pPr>
            <w:r w:rsidRPr="00546BC9">
              <w:rPr>
                <w:rFonts w:asciiTheme="minorHAnsi" w:eastAsia="Times New Roman" w:hAnsiTheme="minorHAnsi" w:cs="Arial"/>
                <w:b/>
                <w:sz w:val="22"/>
                <w:lang w:eastAsia="pl-PL"/>
              </w:rPr>
              <w:t>3</w:t>
            </w:r>
          </w:p>
        </w:tc>
        <w:tc>
          <w:tcPr>
            <w:tcW w:w="1034"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25</w:t>
            </w:r>
          </w:p>
        </w:tc>
      </w:tr>
      <w:tr w:rsidR="00A5203F" w:rsidRPr="00546BC9" w:rsidTr="00CB360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1" w:type="dxa"/>
            <w:noWrap/>
            <w:hideMark/>
          </w:tcPr>
          <w:p w:rsidR="00A5203F" w:rsidRPr="00546BC9" w:rsidRDefault="00A5203F" w:rsidP="00FD7676">
            <w:pPr>
              <w:rPr>
                <w:rFonts w:asciiTheme="minorHAnsi" w:eastAsia="Times New Roman" w:hAnsiTheme="minorHAnsi" w:cs="Arial"/>
                <w:bCs w:val="0"/>
                <w:color w:val="000000" w:themeColor="text1"/>
                <w:sz w:val="22"/>
                <w:lang w:eastAsia="pl-PL"/>
              </w:rPr>
            </w:pPr>
            <w:r w:rsidRPr="00546BC9">
              <w:rPr>
                <w:rFonts w:asciiTheme="minorHAnsi" w:eastAsia="Times New Roman" w:hAnsiTheme="minorHAnsi" w:cs="Arial"/>
                <w:bCs w:val="0"/>
                <w:color w:val="000000" w:themeColor="text1"/>
                <w:sz w:val="22"/>
                <w:lang w:eastAsia="pl-PL"/>
              </w:rPr>
              <w:t>jednostki zamiejscowe</w:t>
            </w:r>
          </w:p>
        </w:tc>
        <w:tc>
          <w:tcPr>
            <w:tcW w:w="633"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000000" w:themeColor="text1"/>
                <w:sz w:val="22"/>
                <w:lang w:eastAsia="pl-PL"/>
              </w:rPr>
            </w:pPr>
            <w:r w:rsidRPr="00546BC9">
              <w:rPr>
                <w:rFonts w:asciiTheme="minorHAnsi" w:eastAsia="Times New Roman" w:hAnsiTheme="minorHAnsi" w:cs="Arial"/>
                <w:b/>
                <w:bCs/>
                <w:color w:val="000000" w:themeColor="text1"/>
                <w:sz w:val="22"/>
                <w:lang w:eastAsia="pl-PL"/>
              </w:rPr>
              <w:t>ob.</w:t>
            </w:r>
          </w:p>
        </w:tc>
        <w:tc>
          <w:tcPr>
            <w:tcW w:w="1563"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22</w:t>
            </w:r>
          </w:p>
        </w:tc>
        <w:tc>
          <w:tcPr>
            <w:tcW w:w="1252" w:type="dxa"/>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w:t>
            </w:r>
          </w:p>
        </w:tc>
        <w:tc>
          <w:tcPr>
            <w:tcW w:w="868"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w:t>
            </w:r>
          </w:p>
        </w:tc>
        <w:tc>
          <w:tcPr>
            <w:tcW w:w="1130"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927" w:type="dxa"/>
            <w:shd w:val="clear" w:color="auto" w:fill="FBE4D5" w:themeFill="accent2" w:themeFillTint="33"/>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sz w:val="22"/>
                <w:lang w:eastAsia="pl-PL"/>
              </w:rPr>
            </w:pPr>
            <w:r w:rsidRPr="00546BC9">
              <w:rPr>
                <w:rFonts w:asciiTheme="minorHAnsi" w:eastAsia="Times New Roman" w:hAnsiTheme="minorHAnsi" w:cs="Arial"/>
                <w:b/>
                <w:sz w:val="22"/>
                <w:lang w:eastAsia="pl-PL"/>
              </w:rPr>
              <w:t>1</w:t>
            </w:r>
          </w:p>
        </w:tc>
        <w:tc>
          <w:tcPr>
            <w:tcW w:w="1034"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5</w:t>
            </w:r>
          </w:p>
        </w:tc>
      </w:tr>
      <w:tr w:rsidR="00A5203F" w:rsidRPr="00546BC9" w:rsidTr="00CB36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1" w:type="dxa"/>
            <w:noWrap/>
            <w:hideMark/>
          </w:tcPr>
          <w:p w:rsidR="00A5203F" w:rsidRPr="00546BC9" w:rsidRDefault="00A5203F" w:rsidP="00FD7676">
            <w:pPr>
              <w:rPr>
                <w:rFonts w:asciiTheme="minorHAnsi" w:eastAsia="Times New Roman" w:hAnsiTheme="minorHAnsi" w:cs="Arial"/>
                <w:bCs w:val="0"/>
                <w:color w:val="000000" w:themeColor="text1"/>
                <w:sz w:val="22"/>
                <w:lang w:eastAsia="pl-PL"/>
              </w:rPr>
            </w:pPr>
            <w:r w:rsidRPr="00546BC9">
              <w:rPr>
                <w:rFonts w:asciiTheme="minorHAnsi" w:eastAsia="Times New Roman" w:hAnsiTheme="minorHAnsi" w:cs="Arial"/>
                <w:bCs w:val="0"/>
                <w:color w:val="000000" w:themeColor="text1"/>
                <w:sz w:val="22"/>
                <w:lang w:eastAsia="pl-PL"/>
              </w:rPr>
              <w:t>studenci ogółem</w:t>
            </w:r>
          </w:p>
        </w:tc>
        <w:tc>
          <w:tcPr>
            <w:tcW w:w="633" w:type="dxa"/>
            <w:noWrap/>
            <w:hideMark/>
          </w:tcPr>
          <w:p w:rsidR="00A5203F" w:rsidRPr="00546BC9" w:rsidRDefault="00DE03A5"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2"/>
                <w:lang w:eastAsia="pl-PL"/>
              </w:rPr>
            </w:pPr>
            <w:r w:rsidRPr="00546BC9">
              <w:rPr>
                <w:rFonts w:asciiTheme="minorHAnsi" w:eastAsia="Times New Roman" w:hAnsiTheme="minorHAnsi" w:cs="Arial"/>
                <w:b/>
                <w:bCs/>
                <w:color w:val="000000" w:themeColor="text1"/>
                <w:sz w:val="22"/>
                <w:lang w:eastAsia="pl-PL"/>
              </w:rPr>
              <w:t>o</w:t>
            </w:r>
            <w:r w:rsidR="00A5203F" w:rsidRPr="00546BC9">
              <w:rPr>
                <w:rFonts w:asciiTheme="minorHAnsi" w:eastAsia="Times New Roman" w:hAnsiTheme="minorHAnsi" w:cs="Arial"/>
                <w:b/>
                <w:bCs/>
                <w:color w:val="000000" w:themeColor="text1"/>
                <w:sz w:val="22"/>
                <w:lang w:eastAsia="pl-PL"/>
              </w:rPr>
              <w:t>s</w:t>
            </w:r>
            <w:r w:rsidRPr="00546BC9">
              <w:rPr>
                <w:rFonts w:asciiTheme="minorHAnsi" w:eastAsia="Times New Roman" w:hAnsiTheme="minorHAnsi" w:cs="Arial"/>
                <w:b/>
                <w:bCs/>
                <w:color w:val="000000" w:themeColor="text1"/>
                <w:sz w:val="22"/>
                <w:lang w:eastAsia="pl-PL"/>
              </w:rPr>
              <w:t>.</w:t>
            </w:r>
          </w:p>
        </w:tc>
        <w:tc>
          <w:tcPr>
            <w:tcW w:w="1563"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155089</w:t>
            </w:r>
          </w:p>
        </w:tc>
        <w:tc>
          <w:tcPr>
            <w:tcW w:w="1252" w:type="dxa"/>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5069</w:t>
            </w:r>
          </w:p>
        </w:tc>
        <w:tc>
          <w:tcPr>
            <w:tcW w:w="868"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3839</w:t>
            </w:r>
          </w:p>
        </w:tc>
        <w:tc>
          <w:tcPr>
            <w:tcW w:w="1130"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1031</w:t>
            </w:r>
          </w:p>
        </w:tc>
        <w:tc>
          <w:tcPr>
            <w:tcW w:w="927" w:type="dxa"/>
            <w:shd w:val="clear" w:color="auto" w:fill="FBE4D5" w:themeFill="accent2" w:themeFillTint="33"/>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2"/>
                <w:lang w:eastAsia="pl-PL"/>
              </w:rPr>
            </w:pPr>
            <w:r w:rsidRPr="00546BC9">
              <w:rPr>
                <w:rFonts w:asciiTheme="minorHAnsi" w:eastAsia="Times New Roman" w:hAnsiTheme="minorHAnsi" w:cs="Arial"/>
                <w:b/>
                <w:sz w:val="22"/>
                <w:lang w:eastAsia="pl-PL"/>
              </w:rPr>
              <w:t>7388</w:t>
            </w:r>
          </w:p>
        </w:tc>
        <w:tc>
          <w:tcPr>
            <w:tcW w:w="1034"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134383</w:t>
            </w:r>
          </w:p>
        </w:tc>
      </w:tr>
      <w:tr w:rsidR="00A5203F" w:rsidRPr="00546BC9" w:rsidTr="00CB360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1" w:type="dxa"/>
            <w:noWrap/>
            <w:hideMark/>
          </w:tcPr>
          <w:p w:rsidR="00A5203F" w:rsidRPr="00546BC9" w:rsidRDefault="00A5203F" w:rsidP="00FD7676">
            <w:pPr>
              <w:rPr>
                <w:rFonts w:asciiTheme="minorHAnsi" w:eastAsia="Times New Roman" w:hAnsiTheme="minorHAnsi" w:cs="Arial"/>
                <w:bCs w:val="0"/>
                <w:color w:val="000000" w:themeColor="text1"/>
                <w:sz w:val="22"/>
                <w:lang w:eastAsia="pl-PL"/>
              </w:rPr>
            </w:pPr>
            <w:r w:rsidRPr="00546BC9">
              <w:rPr>
                <w:rFonts w:asciiTheme="minorHAnsi" w:eastAsia="Times New Roman" w:hAnsiTheme="minorHAnsi" w:cs="Arial"/>
                <w:bCs w:val="0"/>
                <w:color w:val="000000" w:themeColor="text1"/>
                <w:sz w:val="22"/>
                <w:lang w:eastAsia="pl-PL"/>
              </w:rPr>
              <w:t>absolwenci ogółem</w:t>
            </w:r>
          </w:p>
        </w:tc>
        <w:tc>
          <w:tcPr>
            <w:tcW w:w="633" w:type="dxa"/>
            <w:noWrap/>
            <w:hideMark/>
          </w:tcPr>
          <w:p w:rsidR="00A5203F" w:rsidRPr="00546BC9" w:rsidRDefault="00DE03A5"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000000" w:themeColor="text1"/>
                <w:sz w:val="22"/>
                <w:lang w:eastAsia="pl-PL"/>
              </w:rPr>
            </w:pPr>
            <w:r w:rsidRPr="00546BC9">
              <w:rPr>
                <w:rFonts w:asciiTheme="minorHAnsi" w:eastAsia="Times New Roman" w:hAnsiTheme="minorHAnsi" w:cs="Arial"/>
                <w:b/>
                <w:bCs/>
                <w:color w:val="000000" w:themeColor="text1"/>
                <w:sz w:val="22"/>
                <w:lang w:eastAsia="pl-PL"/>
              </w:rPr>
              <w:t>os.</w:t>
            </w:r>
          </w:p>
        </w:tc>
        <w:tc>
          <w:tcPr>
            <w:tcW w:w="1563"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41350</w:t>
            </w:r>
          </w:p>
        </w:tc>
        <w:tc>
          <w:tcPr>
            <w:tcW w:w="1252" w:type="dxa"/>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1492</w:t>
            </w:r>
          </w:p>
        </w:tc>
        <w:tc>
          <w:tcPr>
            <w:tcW w:w="868"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1115</w:t>
            </w:r>
          </w:p>
        </w:tc>
        <w:tc>
          <w:tcPr>
            <w:tcW w:w="1130"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448</w:t>
            </w:r>
          </w:p>
        </w:tc>
        <w:tc>
          <w:tcPr>
            <w:tcW w:w="927" w:type="dxa"/>
            <w:shd w:val="clear" w:color="auto" w:fill="FBE4D5" w:themeFill="accent2" w:themeFillTint="33"/>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sz w:val="22"/>
                <w:lang w:eastAsia="pl-PL"/>
              </w:rPr>
            </w:pPr>
            <w:r w:rsidRPr="00546BC9">
              <w:rPr>
                <w:rFonts w:asciiTheme="minorHAnsi" w:eastAsia="Times New Roman" w:hAnsiTheme="minorHAnsi" w:cs="Arial"/>
                <w:b/>
                <w:sz w:val="22"/>
                <w:lang w:eastAsia="pl-PL"/>
              </w:rPr>
              <w:t>2189</w:t>
            </w:r>
          </w:p>
        </w:tc>
        <w:tc>
          <w:tcPr>
            <w:tcW w:w="1034"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35151</w:t>
            </w:r>
          </w:p>
        </w:tc>
      </w:tr>
    </w:tbl>
    <w:p w:rsidR="00CC113A" w:rsidRPr="002E2D3F" w:rsidRDefault="0021780B" w:rsidP="00FD7676">
      <w:pPr>
        <w:rPr>
          <w:rFonts w:asciiTheme="minorHAnsi" w:hAnsiTheme="minorHAnsi"/>
          <w:sz w:val="20"/>
        </w:rPr>
      </w:pPr>
      <w:r w:rsidRPr="002E2D3F">
        <w:rPr>
          <w:rFonts w:asciiTheme="minorHAnsi" w:hAnsiTheme="minorHAnsi"/>
          <w:sz w:val="20"/>
        </w:rPr>
        <w:t xml:space="preserve">Źródło: </w:t>
      </w:r>
      <w:r w:rsidRPr="002E2D3F">
        <w:rPr>
          <w:rFonts w:asciiTheme="minorHAnsi" w:hAnsiTheme="minorHAnsi"/>
          <w:i/>
          <w:sz w:val="20"/>
        </w:rPr>
        <w:t>Bank Danych Lokalnych</w:t>
      </w:r>
      <w:r w:rsidRPr="002E2D3F">
        <w:rPr>
          <w:rFonts w:asciiTheme="minorHAnsi" w:hAnsiTheme="minorHAnsi"/>
          <w:sz w:val="20"/>
        </w:rPr>
        <w:t>, GUS</w:t>
      </w:r>
      <w:r w:rsidR="0010032B">
        <w:rPr>
          <w:rFonts w:asciiTheme="minorHAnsi" w:hAnsiTheme="minorHAnsi"/>
          <w:sz w:val="20"/>
        </w:rPr>
        <w:t>.</w:t>
      </w:r>
    </w:p>
    <w:p w:rsidR="00EB06A5" w:rsidRPr="00563EF2" w:rsidRDefault="00EB06A5" w:rsidP="00FD7676">
      <w:pPr>
        <w:rPr>
          <w:rFonts w:asciiTheme="minorHAnsi" w:hAnsiTheme="minorHAnsi"/>
          <w:sz w:val="22"/>
        </w:rPr>
      </w:pPr>
    </w:p>
    <w:p w:rsidR="00A5203F" w:rsidRPr="00563EF2" w:rsidRDefault="00A5203F" w:rsidP="00FD7676">
      <w:pPr>
        <w:rPr>
          <w:rFonts w:asciiTheme="minorHAnsi" w:hAnsiTheme="minorHAnsi"/>
          <w:sz w:val="22"/>
        </w:rPr>
      </w:pPr>
      <w:r w:rsidRPr="00563EF2">
        <w:rPr>
          <w:rFonts w:asciiTheme="minorHAnsi" w:hAnsiTheme="minorHAnsi"/>
          <w:sz w:val="22"/>
        </w:rPr>
        <w:t>Najważniejszą uczelnią mieszczącą się w Legnicy jest Państ</w:t>
      </w:r>
      <w:r w:rsidR="00DE03A5" w:rsidRPr="00563EF2">
        <w:rPr>
          <w:rFonts w:asciiTheme="minorHAnsi" w:hAnsiTheme="minorHAnsi"/>
          <w:sz w:val="22"/>
        </w:rPr>
        <w:t>wowa Wyższa Szkoła Zawodowa im. </w:t>
      </w:r>
      <w:r w:rsidRPr="00563EF2">
        <w:rPr>
          <w:rFonts w:asciiTheme="minorHAnsi" w:hAnsiTheme="minorHAnsi"/>
          <w:sz w:val="22"/>
        </w:rPr>
        <w:t>Witelona</w:t>
      </w:r>
      <w:r w:rsidR="004B06B7" w:rsidRPr="00563EF2">
        <w:rPr>
          <w:rFonts w:asciiTheme="minorHAnsi" w:hAnsiTheme="minorHAnsi"/>
          <w:sz w:val="22"/>
        </w:rPr>
        <w:t xml:space="preserve"> oferująca studia licencjackie,</w:t>
      </w:r>
      <w:r w:rsidR="00F40352" w:rsidRPr="00563EF2">
        <w:rPr>
          <w:rFonts w:asciiTheme="minorHAnsi" w:hAnsiTheme="minorHAnsi"/>
          <w:sz w:val="22"/>
        </w:rPr>
        <w:t xml:space="preserve"> inżynierskie</w:t>
      </w:r>
      <w:r w:rsidR="004B06B7" w:rsidRPr="00563EF2">
        <w:rPr>
          <w:rFonts w:asciiTheme="minorHAnsi" w:hAnsiTheme="minorHAnsi"/>
          <w:sz w:val="22"/>
        </w:rPr>
        <w:t xml:space="preserve"> i magisterskie</w:t>
      </w:r>
      <w:r w:rsidR="00F40352" w:rsidRPr="00563EF2">
        <w:rPr>
          <w:rFonts w:asciiTheme="minorHAnsi" w:hAnsiTheme="minorHAnsi"/>
          <w:sz w:val="22"/>
        </w:rPr>
        <w:t xml:space="preserve"> na trzech wydziałach: Wydziale Nauk Społecznych i Humanistycznych, Wydziale Nauk Technicznych i Ekonomicznych oraz Wydziale Nauk o Zdrowiu i Kulturze Fizycznej</w:t>
      </w:r>
      <w:r w:rsidRPr="00563EF2">
        <w:rPr>
          <w:rFonts w:asciiTheme="minorHAnsi" w:hAnsiTheme="minorHAnsi"/>
          <w:sz w:val="22"/>
        </w:rPr>
        <w:t>.</w:t>
      </w:r>
      <w:r w:rsidR="004B06B7" w:rsidRPr="00563EF2">
        <w:rPr>
          <w:rFonts w:asciiTheme="minorHAnsi" w:hAnsiTheme="minorHAnsi"/>
          <w:sz w:val="22"/>
        </w:rPr>
        <w:t xml:space="preserve"> </w:t>
      </w:r>
      <w:r w:rsidR="00314F82" w:rsidRPr="00563EF2">
        <w:rPr>
          <w:rFonts w:asciiTheme="minorHAnsi" w:hAnsiTheme="minorHAnsi"/>
          <w:sz w:val="22"/>
        </w:rPr>
        <w:t>Według stanu na koniec 2012 roku na uczelni studiowało łącznie 4 649 studentów (63% całej społeczności akademickiej Legnicy), w ty</w:t>
      </w:r>
      <w:r w:rsidR="00DE03A5" w:rsidRPr="00563EF2">
        <w:rPr>
          <w:rFonts w:asciiTheme="minorHAnsi" w:hAnsiTheme="minorHAnsi"/>
          <w:sz w:val="22"/>
        </w:rPr>
        <w:t>m 3 129 na studiach dziennych i </w:t>
      </w:r>
      <w:r w:rsidR="0033475A">
        <w:rPr>
          <w:rFonts w:asciiTheme="minorHAnsi" w:hAnsiTheme="minorHAnsi"/>
          <w:sz w:val="22"/>
        </w:rPr>
        <w:t>1 </w:t>
      </w:r>
      <w:r w:rsidR="00314F82" w:rsidRPr="00563EF2">
        <w:rPr>
          <w:rFonts w:asciiTheme="minorHAnsi" w:hAnsiTheme="minorHAnsi"/>
          <w:sz w:val="22"/>
        </w:rPr>
        <w:t xml:space="preserve">520 na studiach zaocznych. </w:t>
      </w:r>
      <w:r w:rsidR="004B06B7" w:rsidRPr="00563EF2">
        <w:rPr>
          <w:rFonts w:asciiTheme="minorHAnsi" w:hAnsiTheme="minorHAnsi"/>
          <w:sz w:val="22"/>
        </w:rPr>
        <w:t>Jest to najwięks</w:t>
      </w:r>
      <w:r w:rsidR="00743DBA" w:rsidRPr="00563EF2">
        <w:rPr>
          <w:rFonts w:asciiTheme="minorHAnsi" w:hAnsiTheme="minorHAnsi"/>
          <w:sz w:val="22"/>
        </w:rPr>
        <w:t>za tego typu uczelnia w Polsce, o ugruntowanej pozycji i licznych osiągnięciach</w:t>
      </w:r>
      <w:r w:rsidR="00314F82" w:rsidRPr="00563EF2">
        <w:rPr>
          <w:rFonts w:asciiTheme="minorHAnsi" w:hAnsiTheme="minorHAnsi"/>
          <w:sz w:val="22"/>
        </w:rPr>
        <w:t>, a przeprowadzony przez nią s</w:t>
      </w:r>
      <w:r w:rsidR="00F40352" w:rsidRPr="00563EF2">
        <w:rPr>
          <w:rFonts w:asciiTheme="minorHAnsi" w:hAnsiTheme="minorHAnsi"/>
          <w:sz w:val="22"/>
        </w:rPr>
        <w:t>zeroko zakrojony program inwestycyjny</w:t>
      </w:r>
      <w:r w:rsidR="004B06B7" w:rsidRPr="00563EF2">
        <w:rPr>
          <w:rFonts w:asciiTheme="minorHAnsi" w:hAnsiTheme="minorHAnsi"/>
          <w:sz w:val="22"/>
        </w:rPr>
        <w:t xml:space="preserve"> doprowadził do stworzenia jednego z największych kampusów studenckich w skali kraju</w:t>
      </w:r>
      <w:r w:rsidRPr="00563EF2">
        <w:rPr>
          <w:rFonts w:asciiTheme="minorHAnsi" w:hAnsiTheme="minorHAnsi"/>
          <w:sz w:val="22"/>
        </w:rPr>
        <w:t xml:space="preserve"> </w:t>
      </w:r>
      <w:r w:rsidR="004B06B7" w:rsidRPr="00563EF2">
        <w:rPr>
          <w:rFonts w:asciiTheme="minorHAnsi" w:hAnsiTheme="minorHAnsi"/>
          <w:sz w:val="22"/>
        </w:rPr>
        <w:t>oraz kompleksu dydaktycznego o powierzchni 5,2 ha</w:t>
      </w:r>
      <w:r w:rsidR="00192EC9">
        <w:rPr>
          <w:rFonts w:asciiTheme="minorHAnsi" w:hAnsiTheme="minorHAnsi"/>
          <w:sz w:val="22"/>
        </w:rPr>
        <w:t>,</w:t>
      </w:r>
      <w:r w:rsidR="004B06B7" w:rsidRPr="00563EF2">
        <w:rPr>
          <w:rFonts w:asciiTheme="minorHAnsi" w:hAnsiTheme="minorHAnsi"/>
          <w:sz w:val="22"/>
        </w:rPr>
        <w:t xml:space="preserve"> składającego się z czterech obiektów dydaktycznych. </w:t>
      </w:r>
    </w:p>
    <w:p w:rsidR="009E4ABD" w:rsidRPr="00563EF2" w:rsidRDefault="009E4ABD" w:rsidP="00FD7676">
      <w:pPr>
        <w:rPr>
          <w:rFonts w:asciiTheme="minorHAnsi" w:hAnsiTheme="minorHAnsi"/>
          <w:sz w:val="22"/>
        </w:rPr>
      </w:pPr>
    </w:p>
    <w:p w:rsidR="00770950" w:rsidRPr="007F6382" w:rsidRDefault="00770950"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C56DB"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12</w:t>
      </w:r>
      <w:r w:rsidR="00017794" w:rsidRPr="007F6382">
        <w:rPr>
          <w:rFonts w:asciiTheme="minorHAnsi" w:hAnsiTheme="minorHAnsi"/>
          <w:sz w:val="20"/>
          <w:szCs w:val="22"/>
        </w:rPr>
        <w:fldChar w:fldCharType="end"/>
      </w:r>
      <w:r w:rsidRPr="007F6382">
        <w:rPr>
          <w:rFonts w:asciiTheme="minorHAnsi" w:hAnsiTheme="minorHAnsi"/>
          <w:sz w:val="20"/>
          <w:szCs w:val="22"/>
        </w:rPr>
        <w:t>. Oferta edukacyjna szkół wyższych w Legnicy (dane na rok akademicki 2013/2014)</w:t>
      </w:r>
    </w:p>
    <w:tbl>
      <w:tblPr>
        <w:tblStyle w:val="Jasnasiatkaakcent11"/>
        <w:tblW w:w="0" w:type="auto"/>
        <w:tblLook w:val="04A0" w:firstRow="1" w:lastRow="0" w:firstColumn="1" w:lastColumn="0" w:noHBand="0" w:noVBand="1"/>
      </w:tblPr>
      <w:tblGrid>
        <w:gridCol w:w="2773"/>
        <w:gridCol w:w="6515"/>
      </w:tblGrid>
      <w:tr w:rsidR="00770950" w:rsidRPr="00546BC9" w:rsidTr="002C09BE">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770950" w:rsidP="00FD7676">
            <w:pPr>
              <w:rPr>
                <w:rFonts w:asciiTheme="minorHAnsi" w:hAnsiTheme="minorHAnsi"/>
                <w:sz w:val="22"/>
              </w:rPr>
            </w:pPr>
            <w:r w:rsidRPr="00546BC9">
              <w:rPr>
                <w:rFonts w:asciiTheme="minorHAnsi" w:hAnsiTheme="minorHAnsi"/>
                <w:bCs w:val="0"/>
                <w:sz w:val="22"/>
              </w:rPr>
              <w:t xml:space="preserve">Szkoły Wyższe w Legnicy </w:t>
            </w:r>
          </w:p>
        </w:tc>
        <w:tc>
          <w:tcPr>
            <w:tcW w:w="0" w:type="auto"/>
            <w:hideMark/>
          </w:tcPr>
          <w:p w:rsidR="00DB0721" w:rsidRPr="00546BC9" w:rsidRDefault="0077095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546BC9">
              <w:rPr>
                <w:rFonts w:asciiTheme="minorHAnsi" w:hAnsiTheme="minorHAnsi"/>
                <w:bCs w:val="0"/>
                <w:sz w:val="22"/>
              </w:rPr>
              <w:t xml:space="preserve">Kierunki </w:t>
            </w:r>
          </w:p>
        </w:tc>
      </w:tr>
      <w:tr w:rsidR="00770950" w:rsidRPr="00546BC9" w:rsidTr="002C09BE">
        <w:trPr>
          <w:cnfStyle w:val="000000100000" w:firstRow="0" w:lastRow="0" w:firstColumn="0" w:lastColumn="0" w:oddVBand="0" w:evenVBand="0" w:oddHBand="1"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770950" w:rsidP="00FD7676">
            <w:pPr>
              <w:rPr>
                <w:rFonts w:asciiTheme="minorHAnsi" w:hAnsiTheme="minorHAnsi"/>
                <w:sz w:val="22"/>
              </w:rPr>
            </w:pPr>
            <w:r w:rsidRPr="00546BC9">
              <w:rPr>
                <w:rFonts w:asciiTheme="minorHAnsi" w:hAnsiTheme="minorHAnsi"/>
                <w:sz w:val="22"/>
              </w:rPr>
              <w:t xml:space="preserve">Państwowa Wyższa Szkoła Zawodowa im. Witelona </w:t>
            </w:r>
          </w:p>
        </w:tc>
        <w:tc>
          <w:tcPr>
            <w:tcW w:w="0" w:type="auto"/>
            <w:hideMark/>
          </w:tcPr>
          <w:p w:rsidR="00DB0721" w:rsidRPr="00546BC9" w:rsidRDefault="0077095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46BC9">
              <w:rPr>
                <w:rFonts w:asciiTheme="minorHAnsi" w:hAnsiTheme="minorHAnsi"/>
                <w:sz w:val="22"/>
              </w:rPr>
              <w:t xml:space="preserve">Administracja, Bezpieczeństwo wewnętrzne, Filologia, Ochrona środowiska, Pedagogika, Zarządzanie, Zarządzanie i inżynieria produkcji,  Informatyka, Ekonomia, Dietetyka, Ratownictwo medyczne, Pielęgniarstwo, Turystyka i rekreacja </w:t>
            </w:r>
          </w:p>
        </w:tc>
      </w:tr>
      <w:tr w:rsidR="00770950" w:rsidRPr="00546BC9" w:rsidTr="002C09B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770950" w:rsidP="00FD7676">
            <w:pPr>
              <w:rPr>
                <w:rFonts w:asciiTheme="minorHAnsi" w:hAnsiTheme="minorHAnsi"/>
                <w:sz w:val="22"/>
              </w:rPr>
            </w:pPr>
            <w:r w:rsidRPr="00546BC9">
              <w:rPr>
                <w:rFonts w:asciiTheme="minorHAnsi" w:hAnsiTheme="minorHAnsi"/>
                <w:sz w:val="22"/>
              </w:rPr>
              <w:t xml:space="preserve">Wyższa Szkoła Medyczna </w:t>
            </w:r>
            <w:r w:rsidR="00E12E12">
              <w:rPr>
                <w:rFonts w:asciiTheme="minorHAnsi" w:hAnsiTheme="minorHAnsi"/>
                <w:sz w:val="22"/>
              </w:rPr>
              <w:t>w </w:t>
            </w:r>
            <w:r w:rsidR="001C3E6B" w:rsidRPr="00546BC9">
              <w:rPr>
                <w:rFonts w:asciiTheme="minorHAnsi" w:hAnsiTheme="minorHAnsi"/>
                <w:sz w:val="22"/>
              </w:rPr>
              <w:t>Legnicy</w:t>
            </w:r>
          </w:p>
        </w:tc>
        <w:tc>
          <w:tcPr>
            <w:tcW w:w="0" w:type="auto"/>
            <w:hideMark/>
          </w:tcPr>
          <w:p w:rsidR="00DB0721" w:rsidRPr="00546BC9" w:rsidRDefault="0077095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46BC9">
              <w:rPr>
                <w:rFonts w:asciiTheme="minorHAnsi" w:hAnsiTheme="minorHAnsi"/>
                <w:sz w:val="22"/>
              </w:rPr>
              <w:t xml:space="preserve">Pielęgniarstwo, Ratownictwo medyczne </w:t>
            </w:r>
          </w:p>
        </w:tc>
      </w:tr>
      <w:tr w:rsidR="00770950" w:rsidRPr="00546BC9" w:rsidTr="002C09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770950" w:rsidP="00FD7676">
            <w:pPr>
              <w:rPr>
                <w:rFonts w:asciiTheme="minorHAnsi" w:hAnsiTheme="minorHAnsi"/>
                <w:sz w:val="22"/>
              </w:rPr>
            </w:pPr>
            <w:r w:rsidRPr="00546BC9">
              <w:rPr>
                <w:rFonts w:asciiTheme="minorHAnsi" w:hAnsiTheme="minorHAnsi"/>
                <w:sz w:val="22"/>
              </w:rPr>
              <w:t xml:space="preserve">Wyższe Seminarium Duchowne, </w:t>
            </w:r>
          </w:p>
        </w:tc>
        <w:tc>
          <w:tcPr>
            <w:tcW w:w="0" w:type="auto"/>
            <w:hideMark/>
          </w:tcPr>
          <w:p w:rsidR="00DB0721" w:rsidRPr="00546BC9" w:rsidRDefault="0077095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46BC9">
              <w:rPr>
                <w:rFonts w:asciiTheme="minorHAnsi" w:hAnsiTheme="minorHAnsi"/>
                <w:sz w:val="22"/>
              </w:rPr>
              <w:t xml:space="preserve">Teologia </w:t>
            </w:r>
          </w:p>
        </w:tc>
      </w:tr>
      <w:tr w:rsidR="00770950" w:rsidRPr="00546BC9" w:rsidTr="002C09BE">
        <w:trPr>
          <w:cnfStyle w:val="000000010000" w:firstRow="0" w:lastRow="0" w:firstColumn="0" w:lastColumn="0" w:oddVBand="0" w:evenVBand="0" w:oddHBand="0" w:evenHBand="1"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770950" w:rsidP="00FD7676">
            <w:pPr>
              <w:rPr>
                <w:rFonts w:asciiTheme="minorHAnsi" w:hAnsiTheme="minorHAnsi"/>
                <w:sz w:val="22"/>
              </w:rPr>
            </w:pPr>
            <w:r w:rsidRPr="00546BC9">
              <w:rPr>
                <w:rFonts w:asciiTheme="minorHAnsi" w:hAnsiTheme="minorHAnsi"/>
                <w:sz w:val="22"/>
              </w:rPr>
              <w:t xml:space="preserve">Wyższa Szkoła Menedżerska </w:t>
            </w:r>
          </w:p>
        </w:tc>
        <w:tc>
          <w:tcPr>
            <w:tcW w:w="0" w:type="auto"/>
            <w:hideMark/>
          </w:tcPr>
          <w:p w:rsidR="00DB0721" w:rsidRPr="00546BC9" w:rsidRDefault="0077095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46BC9">
              <w:rPr>
                <w:rFonts w:asciiTheme="minorHAnsi" w:hAnsiTheme="minorHAnsi"/>
                <w:sz w:val="22"/>
              </w:rPr>
              <w:t xml:space="preserve">Pedagogika, Zarządzanie, Prawo, Socjologia, Informatyka, Matematyka, Architektura i urbanistyka, Filologie Obce (angielska, niemiecka) </w:t>
            </w:r>
          </w:p>
        </w:tc>
      </w:tr>
      <w:tr w:rsidR="00770950" w:rsidRPr="00546BC9" w:rsidTr="002C09B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hideMark/>
          </w:tcPr>
          <w:p w:rsidR="00DB0721" w:rsidRPr="00546BC9" w:rsidRDefault="00E12E12" w:rsidP="00FD7676">
            <w:pPr>
              <w:rPr>
                <w:rFonts w:asciiTheme="minorHAnsi" w:hAnsiTheme="minorHAnsi"/>
                <w:sz w:val="22"/>
              </w:rPr>
            </w:pPr>
            <w:r>
              <w:rPr>
                <w:rFonts w:asciiTheme="minorHAnsi" w:hAnsiTheme="minorHAnsi"/>
                <w:sz w:val="22"/>
              </w:rPr>
              <w:t>Politechnika Wrocławska, Zamiejscowy Ośrodek Dydaktyczny w Legnicy</w:t>
            </w:r>
          </w:p>
        </w:tc>
        <w:tc>
          <w:tcPr>
            <w:tcW w:w="0" w:type="auto"/>
            <w:hideMark/>
          </w:tcPr>
          <w:p w:rsidR="00DB0721" w:rsidRPr="00546BC9" w:rsidRDefault="0077095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46BC9">
              <w:rPr>
                <w:rFonts w:asciiTheme="minorHAnsi" w:hAnsiTheme="minorHAnsi"/>
                <w:sz w:val="22"/>
              </w:rPr>
              <w:t xml:space="preserve">Budownictwo,  Elektrotechnika, Górnictwo i geologia, Mechanika i budowa maszyn </w:t>
            </w:r>
          </w:p>
        </w:tc>
      </w:tr>
    </w:tbl>
    <w:p w:rsidR="00770950" w:rsidRPr="002E2D3F" w:rsidRDefault="00EB06A5" w:rsidP="00FD7676">
      <w:pPr>
        <w:rPr>
          <w:rFonts w:asciiTheme="minorHAnsi" w:hAnsiTheme="minorHAnsi"/>
          <w:sz w:val="20"/>
        </w:rPr>
      </w:pPr>
      <w:r w:rsidRPr="002E2D3F">
        <w:rPr>
          <w:rFonts w:asciiTheme="minorHAnsi" w:hAnsiTheme="minorHAnsi"/>
          <w:sz w:val="20"/>
        </w:rPr>
        <w:t>Źródło: Opracowanie własne.</w:t>
      </w:r>
    </w:p>
    <w:p w:rsidR="00EB06A5" w:rsidRPr="00563EF2" w:rsidRDefault="00EB06A5" w:rsidP="00FD7676">
      <w:pPr>
        <w:rPr>
          <w:rFonts w:asciiTheme="minorHAnsi" w:hAnsiTheme="minorHAnsi"/>
          <w:sz w:val="22"/>
        </w:rPr>
      </w:pPr>
    </w:p>
    <w:p w:rsidR="00EE2A8A" w:rsidRPr="00563EF2" w:rsidRDefault="00EE2A8A" w:rsidP="00FD7676">
      <w:pPr>
        <w:rPr>
          <w:rFonts w:asciiTheme="minorHAnsi" w:hAnsiTheme="minorHAnsi"/>
          <w:sz w:val="22"/>
        </w:rPr>
      </w:pPr>
      <w:r w:rsidRPr="00563EF2">
        <w:rPr>
          <w:rFonts w:asciiTheme="minorHAnsi" w:hAnsiTheme="minorHAnsi"/>
          <w:sz w:val="22"/>
        </w:rPr>
        <w:t>Ponadto na terenie Legnicy funkcjonują takie uczelnie wyższe jak: Wyższa Szkoła Medyczna</w:t>
      </w:r>
      <w:r w:rsidR="00743DBA" w:rsidRPr="00563EF2">
        <w:rPr>
          <w:rFonts w:asciiTheme="minorHAnsi" w:hAnsiTheme="minorHAnsi"/>
          <w:sz w:val="22"/>
        </w:rPr>
        <w:t xml:space="preserve"> </w:t>
      </w:r>
      <w:r w:rsidR="001C3E6B" w:rsidRPr="00563EF2">
        <w:rPr>
          <w:rFonts w:asciiTheme="minorHAnsi" w:hAnsiTheme="minorHAnsi"/>
          <w:sz w:val="22"/>
        </w:rPr>
        <w:t>w Legnicy</w:t>
      </w:r>
      <w:r w:rsidRPr="00563EF2">
        <w:rPr>
          <w:rFonts w:asciiTheme="minorHAnsi" w:hAnsiTheme="minorHAnsi"/>
          <w:sz w:val="22"/>
        </w:rPr>
        <w:t>, Wyższe Seminarium Duchowne, Wyższa Szkoła Menedżerska,</w:t>
      </w:r>
      <w:r w:rsidR="00E12E12">
        <w:rPr>
          <w:rFonts w:asciiTheme="minorHAnsi" w:hAnsiTheme="minorHAnsi"/>
          <w:sz w:val="22"/>
        </w:rPr>
        <w:t xml:space="preserve"> oraz</w:t>
      </w:r>
      <w:r w:rsidRPr="00563EF2">
        <w:rPr>
          <w:rFonts w:asciiTheme="minorHAnsi" w:hAnsiTheme="minorHAnsi"/>
          <w:sz w:val="22"/>
        </w:rPr>
        <w:t xml:space="preserve"> </w:t>
      </w:r>
      <w:r w:rsidR="00E12E12">
        <w:rPr>
          <w:rFonts w:asciiTheme="minorHAnsi" w:hAnsiTheme="minorHAnsi"/>
          <w:sz w:val="22"/>
        </w:rPr>
        <w:t>Politechnika Wrocławska – Zamiejscowy Ośrodek Dydaktyczny w Legnicy</w:t>
      </w:r>
      <w:r w:rsidR="00A64F6E" w:rsidRPr="00563EF2">
        <w:rPr>
          <w:rFonts w:asciiTheme="minorHAnsi" w:hAnsiTheme="minorHAnsi"/>
          <w:sz w:val="22"/>
        </w:rPr>
        <w:t>.</w:t>
      </w:r>
    </w:p>
    <w:p w:rsidR="00F73F9C" w:rsidRPr="00563EF2" w:rsidRDefault="00F73F9C" w:rsidP="00FD7676">
      <w:pPr>
        <w:rPr>
          <w:rFonts w:asciiTheme="minorHAnsi" w:hAnsiTheme="minorHAnsi"/>
          <w:sz w:val="22"/>
        </w:rPr>
      </w:pPr>
    </w:p>
    <w:p w:rsidR="00B422E4" w:rsidRDefault="003F35A7" w:rsidP="00FD7676">
      <w:pPr>
        <w:rPr>
          <w:rFonts w:asciiTheme="minorHAnsi" w:hAnsiTheme="minorHAnsi"/>
          <w:sz w:val="22"/>
        </w:rPr>
      </w:pPr>
      <w:r w:rsidRPr="00563EF2">
        <w:rPr>
          <w:rFonts w:asciiTheme="minorHAnsi" w:hAnsiTheme="minorHAnsi"/>
          <w:sz w:val="22"/>
        </w:rPr>
        <w:t>Warto</w:t>
      </w:r>
      <w:r w:rsidR="0033475A">
        <w:rPr>
          <w:rFonts w:asciiTheme="minorHAnsi" w:hAnsiTheme="minorHAnsi"/>
          <w:sz w:val="22"/>
        </w:rPr>
        <w:t xml:space="preserve"> nadmienić, iż w Legnicy prężnie</w:t>
      </w:r>
      <w:r w:rsidRPr="00563EF2">
        <w:rPr>
          <w:rFonts w:asciiTheme="minorHAnsi" w:hAnsiTheme="minorHAnsi"/>
          <w:sz w:val="22"/>
        </w:rPr>
        <w:t xml:space="preserve"> działa</w:t>
      </w:r>
      <w:r w:rsidR="002550F1" w:rsidRPr="00563EF2">
        <w:rPr>
          <w:rFonts w:asciiTheme="minorHAnsi" w:hAnsiTheme="minorHAnsi"/>
          <w:sz w:val="22"/>
        </w:rPr>
        <w:t>ją tzw. u</w:t>
      </w:r>
      <w:r w:rsidRPr="00563EF2">
        <w:rPr>
          <w:rFonts w:asciiTheme="minorHAnsi" w:hAnsiTheme="minorHAnsi"/>
          <w:sz w:val="22"/>
        </w:rPr>
        <w:t>niwersytet</w:t>
      </w:r>
      <w:r w:rsidR="002550F1" w:rsidRPr="00563EF2">
        <w:rPr>
          <w:rFonts w:asciiTheme="minorHAnsi" w:hAnsiTheme="minorHAnsi"/>
          <w:sz w:val="22"/>
        </w:rPr>
        <w:t>y  trzeciego wieku aktywizujące</w:t>
      </w:r>
      <w:r w:rsidRPr="00563EF2">
        <w:rPr>
          <w:rFonts w:asciiTheme="minorHAnsi" w:hAnsiTheme="minorHAnsi"/>
          <w:sz w:val="22"/>
        </w:rPr>
        <w:t xml:space="preserve"> osoby starsze</w:t>
      </w:r>
      <w:r w:rsidR="002550F1" w:rsidRPr="00563EF2">
        <w:rPr>
          <w:rFonts w:asciiTheme="minorHAnsi" w:hAnsiTheme="minorHAnsi"/>
          <w:sz w:val="22"/>
        </w:rPr>
        <w:t xml:space="preserve"> i oferujące im udział w prelekcjach, warsztatach, wykładach i debatach</w:t>
      </w:r>
      <w:r w:rsidRPr="00563EF2">
        <w:rPr>
          <w:rFonts w:asciiTheme="minorHAnsi" w:hAnsiTheme="minorHAnsi"/>
          <w:sz w:val="22"/>
        </w:rPr>
        <w:t>.</w:t>
      </w:r>
      <w:r w:rsidR="002550F1" w:rsidRPr="00563EF2">
        <w:rPr>
          <w:rFonts w:asciiTheme="minorHAnsi" w:hAnsiTheme="minorHAnsi"/>
          <w:sz w:val="22"/>
        </w:rPr>
        <w:t xml:space="preserve"> Wymienić można  chociażby Uniwersytet Trzeciego Wieku przy PWSZ im. Witelona,</w:t>
      </w:r>
      <w:r w:rsidR="0033475A">
        <w:rPr>
          <w:rFonts w:asciiTheme="minorHAnsi" w:hAnsiTheme="minorHAnsi"/>
          <w:sz w:val="22"/>
        </w:rPr>
        <w:t xml:space="preserve">  Uniwersytet Trzeciego Wieku i </w:t>
      </w:r>
      <w:r w:rsidR="002550F1" w:rsidRPr="00563EF2">
        <w:rPr>
          <w:rFonts w:asciiTheme="minorHAnsi" w:hAnsiTheme="minorHAnsi"/>
          <w:sz w:val="22"/>
        </w:rPr>
        <w:t>Studium Biblijne Archidiecezji Legnickiej, czy Legnicki Uniwersyte</w:t>
      </w:r>
      <w:r w:rsidR="0033475A">
        <w:rPr>
          <w:rFonts w:asciiTheme="minorHAnsi" w:hAnsiTheme="minorHAnsi"/>
          <w:sz w:val="22"/>
        </w:rPr>
        <w:t>t Trzeciego Wieku, działający w </w:t>
      </w:r>
      <w:r w:rsidR="002550F1" w:rsidRPr="00563EF2">
        <w:rPr>
          <w:rFonts w:asciiTheme="minorHAnsi" w:hAnsiTheme="minorHAnsi"/>
          <w:sz w:val="22"/>
        </w:rPr>
        <w:t xml:space="preserve">Zespole Szkół Centrum Kształcenia Ustawicznego. Są to cenne inicjatywy zapobiegające wykluczeniu </w:t>
      </w:r>
      <w:r w:rsidR="001C3E6B" w:rsidRPr="00563EF2">
        <w:rPr>
          <w:rFonts w:asciiTheme="minorHAnsi" w:hAnsiTheme="minorHAnsi"/>
          <w:sz w:val="22"/>
        </w:rPr>
        <w:t>cyfrowemu</w:t>
      </w:r>
      <w:r w:rsidR="002550F1" w:rsidRPr="00563EF2">
        <w:rPr>
          <w:rFonts w:asciiTheme="minorHAnsi" w:hAnsiTheme="minorHAnsi"/>
          <w:sz w:val="22"/>
        </w:rPr>
        <w:t xml:space="preserve"> osób starszych, a także dające im możliwość dalszego rozwoju i poszerzania horyzontów. </w:t>
      </w:r>
    </w:p>
    <w:p w:rsidR="008B3862" w:rsidRPr="00563EF2" w:rsidRDefault="008B3862" w:rsidP="00FD7676">
      <w:pPr>
        <w:rPr>
          <w:rFonts w:asciiTheme="minorHAnsi" w:hAnsiTheme="minorHAnsi"/>
          <w:sz w:val="22"/>
        </w:rPr>
      </w:pPr>
    </w:p>
    <w:p w:rsidR="009E4B50" w:rsidRPr="00563EF2" w:rsidRDefault="009E4B50" w:rsidP="00EC5484">
      <w:pPr>
        <w:pStyle w:val="Nagwek3"/>
      </w:pPr>
      <w:bookmarkStart w:id="25" w:name="_Toc399756312"/>
      <w:r w:rsidRPr="00563EF2">
        <w:t>Opieka zdrowotna</w:t>
      </w:r>
      <w:bookmarkEnd w:id="25"/>
    </w:p>
    <w:p w:rsidR="00EB5444" w:rsidRPr="00563EF2" w:rsidRDefault="00E24DE6" w:rsidP="00FD7676">
      <w:pPr>
        <w:pStyle w:val="NormalnyWeb"/>
        <w:spacing w:after="0" w:line="276" w:lineRule="auto"/>
        <w:jc w:val="both"/>
        <w:rPr>
          <w:rFonts w:asciiTheme="minorHAnsi" w:hAnsiTheme="minorHAnsi"/>
          <w:sz w:val="22"/>
          <w:szCs w:val="22"/>
        </w:rPr>
      </w:pPr>
      <w:r w:rsidRPr="00563EF2">
        <w:rPr>
          <w:rFonts w:asciiTheme="minorHAnsi" w:hAnsiTheme="minorHAnsi"/>
          <w:sz w:val="22"/>
          <w:szCs w:val="22"/>
        </w:rPr>
        <w:t>Po przeprowadzonej w 2001 roku restrukturyzacji służby zdrowia na terenie miasta funkcjonuj</w:t>
      </w:r>
      <w:r w:rsidR="00EB5444" w:rsidRPr="00563EF2">
        <w:rPr>
          <w:rFonts w:asciiTheme="minorHAnsi" w:hAnsiTheme="minorHAnsi"/>
          <w:sz w:val="22"/>
          <w:szCs w:val="22"/>
        </w:rPr>
        <w:t xml:space="preserve">ą publiczne i niepubliczne </w:t>
      </w:r>
      <w:r w:rsidR="00BA13AE">
        <w:rPr>
          <w:rFonts w:asciiTheme="minorHAnsi" w:hAnsiTheme="minorHAnsi"/>
          <w:sz w:val="22"/>
          <w:szCs w:val="22"/>
        </w:rPr>
        <w:t>podmioty lecznicze</w:t>
      </w:r>
      <w:r w:rsidRPr="00563EF2">
        <w:rPr>
          <w:rFonts w:asciiTheme="minorHAnsi" w:hAnsiTheme="minorHAnsi"/>
          <w:sz w:val="22"/>
          <w:szCs w:val="22"/>
        </w:rPr>
        <w:t xml:space="preserve"> oraz liczne specj</w:t>
      </w:r>
      <w:r w:rsidR="0033475A">
        <w:rPr>
          <w:rFonts w:asciiTheme="minorHAnsi" w:hAnsiTheme="minorHAnsi"/>
          <w:sz w:val="22"/>
          <w:szCs w:val="22"/>
        </w:rPr>
        <w:t>alistyczne gabinety lekarskie i </w:t>
      </w:r>
      <w:r w:rsidRPr="00563EF2">
        <w:rPr>
          <w:rFonts w:asciiTheme="minorHAnsi" w:hAnsiTheme="minorHAnsi"/>
          <w:sz w:val="22"/>
          <w:szCs w:val="22"/>
        </w:rPr>
        <w:t>pielęgniarskie.</w:t>
      </w:r>
    </w:p>
    <w:p w:rsidR="00A5203F" w:rsidRPr="00563EF2" w:rsidRDefault="00A5203F" w:rsidP="00FD7676">
      <w:pPr>
        <w:pStyle w:val="NormalnyWeb"/>
        <w:spacing w:after="0" w:line="276" w:lineRule="auto"/>
        <w:jc w:val="both"/>
        <w:rPr>
          <w:rFonts w:asciiTheme="minorHAnsi" w:hAnsiTheme="minorHAnsi"/>
          <w:sz w:val="22"/>
          <w:szCs w:val="22"/>
        </w:rPr>
      </w:pPr>
      <w:r w:rsidRPr="00563EF2">
        <w:rPr>
          <w:rFonts w:asciiTheme="minorHAnsi" w:hAnsiTheme="minorHAnsi"/>
          <w:sz w:val="22"/>
          <w:szCs w:val="22"/>
        </w:rPr>
        <w:t>Najważniejszym obiektem opieki zdrowotnej</w:t>
      </w:r>
      <w:r w:rsidR="00442F34" w:rsidRPr="00563EF2">
        <w:rPr>
          <w:rFonts w:asciiTheme="minorHAnsi" w:hAnsiTheme="minorHAnsi"/>
          <w:sz w:val="22"/>
          <w:szCs w:val="22"/>
        </w:rPr>
        <w:t xml:space="preserve"> w Legnicy</w:t>
      </w:r>
      <w:r w:rsidRPr="00563EF2">
        <w:rPr>
          <w:rFonts w:asciiTheme="minorHAnsi" w:hAnsiTheme="minorHAnsi"/>
          <w:sz w:val="22"/>
          <w:szCs w:val="22"/>
        </w:rPr>
        <w:t xml:space="preserve"> jest Wojewódzki Szpital</w:t>
      </w:r>
      <w:r w:rsidR="00442F34" w:rsidRPr="00563EF2">
        <w:rPr>
          <w:rFonts w:asciiTheme="minorHAnsi" w:hAnsiTheme="minorHAnsi"/>
          <w:sz w:val="22"/>
          <w:szCs w:val="22"/>
        </w:rPr>
        <w:t xml:space="preserve"> Specjali</w:t>
      </w:r>
      <w:r w:rsidR="008A3218" w:rsidRPr="00563EF2">
        <w:rPr>
          <w:rFonts w:asciiTheme="minorHAnsi" w:hAnsiTheme="minorHAnsi"/>
          <w:sz w:val="22"/>
          <w:szCs w:val="22"/>
        </w:rPr>
        <w:t>s</w:t>
      </w:r>
      <w:r w:rsidR="00442F34" w:rsidRPr="00563EF2">
        <w:rPr>
          <w:rFonts w:asciiTheme="minorHAnsi" w:hAnsiTheme="minorHAnsi"/>
          <w:sz w:val="22"/>
          <w:szCs w:val="22"/>
        </w:rPr>
        <w:t>tyczny</w:t>
      </w:r>
      <w:r w:rsidR="00DA0D7E" w:rsidRPr="00563EF2">
        <w:rPr>
          <w:rFonts w:asciiTheme="minorHAnsi" w:hAnsiTheme="minorHAnsi"/>
          <w:sz w:val="22"/>
          <w:szCs w:val="22"/>
        </w:rPr>
        <w:t>, dysponujący szeroką wyspecjalizowaną kadrą,</w:t>
      </w:r>
      <w:r w:rsidR="008A3218" w:rsidRPr="00563EF2">
        <w:rPr>
          <w:rFonts w:asciiTheme="minorHAnsi" w:hAnsiTheme="minorHAnsi"/>
          <w:sz w:val="22"/>
          <w:szCs w:val="22"/>
        </w:rPr>
        <w:t xml:space="preserve"> oferujący swe usługi w ramac</w:t>
      </w:r>
      <w:r w:rsidR="00EB5444" w:rsidRPr="00563EF2">
        <w:rPr>
          <w:rFonts w:asciiTheme="minorHAnsi" w:hAnsiTheme="minorHAnsi"/>
          <w:sz w:val="22"/>
          <w:szCs w:val="22"/>
        </w:rPr>
        <w:t xml:space="preserve">h 23 </w:t>
      </w:r>
      <w:r w:rsidR="008A3218" w:rsidRPr="00563EF2">
        <w:rPr>
          <w:rFonts w:asciiTheme="minorHAnsi" w:hAnsiTheme="minorHAnsi"/>
          <w:sz w:val="22"/>
          <w:szCs w:val="22"/>
        </w:rPr>
        <w:t>poradni specjalistycznych</w:t>
      </w:r>
      <w:r w:rsidR="00EB5444" w:rsidRPr="00563EF2">
        <w:rPr>
          <w:rFonts w:asciiTheme="minorHAnsi" w:hAnsiTheme="minorHAnsi"/>
          <w:sz w:val="22"/>
          <w:szCs w:val="22"/>
        </w:rPr>
        <w:t xml:space="preserve"> oraz opiekę stacjonarną na 24 oddziałach</w:t>
      </w:r>
      <w:r w:rsidR="00EB5444" w:rsidRPr="00563EF2">
        <w:rPr>
          <w:rStyle w:val="Odwoanieprzypisudolnego"/>
          <w:rFonts w:asciiTheme="minorHAnsi" w:hAnsiTheme="minorHAnsi"/>
          <w:sz w:val="22"/>
          <w:szCs w:val="22"/>
        </w:rPr>
        <w:footnoteReference w:id="7"/>
      </w:r>
      <w:r w:rsidR="00EB5444" w:rsidRPr="00563EF2">
        <w:rPr>
          <w:rFonts w:asciiTheme="minorHAnsi" w:hAnsiTheme="minorHAnsi"/>
          <w:sz w:val="22"/>
          <w:szCs w:val="22"/>
        </w:rPr>
        <w:t xml:space="preserve">.  </w:t>
      </w:r>
      <w:r w:rsidR="00124F61" w:rsidRPr="00563EF2">
        <w:rPr>
          <w:rFonts w:asciiTheme="minorHAnsi" w:hAnsiTheme="minorHAnsi"/>
          <w:sz w:val="22"/>
          <w:szCs w:val="22"/>
        </w:rPr>
        <w:t xml:space="preserve">Szpital jest  także największym pracodawcą w regionie, </w:t>
      </w:r>
      <w:r w:rsidR="001473B0" w:rsidRPr="00563EF2">
        <w:rPr>
          <w:rFonts w:asciiTheme="minorHAnsi" w:hAnsiTheme="minorHAnsi"/>
          <w:sz w:val="22"/>
          <w:szCs w:val="22"/>
        </w:rPr>
        <w:t>w 2012 r. zatrudniał 1 219</w:t>
      </w:r>
      <w:r w:rsidR="00124F61" w:rsidRPr="00563EF2">
        <w:rPr>
          <w:rFonts w:asciiTheme="minorHAnsi" w:hAnsiTheme="minorHAnsi"/>
          <w:sz w:val="22"/>
          <w:szCs w:val="22"/>
        </w:rPr>
        <w:t xml:space="preserve"> pracowników</w:t>
      </w:r>
      <w:r w:rsidR="0080381C" w:rsidRPr="00563EF2">
        <w:rPr>
          <w:rStyle w:val="Odwoanieprzypisudolnego"/>
          <w:rFonts w:asciiTheme="minorHAnsi" w:hAnsiTheme="minorHAnsi"/>
          <w:sz w:val="22"/>
          <w:szCs w:val="22"/>
        </w:rPr>
        <w:footnoteReference w:id="8"/>
      </w:r>
      <w:r w:rsidR="00124F61" w:rsidRPr="00563EF2">
        <w:rPr>
          <w:rFonts w:asciiTheme="minorHAnsi" w:hAnsiTheme="minorHAnsi"/>
          <w:sz w:val="22"/>
          <w:szCs w:val="22"/>
        </w:rPr>
        <w:t>.</w:t>
      </w:r>
      <w:r w:rsidR="00F9286F" w:rsidRPr="00563EF2">
        <w:rPr>
          <w:rFonts w:asciiTheme="minorHAnsi" w:hAnsiTheme="minorHAnsi"/>
          <w:sz w:val="22"/>
          <w:szCs w:val="22"/>
        </w:rPr>
        <w:t xml:space="preserve"> </w:t>
      </w:r>
      <w:r w:rsidR="00EB5444" w:rsidRPr="00563EF2">
        <w:rPr>
          <w:rFonts w:asciiTheme="minorHAnsi" w:hAnsiTheme="minorHAnsi"/>
          <w:sz w:val="22"/>
          <w:szCs w:val="22"/>
        </w:rPr>
        <w:t>W</w:t>
      </w:r>
      <w:r w:rsidR="008A3218" w:rsidRPr="00563EF2">
        <w:rPr>
          <w:rFonts w:asciiTheme="minorHAnsi" w:hAnsiTheme="minorHAnsi"/>
          <w:sz w:val="22"/>
          <w:szCs w:val="22"/>
        </w:rPr>
        <w:t xml:space="preserve"> 2012 r.</w:t>
      </w:r>
      <w:r w:rsidR="003F35A7" w:rsidRPr="00563EF2">
        <w:rPr>
          <w:rFonts w:asciiTheme="minorHAnsi" w:hAnsiTheme="minorHAnsi"/>
          <w:sz w:val="22"/>
          <w:szCs w:val="22"/>
        </w:rPr>
        <w:t xml:space="preserve"> szpital</w:t>
      </w:r>
      <w:r w:rsidR="008A3218" w:rsidRPr="00563EF2">
        <w:rPr>
          <w:rFonts w:asciiTheme="minorHAnsi" w:hAnsiTheme="minorHAnsi"/>
          <w:sz w:val="22"/>
          <w:szCs w:val="22"/>
        </w:rPr>
        <w:t xml:space="preserve"> dysponował 625 łóżkami. Liczba miejsc w szpitalu spadła w ostatnich latach</w:t>
      </w:r>
      <w:r w:rsidR="00055E50" w:rsidRPr="00563EF2">
        <w:rPr>
          <w:rFonts w:asciiTheme="minorHAnsi" w:hAnsiTheme="minorHAnsi"/>
          <w:sz w:val="22"/>
          <w:szCs w:val="22"/>
        </w:rPr>
        <w:t>,</w:t>
      </w:r>
      <w:r w:rsidR="008A3218" w:rsidRPr="00563EF2">
        <w:rPr>
          <w:rFonts w:asciiTheme="minorHAnsi" w:hAnsiTheme="minorHAnsi"/>
          <w:sz w:val="22"/>
          <w:szCs w:val="22"/>
        </w:rPr>
        <w:t xml:space="preserve"> w 2009 r. na 10 tys. mieszkańców przypadały 62 łóżka szpitalne, natomiast w 2012 r. o jedno mniej, czyli 61 łóżek.</w:t>
      </w:r>
      <w:r w:rsidR="00E24DE6" w:rsidRPr="00563EF2">
        <w:rPr>
          <w:rFonts w:asciiTheme="minorHAnsi" w:hAnsiTheme="minorHAnsi"/>
          <w:sz w:val="22"/>
          <w:szCs w:val="22"/>
        </w:rPr>
        <w:t xml:space="preserve"> Trend ten jest niekorzystny biorąc pod uwagę rosnące zapotrzebowanie na opiekę zdrowotną związane z procesem zmian struktury demograficznej społeczeństwa oraz rolę szpitala, jako ważnego ośrodka opieki ambulatoryjnej w regionie.</w:t>
      </w:r>
    </w:p>
    <w:p w:rsidR="008B3862" w:rsidRDefault="008B3862" w:rsidP="00FD7676">
      <w:pPr>
        <w:rPr>
          <w:rFonts w:asciiTheme="minorHAnsi" w:hAnsiTheme="minorHAnsi"/>
          <w:sz w:val="22"/>
        </w:rPr>
      </w:pPr>
      <w:r>
        <w:rPr>
          <w:rFonts w:asciiTheme="minorHAnsi" w:hAnsiTheme="minorHAnsi"/>
          <w:sz w:val="22"/>
        </w:rPr>
        <w:br w:type="page"/>
      </w:r>
    </w:p>
    <w:p w:rsidR="008A3218" w:rsidRPr="007F6382" w:rsidRDefault="008A3218"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997C36"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13</w:t>
      </w:r>
      <w:r w:rsidR="00017794" w:rsidRPr="007F6382">
        <w:rPr>
          <w:rFonts w:asciiTheme="minorHAnsi" w:hAnsiTheme="minorHAnsi"/>
          <w:sz w:val="20"/>
          <w:szCs w:val="22"/>
        </w:rPr>
        <w:fldChar w:fldCharType="end"/>
      </w:r>
      <w:r w:rsidRPr="007F6382">
        <w:rPr>
          <w:rFonts w:asciiTheme="minorHAnsi" w:hAnsiTheme="minorHAnsi"/>
          <w:sz w:val="20"/>
          <w:szCs w:val="22"/>
        </w:rPr>
        <w:t>. Dane dotyczące opieki zdrowotnej w Legnicy.</w:t>
      </w:r>
    </w:p>
    <w:tbl>
      <w:tblPr>
        <w:tblStyle w:val="Jasnasiatkaakcent11"/>
        <w:tblW w:w="9082" w:type="dxa"/>
        <w:tblLook w:val="04A0" w:firstRow="1" w:lastRow="0" w:firstColumn="1" w:lastColumn="0" w:noHBand="0" w:noVBand="1"/>
      </w:tblPr>
      <w:tblGrid>
        <w:gridCol w:w="3674"/>
        <w:gridCol w:w="902"/>
        <w:gridCol w:w="902"/>
        <w:gridCol w:w="901"/>
        <w:gridCol w:w="901"/>
        <w:gridCol w:w="901"/>
        <w:gridCol w:w="901"/>
      </w:tblGrid>
      <w:tr w:rsidR="00A5203F" w:rsidRPr="00546BC9" w:rsidTr="00DE03A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 </w:t>
            </w:r>
          </w:p>
        </w:tc>
        <w:tc>
          <w:tcPr>
            <w:tcW w:w="902"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2007</w:t>
            </w:r>
          </w:p>
        </w:tc>
        <w:tc>
          <w:tcPr>
            <w:tcW w:w="902"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2008</w:t>
            </w:r>
          </w:p>
        </w:tc>
        <w:tc>
          <w:tcPr>
            <w:tcW w:w="901"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2009</w:t>
            </w:r>
          </w:p>
        </w:tc>
        <w:tc>
          <w:tcPr>
            <w:tcW w:w="901"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2010</w:t>
            </w:r>
          </w:p>
        </w:tc>
        <w:tc>
          <w:tcPr>
            <w:tcW w:w="901"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2011</w:t>
            </w:r>
          </w:p>
        </w:tc>
        <w:tc>
          <w:tcPr>
            <w:tcW w:w="901" w:type="dxa"/>
            <w:noWrap/>
            <w:hideMark/>
          </w:tcPr>
          <w:p w:rsidR="00A5203F" w:rsidRPr="00546BC9" w:rsidRDefault="00A5203F"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2012</w:t>
            </w:r>
          </w:p>
        </w:tc>
      </w:tr>
      <w:tr w:rsidR="00A5203F" w:rsidRPr="00546BC9" w:rsidTr="00DE0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BA13AE" w:rsidP="00FD7676">
            <w:pPr>
              <w:rPr>
                <w:rFonts w:asciiTheme="minorHAnsi" w:eastAsia="Times New Roman" w:hAnsiTheme="minorHAnsi" w:cs="Arial"/>
                <w:sz w:val="22"/>
              </w:rPr>
            </w:pPr>
            <w:r>
              <w:rPr>
                <w:rFonts w:asciiTheme="minorHAnsi" w:eastAsia="Times New Roman" w:hAnsiTheme="minorHAnsi" w:cs="Arial"/>
                <w:sz w:val="22"/>
              </w:rPr>
              <w:t>Podmioty lecznicze</w:t>
            </w:r>
            <w:r w:rsidR="00A5203F" w:rsidRPr="00546BC9">
              <w:rPr>
                <w:rFonts w:asciiTheme="minorHAnsi" w:eastAsia="Times New Roman" w:hAnsiTheme="minorHAnsi" w:cs="Arial"/>
                <w:sz w:val="22"/>
              </w:rPr>
              <w:t xml:space="preserve"> </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38</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41</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39</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38</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39</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42</w:t>
            </w:r>
          </w:p>
        </w:tc>
      </w:tr>
      <w:tr w:rsidR="00A5203F" w:rsidRPr="00546BC9" w:rsidTr="00DE03A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Praktyki lekarskie</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48</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47</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47</w:t>
            </w:r>
          </w:p>
        </w:tc>
      </w:tr>
      <w:tr w:rsidR="00A5203F" w:rsidRPr="00546BC9" w:rsidTr="00DE0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 xml:space="preserve">Podstawowa opieka zdrowotna </w:t>
            </w:r>
            <w:r w:rsidR="00055E50" w:rsidRPr="00546BC9">
              <w:rPr>
                <w:rFonts w:asciiTheme="minorHAnsi" w:eastAsia="Times New Roman" w:hAnsiTheme="minorHAnsi" w:cs="Arial"/>
                <w:sz w:val="22"/>
              </w:rPr>
              <w:t>–</w:t>
            </w:r>
            <w:r w:rsidRPr="00546BC9">
              <w:rPr>
                <w:rFonts w:asciiTheme="minorHAnsi" w:eastAsia="Times New Roman" w:hAnsiTheme="minorHAnsi" w:cs="Arial"/>
                <w:sz w:val="22"/>
              </w:rPr>
              <w:t xml:space="preserve"> porady</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417 565</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410 614</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392 165</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391 359</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400 819</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420 926</w:t>
            </w:r>
          </w:p>
        </w:tc>
      </w:tr>
      <w:tr w:rsidR="00A5203F" w:rsidRPr="00546BC9" w:rsidTr="00DE03A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Apteki</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44</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47</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49</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48</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49</w:t>
            </w:r>
          </w:p>
        </w:tc>
      </w:tr>
      <w:tr w:rsidR="00A5203F" w:rsidRPr="00546BC9" w:rsidTr="00DE0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Liczba ludności na 1 aptekę ogólnodostępną</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2381</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2223</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2126</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2248</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2145</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2090</w:t>
            </w:r>
          </w:p>
        </w:tc>
      </w:tr>
      <w:tr w:rsidR="00A5203F" w:rsidRPr="00546BC9" w:rsidTr="00DE03A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Szpital</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1</w:t>
            </w:r>
          </w:p>
        </w:tc>
      </w:tr>
      <w:tr w:rsidR="00A5203F" w:rsidRPr="00546BC9" w:rsidTr="00DE0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Ilość łóżek w szpitalach ogólnych</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 </w:t>
            </w:r>
            <w:r w:rsidR="00442F34" w:rsidRPr="00546BC9">
              <w:rPr>
                <w:rFonts w:asciiTheme="minorHAnsi" w:eastAsia="Times New Roman" w:hAnsiTheme="minorHAnsi" w:cs="Arial"/>
                <w:sz w:val="22"/>
              </w:rPr>
              <w:t>b.d.</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602</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647</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665</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653</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625</w:t>
            </w:r>
          </w:p>
        </w:tc>
      </w:tr>
      <w:tr w:rsidR="00A5203F" w:rsidRPr="00546BC9" w:rsidTr="00DE03A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Lekarze</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499</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434</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475</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490</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472</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b.d.</w:t>
            </w:r>
          </w:p>
        </w:tc>
      </w:tr>
      <w:tr w:rsidR="00A5203F" w:rsidRPr="00546BC9" w:rsidTr="00DE0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Lekarze dentyści</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65</w:t>
            </w:r>
          </w:p>
        </w:tc>
        <w:tc>
          <w:tcPr>
            <w:tcW w:w="902"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56</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8</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22</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40</w:t>
            </w:r>
          </w:p>
        </w:tc>
        <w:tc>
          <w:tcPr>
            <w:tcW w:w="901" w:type="dxa"/>
            <w:noWrap/>
            <w:hideMark/>
          </w:tcPr>
          <w:p w:rsidR="00A5203F" w:rsidRPr="00546BC9" w:rsidRDefault="00A5203F"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b.d.</w:t>
            </w:r>
          </w:p>
        </w:tc>
      </w:tr>
      <w:tr w:rsidR="00A5203F" w:rsidRPr="00546BC9" w:rsidTr="00DE03A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74" w:type="dxa"/>
            <w:noWrap/>
            <w:hideMark/>
          </w:tcPr>
          <w:p w:rsidR="00A5203F" w:rsidRPr="00546BC9" w:rsidRDefault="00A5203F" w:rsidP="00FD7676">
            <w:pPr>
              <w:rPr>
                <w:rFonts w:asciiTheme="minorHAnsi" w:eastAsia="Times New Roman" w:hAnsiTheme="minorHAnsi" w:cs="Arial"/>
                <w:sz w:val="22"/>
              </w:rPr>
            </w:pPr>
            <w:r w:rsidRPr="00546BC9">
              <w:rPr>
                <w:rFonts w:asciiTheme="minorHAnsi" w:eastAsia="Times New Roman" w:hAnsiTheme="minorHAnsi" w:cs="Arial"/>
                <w:sz w:val="22"/>
              </w:rPr>
              <w:t>Pielęgniarki i położne</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833</w:t>
            </w:r>
          </w:p>
        </w:tc>
        <w:tc>
          <w:tcPr>
            <w:tcW w:w="902"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876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790</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896</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894</w:t>
            </w:r>
          </w:p>
        </w:tc>
        <w:tc>
          <w:tcPr>
            <w:tcW w:w="901" w:type="dxa"/>
            <w:noWrap/>
            <w:hideMark/>
          </w:tcPr>
          <w:p w:rsidR="00A5203F" w:rsidRPr="00546BC9" w:rsidRDefault="00A5203F"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546BC9">
              <w:rPr>
                <w:rFonts w:asciiTheme="minorHAnsi" w:eastAsia="Times New Roman" w:hAnsiTheme="minorHAnsi" w:cs="Arial"/>
                <w:sz w:val="22"/>
              </w:rPr>
              <w:t>b.d.</w:t>
            </w:r>
          </w:p>
        </w:tc>
      </w:tr>
    </w:tbl>
    <w:p w:rsidR="008C5E13" w:rsidRPr="00563EF2" w:rsidRDefault="008A3218" w:rsidP="00FD7676">
      <w:pPr>
        <w:rPr>
          <w:rFonts w:asciiTheme="minorHAnsi" w:hAnsiTheme="minorHAnsi"/>
          <w:sz w:val="22"/>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xml:space="preserve"> GUS.</w:t>
      </w:r>
    </w:p>
    <w:p w:rsidR="008C5E13" w:rsidRPr="00563EF2" w:rsidRDefault="008C5E13" w:rsidP="00FD7676">
      <w:pPr>
        <w:rPr>
          <w:rFonts w:asciiTheme="minorHAnsi" w:hAnsiTheme="minorHAnsi"/>
          <w:sz w:val="22"/>
        </w:rPr>
      </w:pPr>
    </w:p>
    <w:p w:rsidR="008A3218" w:rsidRPr="00563EF2" w:rsidRDefault="008A3218" w:rsidP="00FD7676">
      <w:pPr>
        <w:rPr>
          <w:rFonts w:asciiTheme="minorHAnsi" w:hAnsiTheme="minorHAnsi"/>
          <w:sz w:val="22"/>
        </w:rPr>
      </w:pPr>
      <w:r w:rsidRPr="00563EF2">
        <w:rPr>
          <w:rFonts w:asciiTheme="minorHAnsi" w:hAnsiTheme="minorHAnsi"/>
          <w:sz w:val="22"/>
        </w:rPr>
        <w:t xml:space="preserve">Kadra medyczna </w:t>
      </w:r>
      <w:r w:rsidR="00E24DE6" w:rsidRPr="00563EF2">
        <w:rPr>
          <w:rFonts w:asciiTheme="minorHAnsi" w:hAnsiTheme="minorHAnsi"/>
          <w:sz w:val="22"/>
        </w:rPr>
        <w:t xml:space="preserve">pracująca na terenie Legnicy nie wykazywała wyraźnego trendu, jej liczba podlegała wahaniom w badanym okresie. </w:t>
      </w:r>
    </w:p>
    <w:p w:rsidR="00E24DE6" w:rsidRPr="00563EF2" w:rsidRDefault="00E24DE6" w:rsidP="00FD7676">
      <w:pPr>
        <w:rPr>
          <w:rFonts w:asciiTheme="minorHAnsi" w:hAnsiTheme="minorHAnsi"/>
          <w:sz w:val="22"/>
        </w:rPr>
      </w:pPr>
    </w:p>
    <w:p w:rsidR="00E24DE6" w:rsidRPr="00563EF2" w:rsidRDefault="00E24DE6" w:rsidP="00FD7676">
      <w:pPr>
        <w:rPr>
          <w:rFonts w:asciiTheme="minorHAnsi" w:hAnsiTheme="minorHAnsi"/>
          <w:sz w:val="22"/>
        </w:rPr>
      </w:pPr>
      <w:r w:rsidRPr="00563EF2">
        <w:rPr>
          <w:rFonts w:asciiTheme="minorHAnsi" w:hAnsiTheme="minorHAnsi"/>
          <w:sz w:val="22"/>
        </w:rPr>
        <w:t>Liczba</w:t>
      </w:r>
      <w:r w:rsidR="008C5E13" w:rsidRPr="00563EF2">
        <w:rPr>
          <w:rFonts w:asciiTheme="minorHAnsi" w:hAnsiTheme="minorHAnsi"/>
          <w:sz w:val="22"/>
        </w:rPr>
        <w:t xml:space="preserve"> </w:t>
      </w:r>
      <w:r w:rsidR="00BA13AE">
        <w:rPr>
          <w:rFonts w:asciiTheme="minorHAnsi" w:hAnsiTheme="minorHAnsi"/>
          <w:sz w:val="22"/>
        </w:rPr>
        <w:t>podmiotów leczniczych</w:t>
      </w:r>
      <w:r w:rsidR="008C5E13" w:rsidRPr="00563EF2">
        <w:rPr>
          <w:rFonts w:asciiTheme="minorHAnsi" w:hAnsiTheme="minorHAnsi"/>
          <w:sz w:val="22"/>
        </w:rPr>
        <w:t xml:space="preserve"> oraz</w:t>
      </w:r>
      <w:r w:rsidRPr="00563EF2">
        <w:rPr>
          <w:rFonts w:asciiTheme="minorHAnsi" w:hAnsiTheme="minorHAnsi"/>
          <w:sz w:val="22"/>
        </w:rPr>
        <w:t xml:space="preserve"> udzielonych porad podstawowej opieki zdrowotnej po okresie spadku do roku 2010 ponownie wzrosła i w 2012 r. wynosiła</w:t>
      </w:r>
      <w:r w:rsidR="008C5E13" w:rsidRPr="00563EF2">
        <w:rPr>
          <w:rFonts w:asciiTheme="minorHAnsi" w:hAnsiTheme="minorHAnsi"/>
          <w:sz w:val="22"/>
        </w:rPr>
        <w:t xml:space="preserve"> odpowiednio 42 obiekty ZOZ i</w:t>
      </w:r>
      <w:r w:rsidRPr="00563EF2">
        <w:rPr>
          <w:rFonts w:asciiTheme="minorHAnsi" w:hAnsiTheme="minorHAnsi"/>
          <w:sz w:val="22"/>
        </w:rPr>
        <w:t xml:space="preserve"> 420</w:t>
      </w:r>
      <w:r w:rsidR="008C5E13" w:rsidRPr="00563EF2">
        <w:rPr>
          <w:rFonts w:asciiTheme="minorHAnsi" w:hAnsiTheme="minorHAnsi"/>
          <w:sz w:val="22"/>
        </w:rPr>
        <w:t> </w:t>
      </w:r>
      <w:r w:rsidRPr="00563EF2">
        <w:rPr>
          <w:rFonts w:asciiTheme="minorHAnsi" w:hAnsiTheme="minorHAnsi"/>
          <w:sz w:val="22"/>
        </w:rPr>
        <w:t>926</w:t>
      </w:r>
      <w:r w:rsidR="008C5E13" w:rsidRPr="00563EF2">
        <w:rPr>
          <w:rFonts w:asciiTheme="minorHAnsi" w:hAnsiTheme="minorHAnsi"/>
          <w:sz w:val="22"/>
        </w:rPr>
        <w:t xml:space="preserve"> porad</w:t>
      </w:r>
      <w:r w:rsidRPr="00563EF2">
        <w:rPr>
          <w:rFonts w:asciiTheme="minorHAnsi" w:hAnsiTheme="minorHAnsi"/>
          <w:sz w:val="22"/>
        </w:rPr>
        <w:t xml:space="preserve">. </w:t>
      </w:r>
      <w:r w:rsidR="008C5E13" w:rsidRPr="00563EF2">
        <w:rPr>
          <w:rFonts w:asciiTheme="minorHAnsi" w:hAnsiTheme="minorHAnsi"/>
          <w:sz w:val="22"/>
        </w:rPr>
        <w:t>Rozwój sektora usług medycznych jest szczególnie ważny</w:t>
      </w:r>
      <w:r w:rsidR="00192EC9">
        <w:rPr>
          <w:rFonts w:asciiTheme="minorHAnsi" w:hAnsiTheme="minorHAnsi"/>
          <w:sz w:val="22"/>
        </w:rPr>
        <w:t>,</w:t>
      </w:r>
      <w:r w:rsidR="008C5E13" w:rsidRPr="00563EF2">
        <w:rPr>
          <w:rFonts w:asciiTheme="minorHAnsi" w:hAnsiTheme="minorHAnsi"/>
          <w:sz w:val="22"/>
        </w:rPr>
        <w:t xml:space="preserve"> biorąc pod uwagę zmiany demograficzne zachodzące w społeczeństwie, większą podatność na choroby cywilizacyjne oraz rolę Legnicy jako medycznego centrum regionu. </w:t>
      </w:r>
    </w:p>
    <w:p w:rsidR="00A66660" w:rsidRPr="00563EF2" w:rsidRDefault="00A66660" w:rsidP="00FD7676">
      <w:pPr>
        <w:rPr>
          <w:rFonts w:asciiTheme="minorHAnsi" w:hAnsiTheme="minorHAnsi"/>
          <w:sz w:val="22"/>
        </w:rPr>
      </w:pPr>
    </w:p>
    <w:p w:rsidR="009E4B50" w:rsidRPr="00563EF2" w:rsidRDefault="009E4B50" w:rsidP="00EC5484">
      <w:pPr>
        <w:pStyle w:val="Nagwek3"/>
      </w:pPr>
      <w:bookmarkStart w:id="26" w:name="_Toc399756313"/>
      <w:r w:rsidRPr="00563EF2">
        <w:t>Opieka społeczna</w:t>
      </w:r>
      <w:bookmarkEnd w:id="26"/>
    </w:p>
    <w:p w:rsidR="00AB1F64" w:rsidRPr="00563EF2" w:rsidRDefault="00AB1F64" w:rsidP="00FD7676">
      <w:pPr>
        <w:rPr>
          <w:rFonts w:asciiTheme="minorHAnsi" w:hAnsiTheme="minorHAnsi"/>
          <w:b/>
          <w:sz w:val="22"/>
        </w:rPr>
      </w:pPr>
    </w:p>
    <w:p w:rsidR="00AB1F64" w:rsidRPr="00563EF2" w:rsidRDefault="00AB1F64" w:rsidP="00FD7676">
      <w:pPr>
        <w:rPr>
          <w:rFonts w:asciiTheme="minorHAnsi" w:hAnsiTheme="minorHAnsi"/>
          <w:sz w:val="22"/>
        </w:rPr>
      </w:pPr>
      <w:r w:rsidRPr="00563EF2">
        <w:rPr>
          <w:rFonts w:asciiTheme="minorHAnsi" w:hAnsiTheme="minorHAnsi"/>
          <w:sz w:val="22"/>
        </w:rPr>
        <w:t>Główną instytucją realizującą politykę społeczną Miasta Legnicy jest Miejski Ośrodek Pomocy Społecznej.</w:t>
      </w:r>
      <w:r w:rsidR="009E22C0" w:rsidRPr="00563EF2">
        <w:rPr>
          <w:rFonts w:asciiTheme="minorHAnsi" w:hAnsiTheme="minorHAnsi"/>
          <w:sz w:val="22"/>
        </w:rPr>
        <w:t xml:space="preserve"> </w:t>
      </w:r>
      <w:r w:rsidR="007A5D23">
        <w:rPr>
          <w:rFonts w:asciiTheme="minorHAnsi" w:hAnsiTheme="minorHAnsi"/>
          <w:sz w:val="22"/>
        </w:rPr>
        <w:t>W jego strukturze funkcjonują</w:t>
      </w:r>
      <w:r w:rsidR="009E22C0" w:rsidRPr="00563EF2">
        <w:rPr>
          <w:rFonts w:asciiTheme="minorHAnsi" w:hAnsiTheme="minorHAnsi"/>
          <w:sz w:val="22"/>
        </w:rPr>
        <w:t>:</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Cztery żłobki miejskie,</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Noclegownia i P</w:t>
      </w:r>
      <w:r w:rsidR="007A5D23">
        <w:rPr>
          <w:rFonts w:asciiTheme="minorHAnsi" w:hAnsiTheme="minorHAnsi"/>
          <w:sz w:val="22"/>
        </w:rPr>
        <w:t xml:space="preserve">unkt Opieki </w:t>
      </w:r>
      <w:r w:rsidRPr="00563EF2">
        <w:rPr>
          <w:rFonts w:asciiTheme="minorHAnsi" w:hAnsiTheme="minorHAnsi"/>
          <w:sz w:val="22"/>
        </w:rPr>
        <w:t>n</w:t>
      </w:r>
      <w:r w:rsidR="007A5D23">
        <w:rPr>
          <w:rFonts w:asciiTheme="minorHAnsi" w:hAnsiTheme="minorHAnsi"/>
          <w:sz w:val="22"/>
        </w:rPr>
        <w:t xml:space="preserve">ad </w:t>
      </w:r>
      <w:r w:rsidRPr="00563EF2">
        <w:rPr>
          <w:rFonts w:asciiTheme="minorHAnsi" w:hAnsiTheme="minorHAnsi"/>
          <w:sz w:val="22"/>
        </w:rPr>
        <w:t>M</w:t>
      </w:r>
      <w:r w:rsidR="007A5D23">
        <w:rPr>
          <w:rFonts w:asciiTheme="minorHAnsi" w:hAnsiTheme="minorHAnsi"/>
          <w:sz w:val="22"/>
        </w:rPr>
        <w:t xml:space="preserve">atką </w:t>
      </w:r>
      <w:r w:rsidRPr="00563EF2">
        <w:rPr>
          <w:rFonts w:asciiTheme="minorHAnsi" w:hAnsiTheme="minorHAnsi"/>
          <w:sz w:val="22"/>
        </w:rPr>
        <w:t>i</w:t>
      </w:r>
      <w:r w:rsidR="007A5D23">
        <w:rPr>
          <w:rFonts w:asciiTheme="minorHAnsi" w:hAnsiTheme="minorHAnsi"/>
          <w:sz w:val="22"/>
        </w:rPr>
        <w:t xml:space="preserve"> </w:t>
      </w:r>
      <w:r w:rsidRPr="00563EF2">
        <w:rPr>
          <w:rFonts w:asciiTheme="minorHAnsi" w:hAnsiTheme="minorHAnsi"/>
          <w:sz w:val="22"/>
        </w:rPr>
        <w:t>Dz</w:t>
      </w:r>
      <w:r w:rsidR="007A5D23">
        <w:rPr>
          <w:rFonts w:asciiTheme="minorHAnsi" w:hAnsiTheme="minorHAnsi"/>
          <w:sz w:val="22"/>
        </w:rPr>
        <w:t>ieckiem</w:t>
      </w:r>
      <w:r w:rsidRPr="00563EF2">
        <w:rPr>
          <w:rFonts w:asciiTheme="minorHAnsi" w:hAnsiTheme="minorHAnsi"/>
          <w:sz w:val="22"/>
        </w:rPr>
        <w:t>,</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Dom Dziennego Pobytu,</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Dom Pomocy Społecznej dla Dorosłych,</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D</w:t>
      </w:r>
      <w:r w:rsidR="007A5D23">
        <w:rPr>
          <w:rFonts w:asciiTheme="minorHAnsi" w:hAnsiTheme="minorHAnsi"/>
          <w:sz w:val="22"/>
        </w:rPr>
        <w:t xml:space="preserve">om </w:t>
      </w:r>
      <w:r w:rsidRPr="00563EF2">
        <w:rPr>
          <w:rFonts w:asciiTheme="minorHAnsi" w:hAnsiTheme="minorHAnsi"/>
          <w:sz w:val="22"/>
        </w:rPr>
        <w:t>P</w:t>
      </w:r>
      <w:r w:rsidR="007A5D23">
        <w:rPr>
          <w:rFonts w:asciiTheme="minorHAnsi" w:hAnsiTheme="minorHAnsi"/>
          <w:sz w:val="22"/>
        </w:rPr>
        <w:t xml:space="preserve">omocy </w:t>
      </w:r>
      <w:r w:rsidRPr="00563EF2">
        <w:rPr>
          <w:rFonts w:asciiTheme="minorHAnsi" w:hAnsiTheme="minorHAnsi"/>
          <w:sz w:val="22"/>
        </w:rPr>
        <w:t>S</w:t>
      </w:r>
      <w:r w:rsidR="007A5D23">
        <w:rPr>
          <w:rFonts w:asciiTheme="minorHAnsi" w:hAnsiTheme="minorHAnsi"/>
          <w:sz w:val="22"/>
        </w:rPr>
        <w:t>połecznej</w:t>
      </w:r>
      <w:r w:rsidRPr="00563EF2">
        <w:rPr>
          <w:rFonts w:asciiTheme="minorHAnsi" w:hAnsiTheme="minorHAnsi"/>
          <w:sz w:val="22"/>
        </w:rPr>
        <w:t xml:space="preserve"> dla Dzieci,</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Ośrodek Pomocy Terapeutycznej dla Dzieci i Młodzieży,</w:t>
      </w:r>
    </w:p>
    <w:p w:rsidR="009E22C0" w:rsidRPr="00563EF2" w:rsidRDefault="007A5D23" w:rsidP="00FD7676">
      <w:pPr>
        <w:pStyle w:val="Akapitzlist"/>
        <w:numPr>
          <w:ilvl w:val="0"/>
          <w:numId w:val="16"/>
        </w:numPr>
        <w:rPr>
          <w:rFonts w:asciiTheme="minorHAnsi" w:hAnsiTheme="minorHAnsi"/>
          <w:sz w:val="22"/>
        </w:rPr>
      </w:pPr>
      <w:r>
        <w:rPr>
          <w:rFonts w:asciiTheme="minorHAnsi" w:hAnsiTheme="minorHAnsi"/>
          <w:sz w:val="22"/>
        </w:rPr>
        <w:t>Ośrodek Interw</w:t>
      </w:r>
      <w:r w:rsidR="009E22C0" w:rsidRPr="00563EF2">
        <w:rPr>
          <w:rFonts w:asciiTheme="minorHAnsi" w:hAnsiTheme="minorHAnsi"/>
          <w:sz w:val="22"/>
        </w:rPr>
        <w:t>e</w:t>
      </w:r>
      <w:r>
        <w:rPr>
          <w:rFonts w:asciiTheme="minorHAnsi" w:hAnsiTheme="minorHAnsi"/>
          <w:sz w:val="22"/>
        </w:rPr>
        <w:t>n</w:t>
      </w:r>
      <w:r w:rsidR="009E22C0" w:rsidRPr="00563EF2">
        <w:rPr>
          <w:rFonts w:asciiTheme="minorHAnsi" w:hAnsiTheme="minorHAnsi"/>
          <w:sz w:val="22"/>
        </w:rPr>
        <w:t>cji Kryzysowej,</w:t>
      </w:r>
    </w:p>
    <w:p w:rsidR="009E22C0" w:rsidRPr="00563EF2" w:rsidRDefault="009E22C0" w:rsidP="00FD7676">
      <w:pPr>
        <w:pStyle w:val="Akapitzlist"/>
        <w:numPr>
          <w:ilvl w:val="0"/>
          <w:numId w:val="16"/>
        </w:numPr>
        <w:rPr>
          <w:rFonts w:asciiTheme="minorHAnsi" w:hAnsiTheme="minorHAnsi"/>
          <w:sz w:val="22"/>
        </w:rPr>
      </w:pPr>
      <w:r w:rsidRPr="00563EF2">
        <w:rPr>
          <w:rFonts w:asciiTheme="minorHAnsi" w:hAnsiTheme="minorHAnsi"/>
          <w:sz w:val="22"/>
        </w:rPr>
        <w:t>Rodzinny Dom Dziecka.</w:t>
      </w:r>
    </w:p>
    <w:p w:rsidR="008B3862" w:rsidRDefault="008B3862" w:rsidP="00FD7676">
      <w:pPr>
        <w:rPr>
          <w:rFonts w:asciiTheme="minorHAnsi" w:hAnsiTheme="minorHAnsi"/>
          <w:sz w:val="22"/>
        </w:rPr>
      </w:pPr>
    </w:p>
    <w:p w:rsidR="00AB1F64" w:rsidRPr="00563EF2" w:rsidRDefault="002C3E0A" w:rsidP="00FD7676">
      <w:pPr>
        <w:rPr>
          <w:rFonts w:asciiTheme="minorHAnsi" w:hAnsiTheme="minorHAnsi"/>
          <w:sz w:val="22"/>
        </w:rPr>
      </w:pPr>
      <w:r w:rsidRPr="00563EF2">
        <w:rPr>
          <w:rFonts w:asciiTheme="minorHAnsi" w:hAnsiTheme="minorHAnsi"/>
          <w:sz w:val="22"/>
        </w:rPr>
        <w:t>W 2012 r. stan zatrudnienia we wszystkich placówkach MOPS wynosił 403 osoby, z czego w samym Miejskim Ośrodku Pomocy Społecznej pracowało 160 osób, z czego 56 stanowili pracownicy socjalni.</w:t>
      </w:r>
    </w:p>
    <w:p w:rsidR="008B3862" w:rsidRDefault="008B3862" w:rsidP="00FD7676">
      <w:pPr>
        <w:rPr>
          <w:rFonts w:asciiTheme="minorHAnsi" w:hAnsiTheme="minorHAnsi"/>
          <w:sz w:val="22"/>
        </w:rPr>
      </w:pPr>
      <w:r>
        <w:rPr>
          <w:rFonts w:asciiTheme="minorHAnsi" w:hAnsiTheme="minorHAnsi"/>
          <w:sz w:val="22"/>
        </w:rPr>
        <w:br w:type="page"/>
      </w:r>
    </w:p>
    <w:p w:rsidR="008A102E" w:rsidRDefault="008A102E" w:rsidP="00FD7676">
      <w:pPr>
        <w:rPr>
          <w:rFonts w:asciiTheme="minorHAnsi" w:hAnsiTheme="minorHAnsi"/>
          <w:sz w:val="22"/>
        </w:rPr>
      </w:pPr>
      <w:r w:rsidRPr="00563EF2">
        <w:rPr>
          <w:rFonts w:asciiTheme="minorHAnsi" w:hAnsiTheme="minorHAnsi"/>
          <w:sz w:val="22"/>
        </w:rPr>
        <w:t>Udział osób korzystających z pomocy społecznej w ludności ogółem utrzymywał się w ostatnich latach na poziomi</w:t>
      </w:r>
      <w:r w:rsidR="00192EC9">
        <w:rPr>
          <w:rFonts w:asciiTheme="minorHAnsi" w:hAnsiTheme="minorHAnsi"/>
          <w:sz w:val="22"/>
        </w:rPr>
        <w:t>e</w:t>
      </w:r>
      <w:r w:rsidRPr="00563EF2">
        <w:rPr>
          <w:rFonts w:asciiTheme="minorHAnsi" w:hAnsiTheme="minorHAnsi"/>
          <w:sz w:val="22"/>
        </w:rPr>
        <w:t xml:space="preserve"> 7,3%-7,4%, dopiero w 2012 r. zanotowano spadek do poziomu 7%. Liczba mieszkańców objętych pomocą społeczną w Legnicy jest wyższa</w:t>
      </w:r>
      <w:r w:rsidR="00192EC9">
        <w:rPr>
          <w:rFonts w:asciiTheme="minorHAnsi" w:hAnsiTheme="minorHAnsi"/>
          <w:sz w:val="22"/>
        </w:rPr>
        <w:t>,</w:t>
      </w:r>
      <w:r w:rsidRPr="00563EF2">
        <w:rPr>
          <w:rFonts w:asciiTheme="minorHAnsi" w:hAnsiTheme="minorHAnsi"/>
          <w:sz w:val="22"/>
        </w:rPr>
        <w:t xml:space="preserve"> aniżeli we Wrocławiu, czy Jeleniej Górze, ale sporo niższa</w:t>
      </w:r>
      <w:r w:rsidR="00192EC9">
        <w:rPr>
          <w:rFonts w:asciiTheme="minorHAnsi" w:hAnsiTheme="minorHAnsi"/>
          <w:sz w:val="22"/>
        </w:rPr>
        <w:t>,</w:t>
      </w:r>
      <w:r w:rsidRPr="00563EF2">
        <w:rPr>
          <w:rFonts w:asciiTheme="minorHAnsi" w:hAnsiTheme="minorHAnsi"/>
          <w:sz w:val="22"/>
        </w:rPr>
        <w:t xml:space="preserve"> aniżeli w </w:t>
      </w:r>
      <w:r w:rsidR="008F5F07" w:rsidRPr="00563EF2">
        <w:rPr>
          <w:rFonts w:asciiTheme="minorHAnsi" w:hAnsiTheme="minorHAnsi"/>
          <w:sz w:val="22"/>
        </w:rPr>
        <w:t>powiecie legnickim i w Wałbrzychu.</w:t>
      </w:r>
    </w:p>
    <w:p w:rsidR="00546BC9" w:rsidRPr="00563EF2" w:rsidRDefault="00546BC9" w:rsidP="00FD7676">
      <w:pPr>
        <w:rPr>
          <w:rFonts w:asciiTheme="minorHAnsi" w:hAnsiTheme="minorHAnsi"/>
          <w:sz w:val="22"/>
        </w:rPr>
      </w:pPr>
    </w:p>
    <w:p w:rsidR="00770950" w:rsidRPr="007F6382" w:rsidRDefault="00770950"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10</w:t>
      </w:r>
      <w:r w:rsidR="005A0296" w:rsidRPr="007F6382">
        <w:rPr>
          <w:rFonts w:asciiTheme="minorHAnsi" w:hAnsiTheme="minorHAnsi"/>
          <w:sz w:val="20"/>
          <w:szCs w:val="22"/>
        </w:rPr>
        <w:fldChar w:fldCharType="end"/>
      </w:r>
      <w:r w:rsidRPr="007F6382">
        <w:rPr>
          <w:rFonts w:asciiTheme="minorHAnsi" w:hAnsiTheme="minorHAnsi"/>
          <w:sz w:val="20"/>
          <w:szCs w:val="22"/>
        </w:rPr>
        <w:t>. Udział osób w gospodarstwach domowych korzystających ze śr</w:t>
      </w:r>
      <w:r w:rsidR="0033475A">
        <w:rPr>
          <w:rFonts w:asciiTheme="minorHAnsi" w:hAnsiTheme="minorHAnsi"/>
          <w:sz w:val="20"/>
          <w:szCs w:val="22"/>
        </w:rPr>
        <w:t>odowiskowej pomocy społecznej w </w:t>
      </w:r>
      <w:r w:rsidRPr="007F6382">
        <w:rPr>
          <w:rFonts w:asciiTheme="minorHAnsi" w:hAnsiTheme="minorHAnsi"/>
          <w:sz w:val="20"/>
          <w:szCs w:val="22"/>
        </w:rPr>
        <w:t>ludności ogółem.</w:t>
      </w:r>
    </w:p>
    <w:p w:rsidR="00770950" w:rsidRPr="00563EF2" w:rsidRDefault="00770950" w:rsidP="00FD7676">
      <w:pPr>
        <w:rPr>
          <w:rFonts w:asciiTheme="minorHAnsi" w:hAnsiTheme="minorHAnsi"/>
          <w:sz w:val="22"/>
        </w:rPr>
      </w:pPr>
      <w:r w:rsidRPr="00563EF2">
        <w:rPr>
          <w:rFonts w:asciiTheme="minorHAnsi" w:hAnsiTheme="minorHAnsi"/>
          <w:noProof/>
          <w:sz w:val="22"/>
          <w:lang w:eastAsia="pl-PL"/>
        </w:rPr>
        <w:drawing>
          <wp:inline distT="0" distB="0" distL="0" distR="0" wp14:anchorId="6183FCEA" wp14:editId="1F8A7F51">
            <wp:extent cx="5699051" cy="2133600"/>
            <wp:effectExtent l="0" t="0" r="16510" b="0"/>
            <wp:docPr id="3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0950" w:rsidRDefault="008F5F07" w:rsidP="00FD7676">
      <w:pPr>
        <w:rPr>
          <w:rFonts w:asciiTheme="minorHAnsi" w:hAnsiTheme="minorHAnsi"/>
          <w:sz w:val="20"/>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GUS.</w:t>
      </w:r>
    </w:p>
    <w:p w:rsidR="008B3862" w:rsidRPr="002E2D3F" w:rsidRDefault="008B3862" w:rsidP="00FD7676">
      <w:pPr>
        <w:rPr>
          <w:rFonts w:asciiTheme="minorHAnsi" w:hAnsiTheme="minorHAnsi"/>
          <w:sz w:val="20"/>
        </w:rPr>
      </w:pPr>
    </w:p>
    <w:p w:rsidR="008F5F07" w:rsidRDefault="008F5F07" w:rsidP="00FD7676">
      <w:pPr>
        <w:rPr>
          <w:rFonts w:asciiTheme="minorHAnsi" w:hAnsiTheme="minorHAnsi"/>
          <w:sz w:val="22"/>
        </w:rPr>
      </w:pPr>
      <w:r w:rsidRPr="00563EF2">
        <w:rPr>
          <w:rFonts w:asciiTheme="minorHAnsi" w:hAnsiTheme="minorHAnsi"/>
          <w:sz w:val="22"/>
        </w:rPr>
        <w:t>W  latach 2008-2012 liczba gospodarstw domowych otrzymujących świadczenia rodzinne znacznie spadła (o około 40%) z 3 767 gospodarstw w 2008 r. do 2 265 gospodarstw w 2012 r.</w:t>
      </w:r>
    </w:p>
    <w:p w:rsidR="008B3862" w:rsidRPr="00563EF2" w:rsidRDefault="008B3862" w:rsidP="00FD7676">
      <w:pPr>
        <w:rPr>
          <w:rFonts w:asciiTheme="minorHAnsi" w:hAnsiTheme="minorHAnsi"/>
          <w:sz w:val="22"/>
        </w:rPr>
      </w:pPr>
    </w:p>
    <w:p w:rsidR="00770950" w:rsidRPr="007F6382" w:rsidRDefault="00770950"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11</w:t>
      </w:r>
      <w:r w:rsidR="005A0296" w:rsidRPr="007F6382">
        <w:rPr>
          <w:rFonts w:asciiTheme="minorHAnsi" w:hAnsiTheme="minorHAnsi"/>
          <w:sz w:val="20"/>
          <w:szCs w:val="22"/>
        </w:rPr>
        <w:fldChar w:fldCharType="end"/>
      </w:r>
      <w:r w:rsidRPr="007F6382">
        <w:rPr>
          <w:rFonts w:asciiTheme="minorHAnsi" w:hAnsiTheme="minorHAnsi"/>
          <w:sz w:val="20"/>
          <w:szCs w:val="22"/>
        </w:rPr>
        <w:t>. Liczba gospodars</w:t>
      </w:r>
      <w:r w:rsidR="008F5F07" w:rsidRPr="007F6382">
        <w:rPr>
          <w:rFonts w:asciiTheme="minorHAnsi" w:hAnsiTheme="minorHAnsi"/>
          <w:sz w:val="20"/>
          <w:szCs w:val="22"/>
        </w:rPr>
        <w:t xml:space="preserve">tw domowych objętych </w:t>
      </w:r>
      <w:r w:rsidR="00A317BF">
        <w:rPr>
          <w:rFonts w:asciiTheme="minorHAnsi" w:hAnsiTheme="minorHAnsi"/>
          <w:sz w:val="20"/>
          <w:szCs w:val="22"/>
        </w:rPr>
        <w:t xml:space="preserve">zasiłkami </w:t>
      </w:r>
      <w:r w:rsidRPr="007F6382">
        <w:rPr>
          <w:rFonts w:asciiTheme="minorHAnsi" w:hAnsiTheme="minorHAnsi"/>
          <w:sz w:val="20"/>
          <w:szCs w:val="22"/>
        </w:rPr>
        <w:t>rodzinnymi w Legnicy.</w:t>
      </w:r>
    </w:p>
    <w:p w:rsidR="00770950" w:rsidRPr="00563EF2" w:rsidRDefault="00770950" w:rsidP="00FD7676">
      <w:pPr>
        <w:rPr>
          <w:rFonts w:asciiTheme="minorHAnsi" w:hAnsiTheme="minorHAnsi"/>
          <w:sz w:val="22"/>
        </w:rPr>
      </w:pPr>
      <w:r w:rsidRPr="00563EF2">
        <w:rPr>
          <w:rFonts w:asciiTheme="minorHAnsi" w:hAnsiTheme="minorHAnsi"/>
          <w:noProof/>
          <w:sz w:val="22"/>
          <w:lang w:eastAsia="pl-PL"/>
        </w:rPr>
        <w:drawing>
          <wp:inline distT="0" distB="0" distL="0" distR="0" wp14:anchorId="1F4305E4" wp14:editId="6945CFE5">
            <wp:extent cx="4572000" cy="1714500"/>
            <wp:effectExtent l="0" t="0" r="0" b="0"/>
            <wp:docPr id="3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F5F07" w:rsidRPr="002E2D3F" w:rsidRDefault="008F5F07" w:rsidP="00FD7676">
      <w:pPr>
        <w:rPr>
          <w:rFonts w:asciiTheme="minorHAnsi" w:hAnsiTheme="minorHAnsi"/>
          <w:sz w:val="20"/>
        </w:rPr>
      </w:pPr>
      <w:r w:rsidRPr="002E2D3F">
        <w:rPr>
          <w:rFonts w:asciiTheme="minorHAnsi" w:hAnsiTheme="minorHAnsi"/>
          <w:sz w:val="20"/>
        </w:rPr>
        <w:t xml:space="preserve">Źródło: Opracowanie własne na podstawie: </w:t>
      </w:r>
      <w:r w:rsidRPr="002E2D3F">
        <w:rPr>
          <w:rFonts w:asciiTheme="minorHAnsi" w:hAnsiTheme="minorHAnsi"/>
          <w:i/>
          <w:sz w:val="20"/>
        </w:rPr>
        <w:t>Bank Danych Lokalnych</w:t>
      </w:r>
      <w:r w:rsidRPr="002E2D3F">
        <w:rPr>
          <w:rFonts w:asciiTheme="minorHAnsi" w:hAnsiTheme="minorHAnsi"/>
          <w:sz w:val="20"/>
        </w:rPr>
        <w:t>, GUS.</w:t>
      </w:r>
    </w:p>
    <w:p w:rsidR="008F5F07" w:rsidRPr="00563EF2" w:rsidRDefault="008F5F07" w:rsidP="00FD7676">
      <w:pPr>
        <w:rPr>
          <w:rFonts w:asciiTheme="minorHAnsi" w:hAnsiTheme="minorHAnsi"/>
          <w:sz w:val="22"/>
        </w:rPr>
      </w:pPr>
    </w:p>
    <w:p w:rsidR="009E22C0" w:rsidRPr="00563EF2" w:rsidRDefault="008F5F07" w:rsidP="00FD7676">
      <w:pPr>
        <w:rPr>
          <w:rFonts w:asciiTheme="minorHAnsi" w:hAnsiTheme="minorHAnsi"/>
          <w:sz w:val="22"/>
        </w:rPr>
      </w:pPr>
      <w:r w:rsidRPr="00563EF2">
        <w:rPr>
          <w:rFonts w:asciiTheme="minorHAnsi" w:hAnsiTheme="minorHAnsi"/>
          <w:sz w:val="22"/>
        </w:rPr>
        <w:t>W 2012 r. wydatki na politykę społeczną były drugą co do wysokości pozycją budżetu Miasta. Większość środków</w:t>
      </w:r>
      <w:r w:rsidR="007A5D23">
        <w:rPr>
          <w:rFonts w:asciiTheme="minorHAnsi" w:hAnsiTheme="minorHAnsi"/>
          <w:sz w:val="22"/>
        </w:rPr>
        <w:t xml:space="preserve"> (70,93%, czyli </w:t>
      </w:r>
      <w:r w:rsidR="007A5D23" w:rsidRPr="00563EF2">
        <w:rPr>
          <w:rFonts w:asciiTheme="minorHAnsi" w:hAnsiTheme="minorHAnsi"/>
          <w:sz w:val="22"/>
        </w:rPr>
        <w:t>50 902 296,31 zł)</w:t>
      </w:r>
      <w:r w:rsidRPr="00563EF2">
        <w:rPr>
          <w:rFonts w:asciiTheme="minorHAnsi" w:hAnsiTheme="minorHAnsi"/>
          <w:sz w:val="22"/>
        </w:rPr>
        <w:t xml:space="preserve"> </w:t>
      </w:r>
      <w:r w:rsidR="007A5D23">
        <w:rPr>
          <w:rFonts w:asciiTheme="minorHAnsi" w:hAnsiTheme="minorHAnsi"/>
          <w:sz w:val="22"/>
        </w:rPr>
        <w:t xml:space="preserve">przeznaczona była na różne formy pomocy osobom potrzebującym oraz realizację innych zadań nie wynikających z </w:t>
      </w:r>
      <w:r w:rsidR="00BA13AE">
        <w:rPr>
          <w:rFonts w:asciiTheme="minorHAnsi" w:hAnsiTheme="minorHAnsi"/>
          <w:sz w:val="22"/>
        </w:rPr>
        <w:t>u</w:t>
      </w:r>
      <w:r w:rsidR="007A5D23">
        <w:rPr>
          <w:rFonts w:asciiTheme="minorHAnsi" w:hAnsiTheme="minorHAnsi"/>
          <w:sz w:val="22"/>
        </w:rPr>
        <w:t xml:space="preserve">stawy o </w:t>
      </w:r>
      <w:r w:rsidR="00BA13AE">
        <w:rPr>
          <w:rFonts w:asciiTheme="minorHAnsi" w:hAnsiTheme="minorHAnsi"/>
          <w:sz w:val="22"/>
        </w:rPr>
        <w:t>pomocy</w:t>
      </w:r>
      <w:r w:rsidR="007A5D23">
        <w:rPr>
          <w:rFonts w:asciiTheme="minorHAnsi" w:hAnsiTheme="minorHAnsi"/>
          <w:sz w:val="22"/>
        </w:rPr>
        <w:t xml:space="preserve"> społecznej.</w:t>
      </w:r>
    </w:p>
    <w:p w:rsidR="008F5F07" w:rsidRPr="00563EF2" w:rsidRDefault="008F5F07" w:rsidP="00FD7676">
      <w:pPr>
        <w:rPr>
          <w:rFonts w:asciiTheme="minorHAnsi" w:hAnsiTheme="minorHAnsi"/>
          <w:sz w:val="22"/>
        </w:rPr>
      </w:pPr>
    </w:p>
    <w:p w:rsidR="00F73F9C" w:rsidRPr="00563EF2" w:rsidRDefault="008F5F07" w:rsidP="00FD7676">
      <w:pPr>
        <w:rPr>
          <w:rFonts w:asciiTheme="minorHAnsi" w:hAnsiTheme="minorHAnsi"/>
          <w:sz w:val="22"/>
        </w:rPr>
      </w:pPr>
      <w:r w:rsidRPr="00563EF2">
        <w:rPr>
          <w:rFonts w:asciiTheme="minorHAnsi" w:hAnsiTheme="minorHAnsi"/>
          <w:sz w:val="22"/>
        </w:rPr>
        <w:t>Jak pokazuje</w:t>
      </w:r>
      <w:r w:rsidR="007A5D23">
        <w:rPr>
          <w:rFonts w:asciiTheme="minorHAnsi" w:hAnsiTheme="minorHAnsi"/>
          <w:sz w:val="22"/>
        </w:rPr>
        <w:t xml:space="preserve"> tabela stanowiąca</w:t>
      </w:r>
      <w:r w:rsidRPr="00563EF2">
        <w:rPr>
          <w:rFonts w:asciiTheme="minorHAnsi" w:hAnsiTheme="minorHAnsi"/>
          <w:sz w:val="22"/>
        </w:rPr>
        <w:t xml:space="preserve"> zestawienie form pomoc</w:t>
      </w:r>
      <w:r w:rsidR="007A5D23">
        <w:rPr>
          <w:rFonts w:asciiTheme="minorHAnsi" w:hAnsiTheme="minorHAnsi"/>
          <w:sz w:val="22"/>
        </w:rPr>
        <w:t>y w latach 2009-2012 sporządzona</w:t>
      </w:r>
      <w:r w:rsidRPr="00563EF2">
        <w:rPr>
          <w:rFonts w:asciiTheme="minorHAnsi" w:hAnsiTheme="minorHAnsi"/>
          <w:sz w:val="22"/>
        </w:rPr>
        <w:t xml:space="preserve"> przez MOP</w:t>
      </w:r>
      <w:r w:rsidR="007A5D23">
        <w:rPr>
          <w:rFonts w:asciiTheme="minorHAnsi" w:hAnsiTheme="minorHAnsi"/>
          <w:sz w:val="22"/>
        </w:rPr>
        <w:t>S</w:t>
      </w:r>
      <w:r w:rsidRPr="00563EF2">
        <w:rPr>
          <w:rFonts w:asciiTheme="minorHAnsi" w:hAnsiTheme="minorHAnsi"/>
          <w:sz w:val="22"/>
        </w:rPr>
        <w:t xml:space="preserve"> n</w:t>
      </w:r>
      <w:r w:rsidR="00F73F9C" w:rsidRPr="00563EF2">
        <w:rPr>
          <w:rFonts w:asciiTheme="minorHAnsi" w:hAnsiTheme="minorHAnsi"/>
          <w:sz w:val="22"/>
        </w:rPr>
        <w:t xml:space="preserve">ajwięcej osób korzystało z pomocy w zakresie dożywiania, z zasiłków celowych i zasiłków okresowych. Największe środki przeznaczane były zaś na usługi opiekuńcze.  </w:t>
      </w:r>
      <w:r w:rsidRPr="00563EF2">
        <w:rPr>
          <w:rFonts w:asciiTheme="minorHAnsi" w:hAnsiTheme="minorHAnsi"/>
          <w:sz w:val="22"/>
        </w:rPr>
        <w:t>W całym okresie systematyczny wzrost notowały kwoty przeznaczane na zasiłki stałe i okresowe.</w:t>
      </w:r>
    </w:p>
    <w:p w:rsidR="00C90B9C" w:rsidRPr="007F6382" w:rsidRDefault="00C90B9C" w:rsidP="00FD7676">
      <w:pPr>
        <w:rPr>
          <w:rFonts w:asciiTheme="minorHAnsi" w:hAnsiTheme="minorHAnsi"/>
          <w:sz w:val="20"/>
        </w:rPr>
      </w:pPr>
    </w:p>
    <w:p w:rsidR="00C90B9C" w:rsidRPr="007F6382" w:rsidRDefault="00C90B9C"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C56DB"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14</w:t>
      </w:r>
      <w:r w:rsidR="00017794" w:rsidRPr="007F6382">
        <w:rPr>
          <w:rFonts w:asciiTheme="minorHAnsi" w:hAnsiTheme="minorHAnsi"/>
          <w:sz w:val="20"/>
          <w:szCs w:val="22"/>
        </w:rPr>
        <w:fldChar w:fldCharType="end"/>
      </w:r>
      <w:r w:rsidRPr="007F6382">
        <w:rPr>
          <w:rFonts w:asciiTheme="minorHAnsi" w:hAnsiTheme="minorHAnsi"/>
          <w:sz w:val="20"/>
          <w:szCs w:val="22"/>
        </w:rPr>
        <w:t>. Zestawienie form pomocy w latach 2009-2012</w:t>
      </w:r>
    </w:p>
    <w:tbl>
      <w:tblPr>
        <w:tblStyle w:val="Jasnasiatkaakcent11"/>
        <w:tblW w:w="9446" w:type="dxa"/>
        <w:tblLayout w:type="fixed"/>
        <w:tblLook w:val="04A0" w:firstRow="1" w:lastRow="0" w:firstColumn="1" w:lastColumn="0" w:noHBand="0" w:noVBand="1"/>
      </w:tblPr>
      <w:tblGrid>
        <w:gridCol w:w="1985"/>
        <w:gridCol w:w="840"/>
        <w:gridCol w:w="1025"/>
        <w:gridCol w:w="818"/>
        <w:gridCol w:w="1047"/>
        <w:gridCol w:w="796"/>
        <w:gridCol w:w="1069"/>
        <w:gridCol w:w="774"/>
        <w:gridCol w:w="1092"/>
      </w:tblGrid>
      <w:tr w:rsidR="00C90B9C" w:rsidRPr="00546BC9" w:rsidTr="004604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vMerge w:val="restart"/>
            <w:noWrap/>
            <w:hideMark/>
          </w:tcPr>
          <w:p w:rsidR="00C90B9C" w:rsidRPr="00546BC9" w:rsidRDefault="00C90B9C" w:rsidP="00FD7676">
            <w:pPr>
              <w:rPr>
                <w:rFonts w:asciiTheme="minorHAnsi" w:eastAsia="Times New Roman" w:hAnsiTheme="minorHAnsi" w:cs="Arial"/>
                <w:sz w:val="22"/>
                <w:lang w:eastAsia="pl-PL"/>
              </w:rPr>
            </w:pPr>
          </w:p>
        </w:tc>
        <w:tc>
          <w:tcPr>
            <w:tcW w:w="1865" w:type="dxa"/>
            <w:gridSpan w:val="2"/>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2009</w:t>
            </w:r>
          </w:p>
        </w:tc>
        <w:tc>
          <w:tcPr>
            <w:tcW w:w="1865" w:type="dxa"/>
            <w:gridSpan w:val="2"/>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2010</w:t>
            </w:r>
          </w:p>
        </w:tc>
        <w:tc>
          <w:tcPr>
            <w:tcW w:w="1865" w:type="dxa"/>
            <w:gridSpan w:val="2"/>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2011</w:t>
            </w:r>
          </w:p>
        </w:tc>
        <w:tc>
          <w:tcPr>
            <w:tcW w:w="1866" w:type="dxa"/>
            <w:gridSpan w:val="2"/>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2012</w:t>
            </w:r>
          </w:p>
        </w:tc>
      </w:tr>
      <w:tr w:rsidR="00C90B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vMerge/>
            <w:noWrap/>
            <w:hideMark/>
          </w:tcPr>
          <w:p w:rsidR="00C90B9C" w:rsidRPr="00546BC9" w:rsidRDefault="00C90B9C" w:rsidP="00FD7676">
            <w:pPr>
              <w:rPr>
                <w:rFonts w:asciiTheme="minorHAnsi" w:eastAsia="Times New Roman" w:hAnsiTheme="minorHAnsi" w:cs="Arial"/>
                <w:sz w:val="22"/>
                <w:lang w:eastAsia="pl-PL"/>
              </w:rPr>
            </w:pP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Liczba osób</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Kwota w zł</w:t>
            </w:r>
          </w:p>
        </w:tc>
        <w:tc>
          <w:tcPr>
            <w:tcW w:w="818"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Liczba osób</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Kwota w zł</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Liczba osób</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Kwota w zł</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Liczba osób</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Kwota w zł</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Zasiłki stałe</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594</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2 577 186</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625</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2 730 000</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632</w:t>
            </w:r>
          </w:p>
        </w:tc>
        <w:tc>
          <w:tcPr>
            <w:tcW w:w="1069" w:type="dxa"/>
            <w:noWrap/>
            <w:hideMark/>
          </w:tcPr>
          <w:p w:rsidR="00C90B9C" w:rsidRPr="0033475A" w:rsidRDefault="0033475A"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2 </w:t>
            </w:r>
            <w:r w:rsidR="00C90B9C" w:rsidRPr="0033475A">
              <w:rPr>
                <w:rFonts w:asciiTheme="minorHAnsi" w:eastAsia="Times New Roman" w:hAnsiTheme="minorHAnsi" w:cs="Arial"/>
                <w:sz w:val="20"/>
                <w:lang w:eastAsia="pl-PL"/>
              </w:rPr>
              <w:t>727 005</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621</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2 737 788</w:t>
            </w:r>
          </w:p>
        </w:tc>
      </w:tr>
      <w:tr w:rsidR="00F73F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Zasiłki okresowe</w:t>
            </w: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1 679</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2 376 000</w:t>
            </w:r>
          </w:p>
        </w:tc>
        <w:tc>
          <w:tcPr>
            <w:tcW w:w="818"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1 940</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2 592 292</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1 919</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2 778 500</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1 820</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2 877 000</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Usługi opiekuńcze</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1 019</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7 905 263</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1 062</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8 871 677</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961</w:t>
            </w:r>
          </w:p>
        </w:tc>
        <w:tc>
          <w:tcPr>
            <w:tcW w:w="1069"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7 187 000</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884</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6 550 000</w:t>
            </w:r>
          </w:p>
        </w:tc>
      </w:tr>
      <w:tr w:rsidR="00F73F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Specjalistyczne usługi opiekuńcze</w:t>
            </w: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55</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430 000</w:t>
            </w:r>
          </w:p>
        </w:tc>
        <w:tc>
          <w:tcPr>
            <w:tcW w:w="818"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52</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503 000</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44</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438 422</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44</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420 000</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Zasiłki celowe</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2 530</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951 947</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2 523</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880 618</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2 531</w:t>
            </w:r>
          </w:p>
        </w:tc>
        <w:tc>
          <w:tcPr>
            <w:tcW w:w="1069"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1 092 274</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2 460</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1 289 072</w:t>
            </w:r>
          </w:p>
        </w:tc>
      </w:tr>
      <w:tr w:rsidR="00F73F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Opał z dowozem</w:t>
            </w: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1 172</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765 510</w:t>
            </w:r>
          </w:p>
        </w:tc>
        <w:tc>
          <w:tcPr>
            <w:tcW w:w="818"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972</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528 460</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Sprawienie pogrzebu</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22</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56 148</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22</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45 761</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38</w:t>
            </w:r>
          </w:p>
        </w:tc>
        <w:tc>
          <w:tcPr>
            <w:tcW w:w="1069"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87 188</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35</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66 362</w:t>
            </w:r>
          </w:p>
        </w:tc>
      </w:tr>
      <w:tr w:rsidR="00F73F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Program rządowy "Pomoc państwa w zakresie dożywiania"</w:t>
            </w: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6 261</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1 778 098</w:t>
            </w:r>
          </w:p>
        </w:tc>
        <w:tc>
          <w:tcPr>
            <w:tcW w:w="818" w:type="dxa"/>
            <w:noWrap/>
            <w:hideMark/>
          </w:tcPr>
          <w:p w:rsidR="00C90B9C" w:rsidRPr="0033475A" w:rsidRDefault="00BA13AE"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Pr>
                <w:rFonts w:asciiTheme="minorHAnsi" w:eastAsia="Times New Roman" w:hAnsiTheme="minorHAnsi" w:cs="Arial"/>
                <w:sz w:val="20"/>
                <w:lang w:eastAsia="pl-PL"/>
              </w:rPr>
              <w:t>3 854</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1 966 610</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2 955</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1 328 853</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1 773</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1 093 411</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Klęska ekologiczna lub żywiołowa</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1 000</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3</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6 000</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69"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r>
      <w:tr w:rsidR="00F73F9C" w:rsidRPr="00546BC9" w:rsidTr="00334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Usuwanie skutków klęsk żywiołowych</w:t>
            </w:r>
          </w:p>
        </w:tc>
        <w:tc>
          <w:tcPr>
            <w:tcW w:w="840"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110</w:t>
            </w:r>
          </w:p>
        </w:tc>
        <w:tc>
          <w:tcPr>
            <w:tcW w:w="1025"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295 500</w:t>
            </w:r>
          </w:p>
        </w:tc>
        <w:tc>
          <w:tcPr>
            <w:tcW w:w="818"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47"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796"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69"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774"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92" w:type="dxa"/>
            <w:noWrap/>
            <w:hideMark/>
          </w:tcPr>
          <w:p w:rsidR="00C90B9C" w:rsidRPr="0033475A"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r>
      <w:tr w:rsidR="00F73F9C" w:rsidRPr="00546BC9" w:rsidTr="0033475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Opiekunowie prawni</w:t>
            </w:r>
          </w:p>
        </w:tc>
        <w:tc>
          <w:tcPr>
            <w:tcW w:w="840"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1025"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 xml:space="preserve"> - </w:t>
            </w:r>
          </w:p>
        </w:tc>
        <w:tc>
          <w:tcPr>
            <w:tcW w:w="818"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11</w:t>
            </w:r>
          </w:p>
        </w:tc>
        <w:tc>
          <w:tcPr>
            <w:tcW w:w="1047"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14 394</w:t>
            </w:r>
          </w:p>
        </w:tc>
        <w:tc>
          <w:tcPr>
            <w:tcW w:w="796"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27</w:t>
            </w:r>
          </w:p>
        </w:tc>
        <w:tc>
          <w:tcPr>
            <w:tcW w:w="1069"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57 783</w:t>
            </w:r>
          </w:p>
        </w:tc>
        <w:tc>
          <w:tcPr>
            <w:tcW w:w="774"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39</w:t>
            </w:r>
          </w:p>
        </w:tc>
        <w:tc>
          <w:tcPr>
            <w:tcW w:w="1092" w:type="dxa"/>
            <w:noWrap/>
            <w:hideMark/>
          </w:tcPr>
          <w:p w:rsidR="00C90B9C" w:rsidRPr="0033475A"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pl-PL"/>
              </w:rPr>
            </w:pPr>
            <w:r w:rsidRPr="0033475A">
              <w:rPr>
                <w:rFonts w:asciiTheme="minorHAnsi" w:eastAsia="Times New Roman" w:hAnsiTheme="minorHAnsi" w:cs="Arial"/>
                <w:sz w:val="20"/>
                <w:lang w:eastAsia="pl-PL"/>
              </w:rPr>
              <w:t>82 078</w:t>
            </w:r>
          </w:p>
        </w:tc>
      </w:tr>
    </w:tbl>
    <w:p w:rsidR="00C90B9C" w:rsidRPr="00A50D78" w:rsidRDefault="00C90B9C" w:rsidP="00FD7676">
      <w:pPr>
        <w:rPr>
          <w:rFonts w:asciiTheme="minorHAnsi" w:hAnsiTheme="minorHAnsi"/>
          <w:sz w:val="20"/>
        </w:rPr>
      </w:pPr>
      <w:r w:rsidRPr="00A50D78">
        <w:rPr>
          <w:rFonts w:asciiTheme="minorHAnsi" w:hAnsiTheme="minorHAnsi"/>
          <w:sz w:val="20"/>
        </w:rPr>
        <w:t xml:space="preserve">Źródło: </w:t>
      </w:r>
      <w:r w:rsidRPr="00A50D78">
        <w:rPr>
          <w:rFonts w:asciiTheme="minorHAnsi" w:hAnsiTheme="minorHAnsi"/>
          <w:i/>
          <w:sz w:val="20"/>
        </w:rPr>
        <w:t>Sprawozdanie z działalności MOPS w Legnicy w 2012 r.</w:t>
      </w:r>
    </w:p>
    <w:p w:rsidR="008B3862" w:rsidRDefault="008B3862" w:rsidP="00FD7676">
      <w:pPr>
        <w:rPr>
          <w:rFonts w:asciiTheme="minorHAnsi" w:hAnsiTheme="minorHAnsi"/>
          <w:sz w:val="22"/>
        </w:rPr>
      </w:pPr>
    </w:p>
    <w:p w:rsidR="00AB1F64" w:rsidRDefault="00F73F9C" w:rsidP="00FD7676">
      <w:pPr>
        <w:rPr>
          <w:rFonts w:asciiTheme="minorHAnsi" w:hAnsiTheme="minorHAnsi"/>
          <w:sz w:val="22"/>
        </w:rPr>
      </w:pPr>
      <w:r w:rsidRPr="00563EF2">
        <w:rPr>
          <w:rFonts w:asciiTheme="minorHAnsi" w:hAnsiTheme="minorHAnsi"/>
          <w:sz w:val="22"/>
        </w:rPr>
        <w:t>Najliczniejszą grupę osób, które zostały umieszczone w domach pomocy społecznej stanowią osoby przewlekle chore somatycznie, są to zwykle osoby w podeszłym wieku. Znaczna część osób u</w:t>
      </w:r>
      <w:r w:rsidR="008F5F07" w:rsidRPr="00563EF2">
        <w:rPr>
          <w:rFonts w:asciiTheme="minorHAnsi" w:hAnsiTheme="minorHAnsi"/>
          <w:sz w:val="22"/>
        </w:rPr>
        <w:t>mieszczana jest w Domu Pomocy Sp</w:t>
      </w:r>
      <w:r w:rsidRPr="00563EF2">
        <w:rPr>
          <w:rFonts w:asciiTheme="minorHAnsi" w:hAnsiTheme="minorHAnsi"/>
          <w:sz w:val="22"/>
        </w:rPr>
        <w:t>ołecznej przy ul. Grabskiego, jednak placówka ta nie dysponuje wystarczającą ilością miejsc</w:t>
      </w:r>
      <w:r w:rsidR="00192EC9">
        <w:rPr>
          <w:rFonts w:asciiTheme="minorHAnsi" w:hAnsiTheme="minorHAnsi"/>
          <w:sz w:val="22"/>
        </w:rPr>
        <w:t>,</w:t>
      </w:r>
      <w:r w:rsidRPr="00563EF2">
        <w:rPr>
          <w:rFonts w:asciiTheme="minorHAnsi" w:hAnsiTheme="minorHAnsi"/>
          <w:sz w:val="22"/>
        </w:rPr>
        <w:t xml:space="preserve"> w związku z tym część osób umieszczana jest w </w:t>
      </w:r>
      <w:r w:rsidR="00BA13AE">
        <w:rPr>
          <w:rFonts w:asciiTheme="minorHAnsi" w:hAnsiTheme="minorHAnsi"/>
          <w:sz w:val="22"/>
        </w:rPr>
        <w:t>domach</w:t>
      </w:r>
      <w:r w:rsidRPr="00563EF2">
        <w:rPr>
          <w:rFonts w:asciiTheme="minorHAnsi" w:hAnsiTheme="minorHAnsi"/>
          <w:sz w:val="22"/>
        </w:rPr>
        <w:t xml:space="preserve"> znajdujących się na terenie </w:t>
      </w:r>
      <w:r w:rsidR="00BA13AE">
        <w:rPr>
          <w:rFonts w:asciiTheme="minorHAnsi" w:hAnsiTheme="minorHAnsi"/>
          <w:sz w:val="22"/>
        </w:rPr>
        <w:t>innych</w:t>
      </w:r>
      <w:r w:rsidRPr="00563EF2">
        <w:rPr>
          <w:rFonts w:asciiTheme="minorHAnsi" w:hAnsiTheme="minorHAnsi"/>
          <w:sz w:val="22"/>
        </w:rPr>
        <w:t xml:space="preserve"> powiatów.  </w:t>
      </w:r>
    </w:p>
    <w:p w:rsidR="0033475A" w:rsidRDefault="0033475A" w:rsidP="00FD7676">
      <w:pPr>
        <w:rPr>
          <w:rFonts w:asciiTheme="minorHAnsi" w:hAnsiTheme="minorHAnsi"/>
          <w:sz w:val="22"/>
        </w:rPr>
      </w:pPr>
      <w:r>
        <w:rPr>
          <w:rFonts w:asciiTheme="minorHAnsi" w:hAnsiTheme="minorHAnsi"/>
          <w:sz w:val="22"/>
        </w:rPr>
        <w:br w:type="page"/>
      </w:r>
    </w:p>
    <w:p w:rsidR="001E426F" w:rsidRDefault="001E426F" w:rsidP="00FD7676">
      <w:pPr>
        <w:pStyle w:val="Legenda"/>
        <w:keepNext/>
        <w:spacing w:line="276" w:lineRule="auto"/>
        <w:rPr>
          <w:rFonts w:asciiTheme="minorHAnsi" w:hAnsiTheme="minorHAnsi"/>
          <w:sz w:val="20"/>
          <w:szCs w:val="22"/>
        </w:rPr>
      </w:pPr>
    </w:p>
    <w:p w:rsidR="00C90B9C" w:rsidRPr="007F6382" w:rsidRDefault="00C90B9C"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C56DB"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15</w:t>
      </w:r>
      <w:r w:rsidR="00017794" w:rsidRPr="007F6382">
        <w:rPr>
          <w:rFonts w:asciiTheme="minorHAnsi" w:hAnsiTheme="minorHAnsi"/>
          <w:sz w:val="20"/>
          <w:szCs w:val="22"/>
        </w:rPr>
        <w:fldChar w:fldCharType="end"/>
      </w:r>
      <w:r w:rsidRPr="007F6382">
        <w:rPr>
          <w:rFonts w:asciiTheme="minorHAnsi" w:hAnsiTheme="minorHAnsi"/>
          <w:sz w:val="20"/>
          <w:szCs w:val="22"/>
        </w:rPr>
        <w:t>. Osoby umieszczone w domach pomocy społecznej wg typu domów (lata 2008-2012)</w:t>
      </w:r>
    </w:p>
    <w:tbl>
      <w:tblPr>
        <w:tblStyle w:val="Jasnasiatkaakcent11"/>
        <w:tblW w:w="9050" w:type="dxa"/>
        <w:tblLook w:val="04A0" w:firstRow="1" w:lastRow="0" w:firstColumn="1" w:lastColumn="0" w:noHBand="0" w:noVBand="1"/>
      </w:tblPr>
      <w:tblGrid>
        <w:gridCol w:w="4170"/>
        <w:gridCol w:w="976"/>
        <w:gridCol w:w="976"/>
        <w:gridCol w:w="976"/>
        <w:gridCol w:w="976"/>
        <w:gridCol w:w="976"/>
      </w:tblGrid>
      <w:tr w:rsidR="00C90B9C" w:rsidRPr="00546BC9" w:rsidTr="004604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0"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 xml:space="preserve">Typ domu pomocy społecznej </w:t>
            </w:r>
          </w:p>
        </w:tc>
        <w:tc>
          <w:tcPr>
            <w:tcW w:w="976" w:type="dxa"/>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2008</w:t>
            </w:r>
          </w:p>
        </w:tc>
        <w:tc>
          <w:tcPr>
            <w:tcW w:w="976" w:type="dxa"/>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2009</w:t>
            </w:r>
          </w:p>
        </w:tc>
        <w:tc>
          <w:tcPr>
            <w:tcW w:w="976" w:type="dxa"/>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2010</w:t>
            </w:r>
          </w:p>
        </w:tc>
        <w:tc>
          <w:tcPr>
            <w:tcW w:w="976" w:type="dxa"/>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2011</w:t>
            </w:r>
          </w:p>
        </w:tc>
        <w:tc>
          <w:tcPr>
            <w:tcW w:w="976" w:type="dxa"/>
            <w:noWrap/>
            <w:hideMark/>
          </w:tcPr>
          <w:p w:rsidR="00C90B9C" w:rsidRPr="00546BC9" w:rsidRDefault="00C90B9C"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2012</w:t>
            </w:r>
          </w:p>
        </w:tc>
      </w:tr>
      <w:tr w:rsidR="00C90B9C" w:rsidRPr="00546BC9" w:rsidTr="004604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0"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 xml:space="preserve">dla przewlekle somatycznie chorych </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45</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44</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39</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40</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44</w:t>
            </w:r>
          </w:p>
        </w:tc>
      </w:tr>
      <w:tr w:rsidR="00C90B9C" w:rsidRPr="00546BC9" w:rsidTr="0046045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0" w:type="dxa"/>
            <w:noWrap/>
            <w:hideMark/>
          </w:tcPr>
          <w:p w:rsidR="00C90B9C" w:rsidRPr="00546BC9" w:rsidRDefault="00BA13AE" w:rsidP="00BA13AE">
            <w:pPr>
              <w:rPr>
                <w:rFonts w:asciiTheme="minorHAnsi" w:eastAsia="Times New Roman" w:hAnsiTheme="minorHAnsi" w:cs="Arial"/>
                <w:sz w:val="22"/>
                <w:lang w:eastAsia="pl-PL"/>
              </w:rPr>
            </w:pPr>
            <w:r>
              <w:rPr>
                <w:rFonts w:asciiTheme="minorHAnsi" w:eastAsia="Times New Roman" w:hAnsiTheme="minorHAnsi" w:cs="Arial"/>
                <w:sz w:val="22"/>
                <w:lang w:eastAsia="pl-PL"/>
              </w:rPr>
              <w:t>dla przewlekle psychicznie</w:t>
            </w:r>
            <w:r w:rsidR="00C90B9C" w:rsidRPr="00546BC9">
              <w:rPr>
                <w:rFonts w:asciiTheme="minorHAnsi" w:eastAsia="Times New Roman" w:hAnsiTheme="minorHAnsi" w:cs="Arial"/>
                <w:sz w:val="22"/>
                <w:lang w:eastAsia="pl-PL"/>
              </w:rPr>
              <w:t xml:space="preserve"> chorych </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6</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9</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5</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5</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8</w:t>
            </w:r>
          </w:p>
        </w:tc>
      </w:tr>
      <w:tr w:rsidR="00C90B9C" w:rsidRPr="00546BC9" w:rsidTr="004604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0"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dla dorosłych niepełnosprawnych intelektualnie</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7</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0</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0</w:t>
            </w:r>
          </w:p>
        </w:tc>
        <w:tc>
          <w:tcPr>
            <w:tcW w:w="976" w:type="dxa"/>
            <w:noWrap/>
            <w:hideMark/>
          </w:tcPr>
          <w:p w:rsidR="00C90B9C" w:rsidRPr="00546BC9" w:rsidRDefault="00C90B9C"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3</w:t>
            </w:r>
          </w:p>
        </w:tc>
      </w:tr>
      <w:tr w:rsidR="00C90B9C" w:rsidRPr="00546BC9" w:rsidTr="0046045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0" w:type="dxa"/>
            <w:noWrap/>
            <w:hideMark/>
          </w:tcPr>
          <w:p w:rsidR="00C90B9C" w:rsidRPr="00546BC9" w:rsidRDefault="00C90B9C" w:rsidP="00FD7676">
            <w:pPr>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dla dzieci i młodzieży niepełnosprawnej</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2</w:t>
            </w:r>
          </w:p>
        </w:tc>
        <w:tc>
          <w:tcPr>
            <w:tcW w:w="976" w:type="dxa"/>
            <w:noWrap/>
            <w:hideMark/>
          </w:tcPr>
          <w:p w:rsidR="00C90B9C" w:rsidRPr="00546BC9" w:rsidRDefault="00C90B9C" w:rsidP="00FD767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lang w:eastAsia="pl-PL"/>
              </w:rPr>
            </w:pPr>
            <w:r w:rsidRPr="00546BC9">
              <w:rPr>
                <w:rFonts w:asciiTheme="minorHAnsi" w:eastAsia="Times New Roman" w:hAnsiTheme="minorHAnsi" w:cs="Arial"/>
                <w:sz w:val="22"/>
                <w:lang w:eastAsia="pl-PL"/>
              </w:rPr>
              <w:t>1</w:t>
            </w:r>
          </w:p>
        </w:tc>
      </w:tr>
    </w:tbl>
    <w:p w:rsidR="00F73F9C" w:rsidRPr="00A50D78" w:rsidRDefault="00F73F9C" w:rsidP="00FD7676">
      <w:pPr>
        <w:rPr>
          <w:rFonts w:asciiTheme="minorHAnsi" w:hAnsiTheme="minorHAnsi"/>
          <w:sz w:val="20"/>
        </w:rPr>
      </w:pPr>
      <w:r w:rsidRPr="00A50D78">
        <w:rPr>
          <w:rFonts w:asciiTheme="minorHAnsi" w:hAnsiTheme="minorHAnsi"/>
          <w:sz w:val="20"/>
        </w:rPr>
        <w:t xml:space="preserve">Źródło: </w:t>
      </w:r>
      <w:r w:rsidRPr="00A50D78">
        <w:rPr>
          <w:rFonts w:asciiTheme="minorHAnsi" w:hAnsiTheme="minorHAnsi"/>
          <w:i/>
          <w:sz w:val="20"/>
        </w:rPr>
        <w:t>Sprawozdanie z działalności MOPS w Legnicy w 2012 r.</w:t>
      </w:r>
    </w:p>
    <w:p w:rsidR="00C90B9C" w:rsidRPr="00563EF2" w:rsidRDefault="00C90B9C" w:rsidP="00FD7676">
      <w:pPr>
        <w:rPr>
          <w:rFonts w:asciiTheme="minorHAnsi" w:hAnsiTheme="minorHAnsi"/>
          <w:b/>
          <w:sz w:val="22"/>
        </w:rPr>
      </w:pPr>
    </w:p>
    <w:p w:rsidR="009E22C0" w:rsidRPr="00563EF2" w:rsidRDefault="009E22C0" w:rsidP="00FD7676">
      <w:pPr>
        <w:rPr>
          <w:rFonts w:asciiTheme="minorHAnsi" w:hAnsiTheme="minorHAnsi"/>
          <w:sz w:val="22"/>
        </w:rPr>
      </w:pPr>
      <w:r w:rsidRPr="00563EF2">
        <w:rPr>
          <w:rFonts w:asciiTheme="minorHAnsi" w:hAnsiTheme="minorHAnsi"/>
          <w:sz w:val="22"/>
        </w:rPr>
        <w:t xml:space="preserve">Ponadto pracownicy socjalni świadczyli swe usługi w ramach pracy socjalnej, czyli niewymiernych działań bezpośrednio skierowanych do środowiska. Polega ona na przeprowadzeniu wywiadów środowiskowych, dokonaniu analizy problemów i ustaleniu planów pracy socjalnej z rodziną. Celem pracy socjalnej jest doprowadzenie do zmian, mających wpływ na poprawę funkcjonowania rodziny poprzez wsparcie, pomoc i poradnictwo. </w:t>
      </w:r>
    </w:p>
    <w:p w:rsidR="00293C69" w:rsidRPr="00563EF2" w:rsidRDefault="00293C69" w:rsidP="00FD7676">
      <w:pPr>
        <w:rPr>
          <w:rFonts w:asciiTheme="minorHAnsi" w:hAnsiTheme="minorHAnsi"/>
          <w:sz w:val="22"/>
        </w:rPr>
      </w:pPr>
    </w:p>
    <w:p w:rsidR="00293C69" w:rsidRPr="00563EF2" w:rsidRDefault="00293C69" w:rsidP="00FD7676">
      <w:pPr>
        <w:rPr>
          <w:rFonts w:asciiTheme="minorHAnsi" w:hAnsiTheme="minorHAnsi"/>
          <w:sz w:val="22"/>
        </w:rPr>
      </w:pPr>
      <w:r w:rsidRPr="00563EF2">
        <w:rPr>
          <w:rFonts w:asciiTheme="minorHAnsi" w:hAnsiTheme="minorHAnsi"/>
          <w:sz w:val="22"/>
        </w:rPr>
        <w:t>MOPS w Legnicy prowadził także akcje finansowane przez środki zewnętrzne Unii Europejskiej</w:t>
      </w:r>
      <w:r w:rsidR="00192EC9">
        <w:rPr>
          <w:rFonts w:asciiTheme="minorHAnsi" w:hAnsiTheme="minorHAnsi"/>
          <w:sz w:val="22"/>
        </w:rPr>
        <w:t>,</w:t>
      </w:r>
      <w:r w:rsidRPr="00563EF2">
        <w:rPr>
          <w:rFonts w:asciiTheme="minorHAnsi" w:hAnsiTheme="minorHAnsi"/>
          <w:sz w:val="22"/>
        </w:rPr>
        <w:t xml:space="preserve"> były to:</w:t>
      </w:r>
    </w:p>
    <w:p w:rsidR="007B40CC" w:rsidRPr="00563EF2" w:rsidRDefault="007B40CC" w:rsidP="00FD7676">
      <w:pPr>
        <w:pStyle w:val="Akapitzlist"/>
        <w:numPr>
          <w:ilvl w:val="0"/>
          <w:numId w:val="17"/>
        </w:numPr>
        <w:rPr>
          <w:rFonts w:asciiTheme="minorHAnsi" w:hAnsiTheme="minorHAnsi"/>
          <w:sz w:val="22"/>
        </w:rPr>
      </w:pPr>
      <w:r w:rsidRPr="00563EF2">
        <w:rPr>
          <w:rFonts w:asciiTheme="minorHAnsi" w:hAnsiTheme="minorHAnsi"/>
          <w:sz w:val="22"/>
        </w:rPr>
        <w:t>Projekt systemowy „Wykorzystaj szansę, zdobądź zatrudnienie” – program realizowany przy wsparciu środków z PO KL</w:t>
      </w:r>
      <w:r w:rsidR="00192EC9">
        <w:rPr>
          <w:rFonts w:asciiTheme="minorHAnsi" w:hAnsiTheme="minorHAnsi"/>
          <w:sz w:val="22"/>
        </w:rPr>
        <w:t>,</w:t>
      </w:r>
      <w:r w:rsidRPr="00563EF2">
        <w:rPr>
          <w:rFonts w:asciiTheme="minorHAnsi" w:hAnsiTheme="minorHAnsi"/>
          <w:sz w:val="22"/>
        </w:rPr>
        <w:t xml:space="preserve"> objął on 102 osoby z terenu Legnicy w wieku produkcyjnym, bezrobotne i korzystające ze świadczeń pomocy społecznej. Celem projektu była aktywizacja społeczna, zawodowa i edukacyjna uczestników programu, zagrożonych wykluczeniem społecznym. Uczestnicy oprócz pracy z pracownikiem socjalnym,</w:t>
      </w:r>
      <w:r w:rsidR="00214581" w:rsidRPr="00563EF2">
        <w:rPr>
          <w:rFonts w:asciiTheme="minorHAnsi" w:hAnsiTheme="minorHAnsi"/>
          <w:sz w:val="22"/>
        </w:rPr>
        <w:t xml:space="preserve"> psychologiem i doradc</w:t>
      </w:r>
      <w:r w:rsidR="00192EC9">
        <w:rPr>
          <w:rFonts w:asciiTheme="minorHAnsi" w:hAnsiTheme="minorHAnsi"/>
          <w:sz w:val="22"/>
        </w:rPr>
        <w:t>ą</w:t>
      </w:r>
      <w:r w:rsidR="00214581" w:rsidRPr="00563EF2">
        <w:rPr>
          <w:rFonts w:asciiTheme="minorHAnsi" w:hAnsiTheme="minorHAnsi"/>
          <w:sz w:val="22"/>
        </w:rPr>
        <w:t xml:space="preserve"> zawodowym</w:t>
      </w:r>
      <w:r w:rsidRPr="00563EF2">
        <w:rPr>
          <w:rFonts w:asciiTheme="minorHAnsi" w:hAnsiTheme="minorHAnsi"/>
          <w:sz w:val="22"/>
        </w:rPr>
        <w:t xml:space="preserve"> brali udział w warsztatach oraz szkoleniach </w:t>
      </w:r>
      <w:r w:rsidR="00214581" w:rsidRPr="00563EF2">
        <w:rPr>
          <w:rFonts w:asciiTheme="minorHAnsi" w:hAnsiTheme="minorHAnsi"/>
          <w:sz w:val="22"/>
        </w:rPr>
        <w:t>w z</w:t>
      </w:r>
      <w:r w:rsidR="0033475A">
        <w:rPr>
          <w:rFonts w:asciiTheme="minorHAnsi" w:hAnsiTheme="minorHAnsi"/>
          <w:sz w:val="22"/>
        </w:rPr>
        <w:t>akresie aktywizacji zawodowej i </w:t>
      </w:r>
      <w:r w:rsidR="00214581" w:rsidRPr="00563EF2">
        <w:rPr>
          <w:rFonts w:asciiTheme="minorHAnsi" w:hAnsiTheme="minorHAnsi"/>
          <w:sz w:val="22"/>
        </w:rPr>
        <w:t xml:space="preserve">społecznej. </w:t>
      </w:r>
    </w:p>
    <w:p w:rsidR="007B40CC" w:rsidRPr="00BA13AE" w:rsidRDefault="00214581" w:rsidP="00FD7676">
      <w:pPr>
        <w:pStyle w:val="Akapitzlist"/>
        <w:numPr>
          <w:ilvl w:val="0"/>
          <w:numId w:val="17"/>
        </w:numPr>
        <w:rPr>
          <w:rFonts w:asciiTheme="minorHAnsi" w:hAnsiTheme="minorHAnsi"/>
          <w:sz w:val="22"/>
        </w:rPr>
      </w:pPr>
      <w:r w:rsidRPr="00563EF2">
        <w:rPr>
          <w:rFonts w:asciiTheme="minorHAnsi" w:hAnsiTheme="minorHAnsi"/>
          <w:sz w:val="22"/>
        </w:rPr>
        <w:t>„Siłę mam dzięki Wam, ale radzę sobie sam – pilotażowy program rewitalizacji społecznej obszaru wsparcia w Legnicy” – program realizowany przy wsparciu PO KL w ramach porozumienia z Chrześcijański</w:t>
      </w:r>
      <w:r w:rsidR="00192EC9">
        <w:rPr>
          <w:rFonts w:asciiTheme="minorHAnsi" w:hAnsiTheme="minorHAnsi"/>
          <w:sz w:val="22"/>
        </w:rPr>
        <w:t>m</w:t>
      </w:r>
      <w:r w:rsidRPr="00563EF2">
        <w:rPr>
          <w:rFonts w:asciiTheme="minorHAnsi" w:hAnsiTheme="minorHAnsi"/>
          <w:sz w:val="22"/>
        </w:rPr>
        <w:t xml:space="preserve"> Stowarzyszeniem Dobroczynnym, skierowano go do mieszkańców obszaru Henryka Pobożnego, objętego Lokalnym Programem Rewitalizacji. Program realizowany był przy pomocy narzędzia</w:t>
      </w:r>
      <w:r w:rsidR="00192EC9">
        <w:rPr>
          <w:rFonts w:asciiTheme="minorHAnsi" w:hAnsiTheme="minorHAnsi"/>
          <w:sz w:val="22"/>
        </w:rPr>
        <w:t>,</w:t>
      </w:r>
      <w:r w:rsidRPr="00563EF2">
        <w:rPr>
          <w:rFonts w:asciiTheme="minorHAnsi" w:hAnsiTheme="minorHAnsi"/>
          <w:sz w:val="22"/>
        </w:rPr>
        <w:t xml:space="preserve"> jaki</w:t>
      </w:r>
      <w:r w:rsidR="00192EC9">
        <w:rPr>
          <w:rFonts w:asciiTheme="minorHAnsi" w:hAnsiTheme="minorHAnsi"/>
          <w:sz w:val="22"/>
        </w:rPr>
        <w:t>m</w:t>
      </w:r>
      <w:r w:rsidRPr="00563EF2">
        <w:rPr>
          <w:rFonts w:asciiTheme="minorHAnsi" w:hAnsiTheme="minorHAnsi"/>
          <w:sz w:val="22"/>
        </w:rPr>
        <w:t xml:space="preserve"> jest kontrakt społeczny.  W ramach programu zrealizowano li</w:t>
      </w:r>
      <w:r w:rsidR="00192EC9">
        <w:rPr>
          <w:rFonts w:asciiTheme="minorHAnsi" w:hAnsiTheme="minorHAnsi"/>
          <w:sz w:val="22"/>
        </w:rPr>
        <w:t xml:space="preserve">czne warsztaty psychospołeczne </w:t>
      </w:r>
      <w:r w:rsidRPr="00563EF2">
        <w:rPr>
          <w:rFonts w:asciiTheme="minorHAnsi" w:hAnsiTheme="minorHAnsi"/>
          <w:sz w:val="22"/>
        </w:rPr>
        <w:t>nastawione na aktywizację mieszkańców, stworzono punkt konsultacyjno-infromacyjny służący doradztwem dla osób objętych programem, zrealizowano liczne zajęcia sportowo</w:t>
      </w:r>
      <w:r w:rsidR="00BA13AE">
        <w:rPr>
          <w:rFonts w:asciiTheme="minorHAnsi" w:hAnsiTheme="minorHAnsi"/>
          <w:sz w:val="22"/>
        </w:rPr>
        <w:t>-ruchowe dla dzieci i młodzieży</w:t>
      </w:r>
      <w:r w:rsidRPr="00563EF2">
        <w:rPr>
          <w:rStyle w:val="Odwoanieprzypisudolnego"/>
          <w:rFonts w:asciiTheme="minorHAnsi" w:hAnsiTheme="minorHAnsi"/>
          <w:sz w:val="22"/>
        </w:rPr>
        <w:footnoteReference w:id="9"/>
      </w:r>
      <w:r w:rsidR="007B40CC" w:rsidRPr="00BA13AE">
        <w:rPr>
          <w:rFonts w:asciiTheme="minorHAnsi" w:hAnsiTheme="minorHAnsi"/>
          <w:sz w:val="22"/>
        </w:rPr>
        <w:t xml:space="preserve">.  </w:t>
      </w:r>
    </w:p>
    <w:p w:rsidR="00293C69" w:rsidRPr="00563EF2" w:rsidRDefault="00293C69" w:rsidP="00FD7676">
      <w:pPr>
        <w:rPr>
          <w:rFonts w:asciiTheme="minorHAnsi" w:hAnsiTheme="minorHAnsi"/>
          <w:sz w:val="22"/>
        </w:rPr>
      </w:pPr>
    </w:p>
    <w:p w:rsidR="00293C69" w:rsidRPr="00563EF2" w:rsidRDefault="00293C69" w:rsidP="00FD7676">
      <w:pPr>
        <w:rPr>
          <w:rFonts w:asciiTheme="minorHAnsi" w:hAnsiTheme="minorHAnsi"/>
          <w:sz w:val="22"/>
        </w:rPr>
      </w:pPr>
      <w:r w:rsidRPr="00563EF2">
        <w:rPr>
          <w:rFonts w:asciiTheme="minorHAnsi" w:hAnsiTheme="minorHAnsi"/>
          <w:sz w:val="22"/>
        </w:rPr>
        <w:t>Jednostki podległe MOPS realizowały również wiele innych działań</w:t>
      </w:r>
      <w:r w:rsidR="007B40CC" w:rsidRPr="00563EF2">
        <w:rPr>
          <w:rFonts w:asciiTheme="minorHAnsi" w:hAnsiTheme="minorHAnsi"/>
          <w:sz w:val="22"/>
        </w:rPr>
        <w:t xml:space="preserve"> w zakresie pomocy społ</w:t>
      </w:r>
      <w:r w:rsidR="0033475A">
        <w:rPr>
          <w:rFonts w:asciiTheme="minorHAnsi" w:hAnsiTheme="minorHAnsi"/>
          <w:sz w:val="22"/>
        </w:rPr>
        <w:t>ecznej i </w:t>
      </w:r>
      <w:r w:rsidR="007B40CC" w:rsidRPr="00563EF2">
        <w:rPr>
          <w:rFonts w:asciiTheme="minorHAnsi" w:hAnsiTheme="minorHAnsi"/>
          <w:sz w:val="22"/>
        </w:rPr>
        <w:t>opiekuńczej</w:t>
      </w:r>
      <w:r w:rsidRPr="00563EF2">
        <w:rPr>
          <w:rFonts w:asciiTheme="minorHAnsi" w:hAnsiTheme="minorHAnsi"/>
          <w:sz w:val="22"/>
        </w:rPr>
        <w:t xml:space="preserve">, które z uwagi na ich obszerność tematyczną nie zostaną opisane w tym opracowaniu. </w:t>
      </w:r>
    </w:p>
    <w:p w:rsidR="00CB328B" w:rsidRPr="00563EF2" w:rsidRDefault="00CB328B" w:rsidP="00EC5484">
      <w:pPr>
        <w:pStyle w:val="Nagwek3"/>
        <w:rPr>
          <w:b w:val="0"/>
        </w:rPr>
      </w:pPr>
      <w:bookmarkStart w:id="27" w:name="_Toc399756314"/>
      <w:r w:rsidRPr="00563EF2">
        <w:rPr>
          <w:b w:val="0"/>
        </w:rPr>
        <w:t>Organizacje pozarządowe</w:t>
      </w:r>
      <w:bookmarkEnd w:id="27"/>
    </w:p>
    <w:p w:rsidR="00CB328B" w:rsidRPr="00563EF2" w:rsidRDefault="00CB328B" w:rsidP="00FD7676">
      <w:pPr>
        <w:rPr>
          <w:rFonts w:asciiTheme="minorHAnsi" w:hAnsiTheme="minorHAnsi"/>
          <w:sz w:val="22"/>
        </w:rPr>
      </w:pPr>
    </w:p>
    <w:p w:rsidR="00BA13AE" w:rsidRDefault="00CB328B" w:rsidP="00FD7676">
      <w:pPr>
        <w:rPr>
          <w:rFonts w:asciiTheme="minorHAnsi" w:hAnsiTheme="minorHAnsi"/>
          <w:sz w:val="22"/>
        </w:rPr>
      </w:pPr>
      <w:r w:rsidRPr="00563EF2">
        <w:rPr>
          <w:rFonts w:asciiTheme="minorHAnsi" w:hAnsiTheme="minorHAnsi"/>
          <w:sz w:val="22"/>
        </w:rPr>
        <w:t xml:space="preserve">Ważną funkcję przy realizacji celów  polityki społecznej pełnią organizacje pozarządowe (NGO’s) </w:t>
      </w:r>
      <w:r w:rsidR="00AB0F27">
        <w:rPr>
          <w:rFonts w:asciiTheme="minorHAnsi" w:hAnsiTheme="minorHAnsi"/>
          <w:sz w:val="22"/>
        </w:rPr>
        <w:t>działające</w:t>
      </w:r>
      <w:r w:rsidRPr="00563EF2">
        <w:rPr>
          <w:rFonts w:asciiTheme="minorHAnsi" w:hAnsiTheme="minorHAnsi"/>
          <w:sz w:val="22"/>
        </w:rPr>
        <w:t xml:space="preserve"> na terenie Legnicy. Ich rola w aktywizacji sportowej, kulturowej i zawodowej mieszkańców, przeciwdziałan</w:t>
      </w:r>
      <w:r w:rsidR="0064065B">
        <w:rPr>
          <w:rFonts w:asciiTheme="minorHAnsi" w:hAnsiTheme="minorHAnsi"/>
          <w:sz w:val="22"/>
        </w:rPr>
        <w:t>iu powstawaniu patologii i wyklu</w:t>
      </w:r>
      <w:r w:rsidRPr="00563EF2">
        <w:rPr>
          <w:rFonts w:asciiTheme="minorHAnsi" w:hAnsiTheme="minorHAnsi"/>
          <w:sz w:val="22"/>
        </w:rPr>
        <w:t>czeń społecznych oraz niesieniu pomocy osobom dotkniętym przez los jest nie do</w:t>
      </w:r>
      <w:r w:rsidR="006E2CDE">
        <w:rPr>
          <w:rFonts w:asciiTheme="minorHAnsi" w:hAnsiTheme="minorHAnsi"/>
          <w:sz w:val="22"/>
        </w:rPr>
        <w:t xml:space="preserve"> przecenienia. </w:t>
      </w:r>
    </w:p>
    <w:p w:rsidR="00BA13AE" w:rsidRDefault="00BA13AE" w:rsidP="00FD7676">
      <w:pPr>
        <w:rPr>
          <w:rFonts w:asciiTheme="minorHAnsi" w:hAnsiTheme="minorHAnsi"/>
          <w:sz w:val="22"/>
        </w:rPr>
      </w:pPr>
    </w:p>
    <w:p w:rsidR="00CB328B" w:rsidRPr="00563EF2" w:rsidRDefault="006E2CDE" w:rsidP="00FD7676">
      <w:pPr>
        <w:rPr>
          <w:rFonts w:asciiTheme="minorHAnsi" w:hAnsiTheme="minorHAnsi"/>
          <w:sz w:val="22"/>
        </w:rPr>
      </w:pPr>
      <w:r>
        <w:rPr>
          <w:rFonts w:asciiTheme="minorHAnsi" w:hAnsiTheme="minorHAnsi"/>
          <w:sz w:val="22"/>
        </w:rPr>
        <w:t>W Legnicy zarejestrowanych jest wg ewidencji Urzędu Miasta Legnicy</w:t>
      </w:r>
      <w:r w:rsidR="00CB328B" w:rsidRPr="00563EF2">
        <w:rPr>
          <w:rFonts w:asciiTheme="minorHAnsi" w:hAnsiTheme="minorHAnsi"/>
          <w:sz w:val="22"/>
        </w:rPr>
        <w:t>:</w:t>
      </w:r>
    </w:p>
    <w:p w:rsidR="00CB328B" w:rsidRPr="00563EF2" w:rsidRDefault="00AB0F27" w:rsidP="00E6635A">
      <w:pPr>
        <w:pStyle w:val="Akapitzlist"/>
        <w:numPr>
          <w:ilvl w:val="0"/>
          <w:numId w:val="31"/>
        </w:numPr>
        <w:rPr>
          <w:rFonts w:asciiTheme="minorHAnsi" w:hAnsiTheme="minorHAnsi"/>
          <w:sz w:val="22"/>
        </w:rPr>
      </w:pPr>
      <w:r>
        <w:rPr>
          <w:rFonts w:asciiTheme="minorHAnsi" w:hAnsiTheme="minorHAnsi"/>
          <w:sz w:val="22"/>
        </w:rPr>
        <w:t>237 s</w:t>
      </w:r>
      <w:r w:rsidR="00CB328B" w:rsidRPr="00563EF2">
        <w:rPr>
          <w:rFonts w:asciiTheme="minorHAnsi" w:hAnsiTheme="minorHAnsi"/>
          <w:sz w:val="22"/>
        </w:rPr>
        <w:t>towarzyszeń,</w:t>
      </w:r>
    </w:p>
    <w:p w:rsidR="00CB328B" w:rsidRPr="00563EF2" w:rsidRDefault="006645CE" w:rsidP="00E6635A">
      <w:pPr>
        <w:pStyle w:val="Akapitzlist"/>
        <w:numPr>
          <w:ilvl w:val="0"/>
          <w:numId w:val="31"/>
        </w:numPr>
        <w:rPr>
          <w:rFonts w:asciiTheme="minorHAnsi" w:hAnsiTheme="minorHAnsi"/>
          <w:sz w:val="22"/>
        </w:rPr>
      </w:pPr>
      <w:r>
        <w:rPr>
          <w:rFonts w:asciiTheme="minorHAnsi" w:hAnsiTheme="minorHAnsi"/>
          <w:sz w:val="22"/>
        </w:rPr>
        <w:t>61</w:t>
      </w:r>
      <w:r w:rsidR="00CB328B" w:rsidRPr="00563EF2">
        <w:rPr>
          <w:rFonts w:asciiTheme="minorHAnsi" w:hAnsiTheme="minorHAnsi"/>
          <w:sz w:val="22"/>
        </w:rPr>
        <w:t xml:space="preserve"> stowarzyszeń i klubów sportowych,</w:t>
      </w:r>
    </w:p>
    <w:p w:rsidR="00CB328B" w:rsidRDefault="006E2CDE" w:rsidP="00E6635A">
      <w:pPr>
        <w:pStyle w:val="Akapitzlist"/>
        <w:numPr>
          <w:ilvl w:val="0"/>
          <w:numId w:val="31"/>
        </w:numPr>
        <w:rPr>
          <w:rFonts w:asciiTheme="minorHAnsi" w:hAnsiTheme="minorHAnsi"/>
          <w:sz w:val="22"/>
        </w:rPr>
      </w:pPr>
      <w:r>
        <w:rPr>
          <w:rFonts w:asciiTheme="minorHAnsi" w:hAnsiTheme="minorHAnsi"/>
          <w:sz w:val="22"/>
        </w:rPr>
        <w:t>39</w:t>
      </w:r>
      <w:r w:rsidR="00CB328B" w:rsidRPr="00563EF2">
        <w:rPr>
          <w:rFonts w:asciiTheme="minorHAnsi" w:hAnsiTheme="minorHAnsi"/>
          <w:sz w:val="22"/>
        </w:rPr>
        <w:t xml:space="preserve"> fundacji.</w:t>
      </w:r>
    </w:p>
    <w:p w:rsidR="00BA13AE" w:rsidRPr="00563EF2" w:rsidRDefault="00BA13AE" w:rsidP="00BA13AE">
      <w:pPr>
        <w:pStyle w:val="Akapitzlist"/>
        <w:rPr>
          <w:rFonts w:asciiTheme="minorHAnsi" w:hAnsiTheme="minorHAnsi"/>
          <w:sz w:val="22"/>
        </w:rPr>
      </w:pPr>
    </w:p>
    <w:p w:rsidR="00CB328B" w:rsidRPr="00563EF2" w:rsidRDefault="00CB328B" w:rsidP="00FD7676">
      <w:pPr>
        <w:rPr>
          <w:rFonts w:asciiTheme="minorHAnsi" w:hAnsiTheme="minorHAnsi"/>
          <w:sz w:val="22"/>
        </w:rPr>
      </w:pPr>
      <w:r w:rsidRPr="00563EF2">
        <w:rPr>
          <w:rFonts w:asciiTheme="minorHAnsi" w:hAnsiTheme="minorHAnsi"/>
          <w:sz w:val="22"/>
        </w:rPr>
        <w:t>Ich aktywność i sprawność funk</w:t>
      </w:r>
      <w:r w:rsidR="008A102E" w:rsidRPr="00563EF2">
        <w:rPr>
          <w:rFonts w:asciiTheme="minorHAnsi" w:hAnsiTheme="minorHAnsi"/>
          <w:sz w:val="22"/>
        </w:rPr>
        <w:t>cjonowania można zaobserwować w skuteczności pozyskiwania środków z dobrowolnego odpisu 1% podatku PIT . W ramach rozliczenia 1% podatku dochodowego od osób fizycznych za 2012 r. organizacje pozarządowe posiadające swoją siedzibę</w:t>
      </w:r>
      <w:r w:rsidR="006E2CDE">
        <w:rPr>
          <w:rFonts w:asciiTheme="minorHAnsi" w:hAnsiTheme="minorHAnsi"/>
          <w:sz w:val="22"/>
        </w:rPr>
        <w:t xml:space="preserve"> w Legnicy otrzymały łącznie 534 962,3</w:t>
      </w:r>
      <w:r w:rsidR="008A102E" w:rsidRPr="00563EF2">
        <w:rPr>
          <w:rFonts w:asciiTheme="minorHAnsi" w:hAnsiTheme="minorHAnsi"/>
          <w:sz w:val="22"/>
        </w:rPr>
        <w:t xml:space="preserve">0 zł, z czego największym </w:t>
      </w:r>
      <w:r w:rsidR="006E2CDE">
        <w:rPr>
          <w:rFonts w:asciiTheme="minorHAnsi" w:hAnsiTheme="minorHAnsi"/>
          <w:sz w:val="22"/>
        </w:rPr>
        <w:t>beneficjentem był Caritas D</w:t>
      </w:r>
      <w:r w:rsidR="008A102E" w:rsidRPr="00563EF2">
        <w:rPr>
          <w:rFonts w:asciiTheme="minorHAnsi" w:hAnsiTheme="minorHAnsi"/>
          <w:sz w:val="22"/>
        </w:rPr>
        <w:t xml:space="preserve">iecezji Legnickiej. </w:t>
      </w:r>
    </w:p>
    <w:p w:rsidR="007B40CC" w:rsidRPr="00563EF2" w:rsidRDefault="007B40CC" w:rsidP="00FD7676">
      <w:pPr>
        <w:rPr>
          <w:rFonts w:asciiTheme="minorHAnsi" w:hAnsiTheme="minorHAnsi"/>
          <w:b/>
          <w:sz w:val="22"/>
        </w:rPr>
      </w:pPr>
    </w:p>
    <w:p w:rsidR="008A102E" w:rsidRPr="007F6382" w:rsidRDefault="008A102E" w:rsidP="00FD7676">
      <w:pPr>
        <w:pStyle w:val="Legenda"/>
        <w:keepNext/>
        <w:spacing w:line="276" w:lineRule="auto"/>
        <w:rPr>
          <w:rFonts w:asciiTheme="minorHAnsi" w:hAnsiTheme="minorHAnsi"/>
          <w:sz w:val="20"/>
        </w:rPr>
      </w:pPr>
      <w:r w:rsidRPr="007F6382">
        <w:rPr>
          <w:rFonts w:asciiTheme="minorHAnsi" w:hAnsiTheme="minorHAnsi"/>
          <w:sz w:val="20"/>
        </w:rPr>
        <w:t xml:space="preserve">Tabela </w:t>
      </w:r>
      <w:r w:rsidR="00017794" w:rsidRPr="007F6382">
        <w:rPr>
          <w:rFonts w:asciiTheme="minorHAnsi" w:hAnsiTheme="minorHAnsi"/>
          <w:sz w:val="20"/>
        </w:rPr>
        <w:fldChar w:fldCharType="begin"/>
      </w:r>
      <w:r w:rsidRPr="007F6382">
        <w:rPr>
          <w:rFonts w:asciiTheme="minorHAnsi" w:hAnsiTheme="minorHAnsi"/>
          <w:sz w:val="20"/>
        </w:rPr>
        <w:instrText xml:space="preserve"> SEQ Tabela \* ARABIC </w:instrText>
      </w:r>
      <w:r w:rsidR="00017794" w:rsidRPr="007F6382">
        <w:rPr>
          <w:rFonts w:asciiTheme="minorHAnsi" w:hAnsiTheme="minorHAnsi"/>
          <w:sz w:val="20"/>
        </w:rPr>
        <w:fldChar w:fldCharType="separate"/>
      </w:r>
      <w:r w:rsidR="007B2916">
        <w:rPr>
          <w:rFonts w:asciiTheme="minorHAnsi" w:hAnsiTheme="minorHAnsi"/>
          <w:noProof/>
          <w:sz w:val="20"/>
        </w:rPr>
        <w:t>16</w:t>
      </w:r>
      <w:r w:rsidR="00017794" w:rsidRPr="007F6382">
        <w:rPr>
          <w:rFonts w:asciiTheme="minorHAnsi" w:hAnsiTheme="minorHAnsi"/>
          <w:sz w:val="20"/>
        </w:rPr>
        <w:fldChar w:fldCharType="end"/>
      </w:r>
      <w:r w:rsidRPr="007F6382">
        <w:rPr>
          <w:rFonts w:asciiTheme="minorHAnsi" w:hAnsiTheme="minorHAnsi"/>
          <w:sz w:val="20"/>
        </w:rPr>
        <w:t>. Organizacje pożytku publicznego, które otrzymały 1% podatku od osób fizycznych.</w:t>
      </w:r>
    </w:p>
    <w:tbl>
      <w:tblPr>
        <w:tblStyle w:val="Jasnasiatkaakcent11"/>
        <w:tblW w:w="0" w:type="auto"/>
        <w:tblLayout w:type="fixed"/>
        <w:tblLook w:val="04A0" w:firstRow="1" w:lastRow="0" w:firstColumn="1" w:lastColumn="0" w:noHBand="0" w:noVBand="1"/>
      </w:tblPr>
      <w:tblGrid>
        <w:gridCol w:w="557"/>
        <w:gridCol w:w="7154"/>
        <w:gridCol w:w="1341"/>
      </w:tblGrid>
      <w:tr w:rsidR="00CB328B" w:rsidRPr="00546BC9" w:rsidTr="00546B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Lp.</w:t>
            </w:r>
          </w:p>
        </w:tc>
        <w:tc>
          <w:tcPr>
            <w:tcW w:w="7154" w:type="dxa"/>
            <w:noWrap/>
            <w:hideMark/>
          </w:tcPr>
          <w:p w:rsidR="00CB328B" w:rsidRPr="00546BC9" w:rsidRDefault="00CB328B" w:rsidP="00FD7676">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Nazwa organizacji</w:t>
            </w:r>
          </w:p>
        </w:tc>
        <w:tc>
          <w:tcPr>
            <w:tcW w:w="1341" w:type="dxa"/>
            <w:noWrap/>
            <w:hideMark/>
          </w:tcPr>
          <w:p w:rsidR="00CB328B" w:rsidRPr="00546BC9" w:rsidRDefault="00CB328B"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Kwota uzyskanych środków</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Fundacja Pomocy Dzieciom Specjalnej Troski</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63 167,04</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POLSKIE FORUM EUROPEJSKIEJ KOALICJI DO WALKI Z RAKIEM PIERSI EUROPA DONNA</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6 956,33</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3</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 xml:space="preserve">STOWARZYSZENIE NA RZECZ DZIECI I OSÓB Z UPOŚLEDZENIEM UMYSŁOWYM I RUCHOWYM PERSONA </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18 042,40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4</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 xml:space="preserve">STOWARZYSZENIE PRZYJACIÓŁ TEATRU MODRZEJEWSKIEJ W LEGNICY </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3 952,40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5</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STOWARZYSZENIE PRZYJACIÓŁ I RODZICÓW OSÓB Z UPOŚLEDZENIEM INTELEKTUALNYM "JUTRZENKA"</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11 006,60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6</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RUCH KOBIET DO WALKI Z RAKIE</w:t>
            </w:r>
            <w:r w:rsidR="00192EC9">
              <w:rPr>
                <w:rFonts w:asciiTheme="minorHAnsi" w:eastAsia="Times New Roman" w:hAnsiTheme="minorHAnsi" w:cs="Times New Roman"/>
                <w:color w:val="000000"/>
                <w:sz w:val="22"/>
                <w:lang w:eastAsia="pl-PL"/>
              </w:rPr>
              <w:t>M PIERSI - EUROPA DONNA LEGNICA</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8 568,90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7</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FUNDACJA NA RZECZ DZIECI ZAGŁĘBIA MIEDZIOWEGO</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7 530,05</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8</w:t>
            </w:r>
          </w:p>
        </w:tc>
        <w:tc>
          <w:tcPr>
            <w:tcW w:w="7154" w:type="dxa"/>
            <w:noWrap/>
            <w:hideMark/>
          </w:tcPr>
          <w:p w:rsidR="00CB328B" w:rsidRPr="00546BC9" w:rsidRDefault="00192EC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Pr>
                <w:rFonts w:asciiTheme="minorHAnsi" w:eastAsia="Times New Roman" w:hAnsiTheme="minorHAnsi" w:cs="Times New Roman"/>
                <w:color w:val="000000"/>
                <w:sz w:val="22"/>
                <w:lang w:eastAsia="pl-PL"/>
              </w:rPr>
              <w:t>FUNDACJA EUCO DZIECIOM</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7 247,80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9</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FUNDACJA OTWARTE SERCE</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4 590,10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10</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CHARYTATYWNE STOWARZYSZENIE NIESIENIA POMOCY OSOBOM UZALEŻNIONYM OD ALKOHOLU, OSOBOM WSPÓŁUZALEŻNIONYM ORAZ OFIAROM PRZEMOCY "NIE JESTEŚ SAM"</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8 983,00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11</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TOWARZYSTWO MIŁOŚNIKÓW LEGNICY "PRO LEGNICA"</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1 610,10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12</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Caritas Diecezji Legnickiej</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250 126,77</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13</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LEGNICKIE STOWARZYSZENIE RODZIN I PRZYJACIÓŁ DZIECI Z ZESPOŁEM DOWNA OTWÓRZ SERCE</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7 509,90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14</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MŁODZIEŻOWE STOWARZYSZENIE PIŁKI RĘCZNEJ "SIÓDEMKA" LEGNICA</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3 987,30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15</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STOWARZYSZENIE POMOCY OSOBOM NIEPEŁNOSPRAWNYM - "TETRUSEK"</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93 485,11</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16</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STOWARZYSZENIE RODZICÓW I PRZYJACIÓŁ MŁODZIEŻOWEJ ORKIESTRY "SURSUM CORDA" W LEGNICY</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3 235,60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17</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STOWARZYSZENIE PRZYJACIÓŁ GIMNAZJUM NR 5 IM. KSIĘCIA JERZEGO WILHELMA W LEGNICY "GIM-5"</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1 273,00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18</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UCZNIOWSKI KLUB SPORTOWY "DZIEWIĄTKA" W LEGNICY</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22 652</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19</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KLUB SPORTOWY "WANKAN"</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124,50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20</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AUTONOMICZNA SEKCJA PIŁKI NOŻNEJ "MIEDŹ"</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318</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21</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KLUB SPORTOWY "KONFEKS" LEGNICA</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9 864,20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22</w:t>
            </w: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LEGNICKIE STOWARZYSZENIE "FUTBOL-5"</w:t>
            </w:r>
          </w:p>
        </w:tc>
        <w:tc>
          <w:tcPr>
            <w:tcW w:w="1341" w:type="dxa"/>
            <w:noWrap/>
            <w:hideMark/>
          </w:tcPr>
          <w:p w:rsidR="00CB328B" w:rsidRPr="00546BC9" w:rsidRDefault="00CB328B"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517,90</w:t>
            </w:r>
          </w:p>
        </w:tc>
      </w:tr>
      <w:tr w:rsidR="00CB328B" w:rsidRPr="00546BC9" w:rsidTr="00546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6E2CDE" w:rsidP="00FD7676">
            <w:pPr>
              <w:jc w:val="right"/>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23</w:t>
            </w:r>
          </w:p>
        </w:tc>
        <w:tc>
          <w:tcPr>
            <w:tcW w:w="7154" w:type="dxa"/>
            <w:noWrap/>
            <w:hideMark/>
          </w:tcPr>
          <w:p w:rsidR="00CB328B" w:rsidRPr="00546BC9" w:rsidRDefault="00CB328B"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FUNDACJA EKOLOGICZNA "ZIELONA AKCJA"</w:t>
            </w:r>
          </w:p>
        </w:tc>
        <w:tc>
          <w:tcPr>
            <w:tcW w:w="1341" w:type="dxa"/>
            <w:noWrap/>
            <w:hideMark/>
          </w:tcPr>
          <w:p w:rsidR="00CB328B" w:rsidRPr="00546BC9" w:rsidRDefault="00CB328B"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213,30</w:t>
            </w:r>
          </w:p>
        </w:tc>
      </w:tr>
      <w:tr w:rsidR="00CB328B" w:rsidRPr="00546BC9" w:rsidTr="00546B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CB328B" w:rsidRPr="00546BC9" w:rsidRDefault="00CB328B" w:rsidP="00FD7676">
            <w:pPr>
              <w:jc w:val="left"/>
              <w:rPr>
                <w:rFonts w:asciiTheme="minorHAnsi" w:eastAsia="Times New Roman" w:hAnsiTheme="minorHAnsi" w:cs="Times New Roman"/>
                <w:color w:val="000000"/>
                <w:sz w:val="22"/>
                <w:lang w:eastAsia="pl-PL"/>
              </w:rPr>
            </w:pPr>
          </w:p>
        </w:tc>
        <w:tc>
          <w:tcPr>
            <w:tcW w:w="7154" w:type="dxa"/>
            <w:noWrap/>
            <w:hideMark/>
          </w:tcPr>
          <w:p w:rsidR="00CB328B" w:rsidRPr="00546BC9" w:rsidRDefault="00CB328B"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SUMA</w:t>
            </w:r>
          </w:p>
        </w:tc>
        <w:tc>
          <w:tcPr>
            <w:tcW w:w="1341" w:type="dxa"/>
            <w:noWrap/>
            <w:hideMark/>
          </w:tcPr>
          <w:p w:rsidR="00CB328B" w:rsidRPr="00546BC9" w:rsidRDefault="006E2CDE"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546BC9">
              <w:rPr>
                <w:rFonts w:asciiTheme="minorHAnsi" w:eastAsia="Times New Roman" w:hAnsiTheme="minorHAnsi" w:cs="Times New Roman"/>
                <w:color w:val="000000"/>
                <w:sz w:val="22"/>
                <w:lang w:eastAsia="pl-PL"/>
              </w:rPr>
              <w:t>534 962,3</w:t>
            </w:r>
            <w:r w:rsidR="00CB328B" w:rsidRPr="00546BC9">
              <w:rPr>
                <w:rFonts w:asciiTheme="minorHAnsi" w:eastAsia="Times New Roman" w:hAnsiTheme="minorHAnsi" w:cs="Times New Roman"/>
                <w:color w:val="000000"/>
                <w:sz w:val="22"/>
                <w:lang w:eastAsia="pl-PL"/>
              </w:rPr>
              <w:t>0</w:t>
            </w:r>
          </w:p>
        </w:tc>
      </w:tr>
    </w:tbl>
    <w:p w:rsidR="00CB328B" w:rsidRPr="00A50D78" w:rsidRDefault="008A102E" w:rsidP="00FD7676">
      <w:pPr>
        <w:rPr>
          <w:rFonts w:asciiTheme="minorHAnsi" w:hAnsiTheme="minorHAnsi"/>
          <w: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Organizacje pożytku publicznego w Legnicy uprawnione do 1% podatku za 2012 rok; Informacja dotycząca kwot 1% należnego podatku dochodowego od osób fizycznych przekazanych organizacjom pożytku publicznego z rozliczenia za 2012 rok.</w:t>
      </w:r>
    </w:p>
    <w:p w:rsidR="00DC289B" w:rsidRDefault="00DC289B" w:rsidP="00A53339">
      <w:pPr>
        <w:pStyle w:val="NormalnyWeb"/>
        <w:spacing w:line="276" w:lineRule="auto"/>
        <w:jc w:val="both"/>
        <w:rPr>
          <w:rFonts w:asciiTheme="minorHAnsi" w:eastAsiaTheme="minorHAnsi" w:hAnsiTheme="minorHAnsi" w:cstheme="minorBidi"/>
          <w:sz w:val="22"/>
          <w:szCs w:val="22"/>
          <w:lang w:eastAsia="en-US"/>
        </w:rPr>
      </w:pPr>
      <w:r w:rsidRPr="00DC289B">
        <w:rPr>
          <w:rFonts w:asciiTheme="minorHAnsi" w:hAnsiTheme="minorHAnsi"/>
          <w:sz w:val="22"/>
        </w:rPr>
        <w:t>Ciekawą inicjatywą podjętą w 2012 r. w Legnicy jest utworzenie</w:t>
      </w:r>
      <w:r>
        <w:rPr>
          <w:rFonts w:asciiTheme="minorHAnsi" w:hAnsiTheme="minorHAnsi"/>
          <w:sz w:val="22"/>
        </w:rPr>
        <w:t xml:space="preserve"> w formie stowarzyszenia</w:t>
      </w:r>
      <w:r w:rsidRPr="00DC289B">
        <w:rPr>
          <w:rFonts w:asciiTheme="minorHAnsi" w:hAnsiTheme="minorHAnsi"/>
          <w:sz w:val="22"/>
        </w:rPr>
        <w:t xml:space="preserve"> </w:t>
      </w:r>
      <w:r>
        <w:rPr>
          <w:rFonts w:asciiTheme="minorHAnsi" w:hAnsiTheme="minorHAnsi"/>
          <w:sz w:val="22"/>
        </w:rPr>
        <w:t xml:space="preserve">Dolnośląskiego Klastra Inicjatyw Społecznych </w:t>
      </w:r>
      <w:r w:rsidRPr="00DC289B">
        <w:rPr>
          <w:rFonts w:asciiTheme="minorHAnsi" w:eastAsiaTheme="minorHAnsi" w:hAnsiTheme="minorHAnsi" w:cstheme="minorBidi"/>
          <w:sz w:val="22"/>
          <w:szCs w:val="22"/>
          <w:lang w:eastAsia="en-US"/>
        </w:rPr>
        <w:t>zrzeszającego róż</w:t>
      </w:r>
      <w:r w:rsidR="00BC5391">
        <w:rPr>
          <w:rFonts w:asciiTheme="minorHAnsi" w:eastAsiaTheme="minorHAnsi" w:hAnsiTheme="minorHAnsi" w:cstheme="minorBidi"/>
          <w:sz w:val="22"/>
          <w:szCs w:val="22"/>
          <w:lang w:eastAsia="en-US"/>
        </w:rPr>
        <w:t>ne instytucje, stowarzyszenia i </w:t>
      </w:r>
      <w:r w:rsidRPr="00DC289B">
        <w:rPr>
          <w:rFonts w:asciiTheme="minorHAnsi" w:eastAsiaTheme="minorHAnsi" w:hAnsiTheme="minorHAnsi" w:cstheme="minorBidi"/>
          <w:sz w:val="22"/>
          <w:szCs w:val="22"/>
          <w:lang w:eastAsia="en-US"/>
        </w:rPr>
        <w:t>organizacje pozarządowe, których celem jest współdziałanie służące prowadzeniu działalności na rzecz ogółu społeczeństwa, poprzez: podnoszenie wiedzy zdrowo</w:t>
      </w:r>
      <w:r w:rsidR="00BC5391">
        <w:rPr>
          <w:rFonts w:asciiTheme="minorHAnsi" w:eastAsiaTheme="minorHAnsi" w:hAnsiTheme="minorHAnsi" w:cstheme="minorBidi"/>
          <w:sz w:val="22"/>
          <w:szCs w:val="22"/>
          <w:lang w:eastAsia="en-US"/>
        </w:rPr>
        <w:t>tnej, profilaktyka problemowa i </w:t>
      </w:r>
      <w:r w:rsidRPr="00DC289B">
        <w:rPr>
          <w:rFonts w:asciiTheme="minorHAnsi" w:eastAsiaTheme="minorHAnsi" w:hAnsiTheme="minorHAnsi" w:cstheme="minorBidi"/>
          <w:sz w:val="22"/>
          <w:szCs w:val="22"/>
          <w:lang w:eastAsia="en-US"/>
        </w:rPr>
        <w:t>zdrowotna, zapobieganie wykluczeniu społecznemu, przeciwdziałanie bezrobociu. W skład legnickiego klastra wchodzą m.in. Stowarzyszenie Inicjatyw Twórczych z Legnicy, Dom Pomocy Społecznej w Legnicy, Stowarzyszenie Nasz Dom z Legnicy, Stowarzyszenie Zielony Dom z Legnicy, Fundacja Rozwoju Ekonomii Społecznej w Legnicy, „Monar” z Legnicy i wiele innych, także z regionu.</w:t>
      </w:r>
      <w:r>
        <w:rPr>
          <w:rStyle w:val="Odwoanieprzypisudolnego"/>
          <w:rFonts w:asciiTheme="minorHAnsi" w:eastAsiaTheme="minorHAnsi" w:hAnsiTheme="minorHAnsi" w:cstheme="minorBidi"/>
          <w:sz w:val="22"/>
          <w:szCs w:val="22"/>
          <w:lang w:eastAsia="en-US"/>
        </w:rPr>
        <w:footnoteReference w:id="10"/>
      </w:r>
    </w:p>
    <w:p w:rsidR="00D76525" w:rsidRPr="00DC289B" w:rsidRDefault="00D76525" w:rsidP="00A53339">
      <w:pPr>
        <w:pStyle w:val="NormalnyWeb"/>
        <w:spacing w:line="276" w:lineRule="auto"/>
        <w:jc w:val="both"/>
        <w:rPr>
          <w:rFonts w:asciiTheme="minorHAnsi" w:eastAsiaTheme="minorHAnsi" w:hAnsiTheme="minorHAnsi" w:cstheme="minorBidi"/>
          <w:sz w:val="22"/>
          <w:szCs w:val="22"/>
          <w:lang w:eastAsia="en-US"/>
        </w:rPr>
      </w:pPr>
    </w:p>
    <w:p w:rsidR="009E4B50" w:rsidRPr="00563EF2" w:rsidRDefault="009E4B50" w:rsidP="00EC5484">
      <w:pPr>
        <w:pStyle w:val="Nagwek3"/>
        <w:rPr>
          <w:b w:val="0"/>
        </w:rPr>
      </w:pPr>
      <w:bookmarkStart w:id="28" w:name="_Toc399756315"/>
      <w:r w:rsidRPr="00563EF2">
        <w:rPr>
          <w:b w:val="0"/>
        </w:rPr>
        <w:t>Sport i rekreacja</w:t>
      </w:r>
      <w:bookmarkEnd w:id="28"/>
    </w:p>
    <w:p w:rsidR="00127040" w:rsidRPr="00563EF2" w:rsidRDefault="00127040" w:rsidP="00FD7676">
      <w:pPr>
        <w:rPr>
          <w:rFonts w:asciiTheme="minorHAnsi" w:hAnsiTheme="minorHAnsi"/>
          <w:b/>
          <w:sz w:val="22"/>
        </w:rPr>
      </w:pPr>
    </w:p>
    <w:p w:rsidR="004B37CC" w:rsidRDefault="004B37CC" w:rsidP="00FD7676">
      <w:pPr>
        <w:rPr>
          <w:rFonts w:asciiTheme="minorHAnsi" w:hAnsiTheme="minorHAnsi"/>
          <w:sz w:val="22"/>
        </w:rPr>
      </w:pPr>
      <w:r w:rsidRPr="00563EF2">
        <w:rPr>
          <w:rFonts w:asciiTheme="minorHAnsi" w:hAnsiTheme="minorHAnsi"/>
          <w:sz w:val="22"/>
        </w:rPr>
        <w:t>Głównym zarządcą infrastrukturą sportowo-rekreacyjną i animatorem wydarzeń jest Legnicki Ośrodek Sportu i Rekreacji. Zarządza on takimi obiektami jak:</w:t>
      </w:r>
      <w:r w:rsidR="00F20AA9">
        <w:rPr>
          <w:rFonts w:asciiTheme="minorHAnsi" w:hAnsiTheme="minorHAnsi"/>
          <w:sz w:val="22"/>
        </w:rPr>
        <w:t xml:space="preserve"> </w:t>
      </w:r>
      <w:r w:rsidR="00F20AA9" w:rsidRPr="00563EF2">
        <w:rPr>
          <w:rFonts w:asciiTheme="minorHAnsi" w:hAnsiTheme="minorHAnsi"/>
          <w:sz w:val="22"/>
        </w:rPr>
        <w:t xml:space="preserve">Stadion Miejski </w:t>
      </w:r>
      <w:r w:rsidR="006645CE">
        <w:rPr>
          <w:rFonts w:asciiTheme="minorHAnsi" w:hAnsiTheme="minorHAnsi"/>
          <w:sz w:val="22"/>
        </w:rPr>
        <w:t>im.</w:t>
      </w:r>
      <w:r w:rsidR="00F20AA9" w:rsidRPr="00563EF2">
        <w:rPr>
          <w:rFonts w:asciiTheme="minorHAnsi" w:hAnsiTheme="minorHAnsi"/>
          <w:sz w:val="22"/>
        </w:rPr>
        <w:t xml:space="preserve"> Orła Białego</w:t>
      </w:r>
      <w:r w:rsidR="001215E4">
        <w:rPr>
          <w:rFonts w:asciiTheme="minorHAnsi" w:hAnsiTheme="minorHAnsi"/>
          <w:sz w:val="22"/>
        </w:rPr>
        <w:t xml:space="preserve"> wraz z boiskami treningowymi</w:t>
      </w:r>
      <w:r w:rsidR="00F20AA9">
        <w:rPr>
          <w:rFonts w:asciiTheme="minorHAnsi" w:hAnsiTheme="minorHAnsi"/>
          <w:sz w:val="22"/>
        </w:rPr>
        <w:t>, skateparki przy ul. Cynkowej i w Parku Miejskim, kąpielisko</w:t>
      </w:r>
      <w:r w:rsidRPr="00563EF2">
        <w:rPr>
          <w:rFonts w:asciiTheme="minorHAnsi" w:hAnsiTheme="minorHAnsi"/>
          <w:sz w:val="22"/>
        </w:rPr>
        <w:t xml:space="preserve"> „Kormoran</w:t>
      </w:r>
      <w:r w:rsidR="00F20AA9">
        <w:rPr>
          <w:rFonts w:asciiTheme="minorHAnsi" w:hAnsiTheme="minorHAnsi"/>
          <w:sz w:val="22"/>
        </w:rPr>
        <w:t>”, Zespół Basenów Kąpielowych na ul. Stromej, b</w:t>
      </w:r>
      <w:r w:rsidRPr="00563EF2">
        <w:rPr>
          <w:rFonts w:asciiTheme="minorHAnsi" w:hAnsiTheme="minorHAnsi"/>
          <w:sz w:val="22"/>
        </w:rPr>
        <w:t>asen</w:t>
      </w:r>
      <w:r w:rsidR="00F20AA9">
        <w:rPr>
          <w:rFonts w:asciiTheme="minorHAnsi" w:hAnsiTheme="minorHAnsi"/>
          <w:sz w:val="22"/>
        </w:rPr>
        <w:t xml:space="preserve"> kąpielowy przy ul. Radosnej</w:t>
      </w:r>
      <w:r w:rsidRPr="00563EF2">
        <w:rPr>
          <w:rFonts w:asciiTheme="minorHAnsi" w:hAnsiTheme="minorHAnsi"/>
          <w:sz w:val="22"/>
        </w:rPr>
        <w:t xml:space="preserve">, sztuczne lodowisko, 2 korty tenisowe, </w:t>
      </w:r>
      <w:r w:rsidR="00F20AA9">
        <w:rPr>
          <w:rFonts w:asciiTheme="minorHAnsi" w:hAnsiTheme="minorHAnsi"/>
          <w:sz w:val="22"/>
        </w:rPr>
        <w:t>H</w:t>
      </w:r>
      <w:r w:rsidRPr="00563EF2">
        <w:rPr>
          <w:rFonts w:asciiTheme="minorHAnsi" w:hAnsiTheme="minorHAnsi"/>
          <w:sz w:val="22"/>
        </w:rPr>
        <w:t xml:space="preserve">ala </w:t>
      </w:r>
      <w:r w:rsidR="00F20AA9">
        <w:rPr>
          <w:rFonts w:asciiTheme="minorHAnsi" w:hAnsiTheme="minorHAnsi"/>
          <w:sz w:val="22"/>
        </w:rPr>
        <w:t>Widowiskowo-S</w:t>
      </w:r>
      <w:r w:rsidRPr="00563EF2">
        <w:rPr>
          <w:rFonts w:asciiTheme="minorHAnsi" w:hAnsiTheme="minorHAnsi"/>
          <w:sz w:val="22"/>
        </w:rPr>
        <w:t>portowa</w:t>
      </w:r>
      <w:r w:rsidR="00F20AA9">
        <w:rPr>
          <w:rFonts w:asciiTheme="minorHAnsi" w:hAnsiTheme="minorHAnsi"/>
          <w:sz w:val="22"/>
        </w:rPr>
        <w:t xml:space="preserve"> im. Dolnośląskich Olimpijczyków przy ul. Lotniczej</w:t>
      </w:r>
      <w:r w:rsidRPr="00563EF2">
        <w:rPr>
          <w:rFonts w:asciiTheme="minorHAnsi" w:hAnsiTheme="minorHAnsi"/>
          <w:sz w:val="22"/>
        </w:rPr>
        <w:t>, 2 hale sp</w:t>
      </w:r>
      <w:r w:rsidR="00F20AA9">
        <w:rPr>
          <w:rFonts w:asciiTheme="minorHAnsi" w:hAnsiTheme="minorHAnsi"/>
          <w:sz w:val="22"/>
        </w:rPr>
        <w:t>ortowe i siłownia kulturystyczna</w:t>
      </w:r>
      <w:r w:rsidRPr="00563EF2">
        <w:rPr>
          <w:rFonts w:asciiTheme="minorHAnsi" w:hAnsiTheme="minorHAnsi"/>
          <w:sz w:val="22"/>
        </w:rPr>
        <w:t xml:space="preserve">. </w:t>
      </w:r>
    </w:p>
    <w:p w:rsidR="00BB6D5E" w:rsidRDefault="00BB6D5E" w:rsidP="00FD7676">
      <w:pPr>
        <w:rPr>
          <w:rFonts w:asciiTheme="minorHAnsi" w:hAnsiTheme="minorHAnsi"/>
          <w:sz w:val="22"/>
        </w:rPr>
      </w:pPr>
    </w:p>
    <w:p w:rsidR="00C640C5" w:rsidRDefault="00BB6D5E" w:rsidP="00FD7676">
      <w:pPr>
        <w:rPr>
          <w:rFonts w:asciiTheme="minorHAnsi" w:hAnsiTheme="minorHAnsi"/>
          <w:sz w:val="22"/>
        </w:rPr>
      </w:pPr>
      <w:r>
        <w:rPr>
          <w:rFonts w:asciiTheme="minorHAnsi" w:hAnsiTheme="minorHAnsi"/>
          <w:sz w:val="22"/>
        </w:rPr>
        <w:t>Wartość mienia OSiR znacząco wzrosła w ostatnich latach. Na koniec 2013 r. była o ponad 45 mln wyższa</w:t>
      </w:r>
      <w:r w:rsidR="00192EC9">
        <w:rPr>
          <w:rFonts w:asciiTheme="minorHAnsi" w:hAnsiTheme="minorHAnsi"/>
          <w:sz w:val="22"/>
        </w:rPr>
        <w:t>,</w:t>
      </w:r>
      <w:r>
        <w:rPr>
          <w:rFonts w:asciiTheme="minorHAnsi" w:hAnsiTheme="minorHAnsi"/>
          <w:sz w:val="22"/>
        </w:rPr>
        <w:t xml:space="preserve"> aniżeli na koniec 2010 r. Tak duży przyrost związany jest z modernizacją części obiektów oraz </w:t>
      </w:r>
      <w:r w:rsidRPr="0064065B">
        <w:rPr>
          <w:rFonts w:asciiTheme="minorHAnsi" w:hAnsiTheme="minorHAnsi"/>
          <w:sz w:val="22"/>
        </w:rPr>
        <w:t>otrzymaniu w zarząd dwóch nowych obiektów: Stadionu Miejskiego</w:t>
      </w:r>
      <w:r w:rsidR="001215E4">
        <w:rPr>
          <w:rFonts w:asciiTheme="minorHAnsi" w:hAnsiTheme="minorHAnsi"/>
          <w:sz w:val="22"/>
        </w:rPr>
        <w:t xml:space="preserve"> im. Orła B</w:t>
      </w:r>
      <w:r w:rsidR="00F20AA9">
        <w:rPr>
          <w:rFonts w:asciiTheme="minorHAnsi" w:hAnsiTheme="minorHAnsi"/>
          <w:sz w:val="22"/>
        </w:rPr>
        <w:t>iałego</w:t>
      </w:r>
      <w:r w:rsidRPr="0064065B">
        <w:rPr>
          <w:rFonts w:asciiTheme="minorHAnsi" w:hAnsiTheme="minorHAnsi"/>
          <w:sz w:val="22"/>
        </w:rPr>
        <w:t xml:space="preserve"> wraz z zespołem boisk treningowych</w:t>
      </w:r>
      <w:r w:rsidR="00F20AA9">
        <w:rPr>
          <w:rFonts w:asciiTheme="minorHAnsi" w:hAnsiTheme="minorHAnsi"/>
          <w:sz w:val="22"/>
        </w:rPr>
        <w:t xml:space="preserve"> </w:t>
      </w:r>
      <w:r w:rsidRPr="0064065B">
        <w:rPr>
          <w:rFonts w:asciiTheme="minorHAnsi" w:hAnsiTheme="minorHAnsi"/>
          <w:sz w:val="22"/>
        </w:rPr>
        <w:t>i pełnym wyposażeniem sprzętowym oraz skatepark’u.</w:t>
      </w:r>
    </w:p>
    <w:p w:rsidR="00C640C5" w:rsidRPr="00C640C5" w:rsidRDefault="00C640C5" w:rsidP="00FD7676">
      <w:pPr>
        <w:rPr>
          <w:rFonts w:asciiTheme="minorHAnsi" w:hAnsiTheme="minorHAnsi"/>
          <w:sz w:val="22"/>
        </w:rPr>
      </w:pPr>
    </w:p>
    <w:p w:rsidR="004E4767" w:rsidRPr="00C640C5" w:rsidRDefault="004E4767" w:rsidP="004E4767">
      <w:pPr>
        <w:pStyle w:val="Legenda"/>
        <w:keepNext/>
        <w:rPr>
          <w:rFonts w:asciiTheme="minorHAnsi" w:hAnsiTheme="minorHAnsi"/>
          <w:sz w:val="20"/>
        </w:rPr>
      </w:pPr>
      <w:r w:rsidRPr="00C640C5">
        <w:rPr>
          <w:rFonts w:asciiTheme="minorHAnsi" w:hAnsiTheme="minorHAnsi"/>
          <w:sz w:val="20"/>
        </w:rPr>
        <w:t xml:space="preserve">Tabela </w:t>
      </w:r>
      <w:r w:rsidR="00017794" w:rsidRPr="00C640C5">
        <w:rPr>
          <w:rFonts w:asciiTheme="minorHAnsi" w:hAnsiTheme="minorHAnsi"/>
          <w:sz w:val="20"/>
        </w:rPr>
        <w:fldChar w:fldCharType="begin"/>
      </w:r>
      <w:r w:rsidRPr="00C640C5">
        <w:rPr>
          <w:rFonts w:asciiTheme="minorHAnsi" w:hAnsiTheme="minorHAnsi"/>
          <w:sz w:val="20"/>
        </w:rPr>
        <w:instrText xml:space="preserve"> SEQ Tabela \* ARABIC </w:instrText>
      </w:r>
      <w:r w:rsidR="00017794" w:rsidRPr="00C640C5">
        <w:rPr>
          <w:rFonts w:asciiTheme="minorHAnsi" w:hAnsiTheme="minorHAnsi"/>
          <w:sz w:val="20"/>
        </w:rPr>
        <w:fldChar w:fldCharType="separate"/>
      </w:r>
      <w:r w:rsidR="007B2916">
        <w:rPr>
          <w:rFonts w:asciiTheme="minorHAnsi" w:hAnsiTheme="minorHAnsi"/>
          <w:noProof/>
          <w:sz w:val="20"/>
        </w:rPr>
        <w:t>17</w:t>
      </w:r>
      <w:r w:rsidR="00017794" w:rsidRPr="00C640C5">
        <w:rPr>
          <w:rFonts w:asciiTheme="minorHAnsi" w:hAnsiTheme="minorHAnsi"/>
          <w:sz w:val="20"/>
        </w:rPr>
        <w:fldChar w:fldCharType="end"/>
      </w:r>
      <w:r w:rsidRPr="00C640C5">
        <w:rPr>
          <w:rFonts w:asciiTheme="minorHAnsi" w:hAnsiTheme="minorHAnsi"/>
          <w:sz w:val="20"/>
        </w:rPr>
        <w:t>. Wartość mienia Ośrodka Sportu i Rekreacji w Legnicy (lata 2010-2013)</w:t>
      </w:r>
    </w:p>
    <w:tbl>
      <w:tblPr>
        <w:tblStyle w:val="Tabelasiatki7kolorowaakcent11"/>
        <w:tblW w:w="0" w:type="auto"/>
        <w:tblLayout w:type="fixed"/>
        <w:tblLook w:val="0400" w:firstRow="0" w:lastRow="0" w:firstColumn="0" w:lastColumn="0" w:noHBand="0" w:noVBand="1"/>
      </w:tblPr>
      <w:tblGrid>
        <w:gridCol w:w="2303"/>
        <w:gridCol w:w="2303"/>
        <w:gridCol w:w="2303"/>
        <w:gridCol w:w="2323"/>
      </w:tblGrid>
      <w:tr w:rsidR="004E4767" w:rsidRPr="004E4767" w:rsidTr="004E4767">
        <w:trPr>
          <w:cnfStyle w:val="000000100000" w:firstRow="0" w:lastRow="0" w:firstColumn="0" w:lastColumn="0" w:oddVBand="0" w:evenVBand="0" w:oddHBand="1" w:evenHBand="0" w:firstRowFirstColumn="0" w:firstRowLastColumn="0" w:lastRowFirstColumn="0" w:lastRowLastColumn="0"/>
        </w:trPr>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Stan na dzień</w:t>
            </w:r>
          </w:p>
          <w:p w:rsidR="004E4767" w:rsidRPr="004E4767" w:rsidRDefault="004E4767" w:rsidP="004E4767">
            <w:pPr>
              <w:pStyle w:val="Tekstpodstawowy"/>
              <w:rPr>
                <w:rFonts w:asciiTheme="minorHAnsi" w:hAnsiTheme="minorHAnsi"/>
                <w:color w:val="000000"/>
                <w:sz w:val="22"/>
                <w:szCs w:val="22"/>
              </w:rPr>
            </w:pPr>
            <w:r w:rsidRPr="004E4767">
              <w:rPr>
                <w:rFonts w:asciiTheme="minorHAnsi" w:hAnsiTheme="minorHAnsi"/>
                <w:color w:val="000000"/>
                <w:sz w:val="22"/>
                <w:szCs w:val="22"/>
              </w:rPr>
              <w:t>31.12.2010</w:t>
            </w:r>
          </w:p>
        </w:tc>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Stan na dzień</w:t>
            </w:r>
          </w:p>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31.12.2011</w:t>
            </w:r>
          </w:p>
        </w:tc>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Stan na dzień</w:t>
            </w:r>
          </w:p>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31.12.2012</w:t>
            </w:r>
          </w:p>
        </w:tc>
        <w:tc>
          <w:tcPr>
            <w:tcW w:w="232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Stan na dzień</w:t>
            </w:r>
          </w:p>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31.12.2013</w:t>
            </w:r>
          </w:p>
        </w:tc>
      </w:tr>
      <w:tr w:rsidR="004E4767" w:rsidRPr="004E4767" w:rsidTr="004E4767">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27 018 693,36</w:t>
            </w:r>
          </w:p>
        </w:tc>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49 143 291,13</w:t>
            </w:r>
          </w:p>
        </w:tc>
        <w:tc>
          <w:tcPr>
            <w:tcW w:w="230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60 683 288,79</w:t>
            </w:r>
          </w:p>
        </w:tc>
        <w:tc>
          <w:tcPr>
            <w:tcW w:w="2323" w:type="dxa"/>
          </w:tcPr>
          <w:p w:rsidR="004E4767" w:rsidRPr="004E4767" w:rsidRDefault="004E4767" w:rsidP="004E4767">
            <w:pPr>
              <w:jc w:val="left"/>
              <w:rPr>
                <w:rFonts w:asciiTheme="minorHAnsi" w:eastAsia="Times New Roman" w:hAnsiTheme="minorHAnsi" w:cs="Times New Roman"/>
                <w:color w:val="000000"/>
                <w:lang w:eastAsia="pl-PL"/>
              </w:rPr>
            </w:pPr>
            <w:r w:rsidRPr="004E4767">
              <w:rPr>
                <w:rFonts w:asciiTheme="minorHAnsi" w:eastAsia="Times New Roman" w:hAnsiTheme="minorHAnsi" w:cs="Times New Roman"/>
                <w:color w:val="000000"/>
                <w:lang w:eastAsia="pl-PL"/>
              </w:rPr>
              <w:t>62 370 019,85</w:t>
            </w:r>
          </w:p>
        </w:tc>
      </w:tr>
    </w:tbl>
    <w:p w:rsidR="004E4767" w:rsidRDefault="004E4767" w:rsidP="00FD7676">
      <w:pPr>
        <w:rPr>
          <w:rFonts w:asciiTheme="minorHAnsi" w:hAnsiTheme="minorHAnsi"/>
          <w:sz w:val="20"/>
        </w:rPr>
      </w:pPr>
      <w:r w:rsidRPr="00A50D78">
        <w:rPr>
          <w:rFonts w:asciiTheme="minorHAnsi" w:hAnsiTheme="minorHAnsi"/>
          <w:sz w:val="20"/>
        </w:rPr>
        <w:t>Źródło: Dane Wydziału Sportu Urzędu Miasta Legnicy.</w:t>
      </w:r>
    </w:p>
    <w:p w:rsidR="00D76525" w:rsidRPr="00A50D78" w:rsidRDefault="00D76525" w:rsidP="00FD7676">
      <w:pPr>
        <w:rPr>
          <w:rFonts w:asciiTheme="minorHAnsi" w:hAnsiTheme="minorHAnsi"/>
          <w:sz w:val="20"/>
        </w:rPr>
      </w:pPr>
    </w:p>
    <w:p w:rsidR="00202A34" w:rsidRPr="00563EF2" w:rsidRDefault="00202A34" w:rsidP="00FD7676">
      <w:pPr>
        <w:rPr>
          <w:rFonts w:asciiTheme="minorHAnsi" w:hAnsiTheme="minorHAnsi"/>
          <w:sz w:val="22"/>
        </w:rPr>
      </w:pPr>
      <w:r w:rsidRPr="00563EF2">
        <w:rPr>
          <w:rFonts w:asciiTheme="minorHAnsi" w:hAnsiTheme="minorHAnsi"/>
          <w:sz w:val="22"/>
        </w:rPr>
        <w:t>Ponadto M</w:t>
      </w:r>
      <w:r w:rsidR="00353639">
        <w:rPr>
          <w:rFonts w:asciiTheme="minorHAnsi" w:hAnsiTheme="minorHAnsi"/>
          <w:sz w:val="22"/>
        </w:rPr>
        <w:t>iasto sprawuje zarząd nad</w:t>
      </w:r>
      <w:r w:rsidRPr="00563EF2">
        <w:rPr>
          <w:rFonts w:asciiTheme="minorHAnsi" w:hAnsiTheme="minorHAnsi"/>
          <w:sz w:val="22"/>
        </w:rPr>
        <w:t xml:space="preserve"> obiektami sportowymi</w:t>
      </w:r>
      <w:r w:rsidR="00353639">
        <w:rPr>
          <w:rFonts w:asciiTheme="minorHAnsi" w:hAnsiTheme="minorHAnsi"/>
          <w:sz w:val="22"/>
        </w:rPr>
        <w:t xml:space="preserve"> umiejscowionymi przede wszystkim na terenie placówek oświatowych</w:t>
      </w:r>
      <w:r w:rsidR="0027320E">
        <w:rPr>
          <w:rFonts w:asciiTheme="minorHAnsi" w:hAnsiTheme="minorHAnsi"/>
          <w:sz w:val="22"/>
        </w:rPr>
        <w:t>, takimi jak</w:t>
      </w:r>
      <w:r w:rsidRPr="00563EF2">
        <w:rPr>
          <w:rFonts w:asciiTheme="minorHAnsi" w:hAnsiTheme="minorHAnsi"/>
          <w:sz w:val="22"/>
        </w:rPr>
        <w:t>:</w:t>
      </w:r>
    </w:p>
    <w:p w:rsidR="00202A34" w:rsidRPr="00563EF2" w:rsidRDefault="006F5E9D" w:rsidP="00FD7676">
      <w:pPr>
        <w:pStyle w:val="Akapitzlist"/>
        <w:numPr>
          <w:ilvl w:val="0"/>
          <w:numId w:val="12"/>
        </w:numPr>
        <w:rPr>
          <w:rFonts w:asciiTheme="minorHAnsi" w:hAnsiTheme="minorHAnsi"/>
          <w:sz w:val="22"/>
        </w:rPr>
      </w:pPr>
      <w:r>
        <w:rPr>
          <w:rFonts w:asciiTheme="minorHAnsi" w:hAnsiTheme="minorHAnsi"/>
          <w:sz w:val="22"/>
        </w:rPr>
        <w:t>17</w:t>
      </w:r>
      <w:r w:rsidR="00202A34" w:rsidRPr="00563EF2">
        <w:rPr>
          <w:rFonts w:asciiTheme="minorHAnsi" w:hAnsiTheme="minorHAnsi"/>
          <w:sz w:val="22"/>
        </w:rPr>
        <w:t xml:space="preserve"> </w:t>
      </w:r>
      <w:r w:rsidR="00353639">
        <w:rPr>
          <w:rFonts w:asciiTheme="minorHAnsi" w:hAnsiTheme="minorHAnsi"/>
          <w:sz w:val="22"/>
        </w:rPr>
        <w:t xml:space="preserve">zmodernizowanych kompleksów </w:t>
      </w:r>
      <w:r w:rsidR="00202A34" w:rsidRPr="00563EF2">
        <w:rPr>
          <w:rFonts w:asciiTheme="minorHAnsi" w:hAnsiTheme="minorHAnsi"/>
          <w:sz w:val="22"/>
        </w:rPr>
        <w:t>boisk przyszkolnych</w:t>
      </w:r>
      <w:r w:rsidR="00353639">
        <w:rPr>
          <w:rFonts w:asciiTheme="minorHAnsi" w:hAnsiTheme="minorHAnsi"/>
          <w:sz w:val="22"/>
        </w:rPr>
        <w:t>,</w:t>
      </w:r>
    </w:p>
    <w:p w:rsidR="00202A34" w:rsidRPr="00563EF2" w:rsidRDefault="006F5E9D" w:rsidP="00FD7676">
      <w:pPr>
        <w:pStyle w:val="Akapitzlist"/>
        <w:numPr>
          <w:ilvl w:val="0"/>
          <w:numId w:val="12"/>
        </w:numPr>
        <w:rPr>
          <w:rFonts w:asciiTheme="minorHAnsi" w:hAnsiTheme="minorHAnsi"/>
          <w:sz w:val="22"/>
        </w:rPr>
      </w:pPr>
      <w:r>
        <w:rPr>
          <w:rFonts w:asciiTheme="minorHAnsi" w:hAnsiTheme="minorHAnsi"/>
          <w:sz w:val="22"/>
        </w:rPr>
        <w:t>z</w:t>
      </w:r>
      <w:r w:rsidR="0027320E">
        <w:rPr>
          <w:rFonts w:asciiTheme="minorHAnsi" w:hAnsiTheme="minorHAnsi"/>
          <w:sz w:val="22"/>
        </w:rPr>
        <w:t>espół boisk wybudowanych</w:t>
      </w:r>
      <w:r w:rsidR="00353639">
        <w:rPr>
          <w:rFonts w:asciiTheme="minorHAnsi" w:hAnsiTheme="minorHAnsi"/>
          <w:sz w:val="22"/>
        </w:rPr>
        <w:t xml:space="preserve"> w ramach programu</w:t>
      </w:r>
      <w:r w:rsidR="00202A34" w:rsidRPr="00563EF2">
        <w:rPr>
          <w:rFonts w:asciiTheme="minorHAnsi" w:hAnsiTheme="minorHAnsi"/>
          <w:sz w:val="22"/>
        </w:rPr>
        <w:t xml:space="preserve"> „</w:t>
      </w:r>
      <w:r w:rsidR="00353639">
        <w:rPr>
          <w:rFonts w:asciiTheme="minorHAnsi" w:hAnsiTheme="minorHAnsi"/>
          <w:sz w:val="22"/>
        </w:rPr>
        <w:t xml:space="preserve"> Moje Boisko </w:t>
      </w:r>
      <w:r w:rsidR="00202A34" w:rsidRPr="00563EF2">
        <w:rPr>
          <w:rFonts w:asciiTheme="minorHAnsi" w:hAnsiTheme="minorHAnsi"/>
          <w:sz w:val="22"/>
        </w:rPr>
        <w:t>Orlik</w:t>
      </w:r>
      <w:r w:rsidR="00353639">
        <w:rPr>
          <w:rFonts w:asciiTheme="minorHAnsi" w:hAnsiTheme="minorHAnsi"/>
          <w:sz w:val="22"/>
        </w:rPr>
        <w:t xml:space="preserve"> 2012</w:t>
      </w:r>
      <w:r w:rsidR="00202A34" w:rsidRPr="00563EF2">
        <w:rPr>
          <w:rFonts w:asciiTheme="minorHAnsi" w:hAnsiTheme="minorHAnsi"/>
          <w:sz w:val="22"/>
        </w:rPr>
        <w:t>”,</w:t>
      </w:r>
    </w:p>
    <w:p w:rsidR="00202A34" w:rsidRPr="00563EF2" w:rsidRDefault="0027320E" w:rsidP="00FD7676">
      <w:pPr>
        <w:pStyle w:val="Akapitzlist"/>
        <w:numPr>
          <w:ilvl w:val="0"/>
          <w:numId w:val="12"/>
        </w:numPr>
        <w:rPr>
          <w:rFonts w:asciiTheme="minorHAnsi" w:hAnsiTheme="minorHAnsi"/>
          <w:sz w:val="22"/>
        </w:rPr>
      </w:pPr>
      <w:r>
        <w:rPr>
          <w:rFonts w:asciiTheme="minorHAnsi" w:hAnsiTheme="minorHAnsi"/>
          <w:sz w:val="22"/>
        </w:rPr>
        <w:t>2 boiska treningowe</w:t>
      </w:r>
      <w:r w:rsidR="00202A34" w:rsidRPr="00563EF2">
        <w:rPr>
          <w:rFonts w:asciiTheme="minorHAnsi" w:hAnsiTheme="minorHAnsi"/>
          <w:sz w:val="22"/>
        </w:rPr>
        <w:t xml:space="preserve"> stadionu piłkarskiego przy ul. Grabskiego,</w:t>
      </w:r>
    </w:p>
    <w:p w:rsidR="00353639" w:rsidRDefault="001215E4" w:rsidP="00353639">
      <w:pPr>
        <w:pStyle w:val="Akapitzlist"/>
        <w:numPr>
          <w:ilvl w:val="0"/>
          <w:numId w:val="12"/>
        </w:numPr>
        <w:rPr>
          <w:rFonts w:asciiTheme="minorHAnsi" w:hAnsiTheme="minorHAnsi"/>
          <w:sz w:val="22"/>
        </w:rPr>
      </w:pPr>
      <w:r>
        <w:rPr>
          <w:rFonts w:asciiTheme="minorHAnsi" w:hAnsiTheme="minorHAnsi"/>
          <w:sz w:val="22"/>
        </w:rPr>
        <w:t>32</w:t>
      </w:r>
      <w:r w:rsidR="00353639">
        <w:rPr>
          <w:rFonts w:asciiTheme="minorHAnsi" w:hAnsiTheme="minorHAnsi"/>
          <w:sz w:val="22"/>
        </w:rPr>
        <w:t xml:space="preserve"> </w:t>
      </w:r>
      <w:r w:rsidR="0027320E">
        <w:rPr>
          <w:rFonts w:asciiTheme="minorHAnsi" w:hAnsiTheme="minorHAnsi"/>
          <w:sz w:val="22"/>
        </w:rPr>
        <w:t>szkoln</w:t>
      </w:r>
      <w:r>
        <w:rPr>
          <w:rFonts w:asciiTheme="minorHAnsi" w:hAnsiTheme="minorHAnsi"/>
          <w:sz w:val="22"/>
        </w:rPr>
        <w:t>e</w:t>
      </w:r>
      <w:r w:rsidR="0027320E">
        <w:rPr>
          <w:rFonts w:asciiTheme="minorHAnsi" w:hAnsiTheme="minorHAnsi"/>
          <w:sz w:val="22"/>
        </w:rPr>
        <w:t xml:space="preserve"> sal</w:t>
      </w:r>
      <w:r>
        <w:rPr>
          <w:rFonts w:asciiTheme="minorHAnsi" w:hAnsiTheme="minorHAnsi"/>
          <w:sz w:val="22"/>
        </w:rPr>
        <w:t>e sportowe</w:t>
      </w:r>
      <w:r w:rsidR="00202A34" w:rsidRPr="00563EF2">
        <w:rPr>
          <w:rFonts w:asciiTheme="minorHAnsi" w:hAnsiTheme="minorHAnsi"/>
          <w:sz w:val="22"/>
        </w:rPr>
        <w:t>,</w:t>
      </w:r>
      <w:r w:rsidR="00353639">
        <w:rPr>
          <w:rFonts w:asciiTheme="minorHAnsi" w:hAnsiTheme="minorHAnsi"/>
          <w:sz w:val="22"/>
        </w:rPr>
        <w:t xml:space="preserve"> w tym 5</w:t>
      </w:r>
      <w:r w:rsidR="0027320E">
        <w:rPr>
          <w:rFonts w:asciiTheme="minorHAnsi" w:hAnsiTheme="minorHAnsi"/>
          <w:sz w:val="22"/>
        </w:rPr>
        <w:t xml:space="preserve"> dużych</w:t>
      </w:r>
      <w:r w:rsidR="00353639">
        <w:rPr>
          <w:rFonts w:asciiTheme="minorHAnsi" w:hAnsiTheme="minorHAnsi"/>
          <w:sz w:val="22"/>
        </w:rPr>
        <w:t xml:space="preserve"> sal z widownią,</w:t>
      </w:r>
      <w:r w:rsidR="0027320E">
        <w:rPr>
          <w:rFonts w:asciiTheme="minorHAnsi" w:hAnsiTheme="minorHAnsi"/>
          <w:sz w:val="22"/>
        </w:rPr>
        <w:t xml:space="preserve"> </w:t>
      </w:r>
    </w:p>
    <w:p w:rsidR="0027320E" w:rsidRDefault="0027320E" w:rsidP="00353639">
      <w:pPr>
        <w:pStyle w:val="Akapitzlist"/>
        <w:numPr>
          <w:ilvl w:val="0"/>
          <w:numId w:val="12"/>
        </w:numPr>
        <w:rPr>
          <w:rFonts w:asciiTheme="minorHAnsi" w:hAnsiTheme="minorHAnsi"/>
          <w:sz w:val="22"/>
        </w:rPr>
      </w:pPr>
      <w:r>
        <w:rPr>
          <w:rFonts w:asciiTheme="minorHAnsi" w:hAnsiTheme="minorHAnsi"/>
          <w:sz w:val="22"/>
        </w:rPr>
        <w:t>25 tzw. „małych sal” do ćwiczeń ogólnousprawniających i korekcyjnych,</w:t>
      </w:r>
    </w:p>
    <w:p w:rsidR="00202A34" w:rsidRPr="00353639" w:rsidRDefault="0027320E" w:rsidP="00353639">
      <w:pPr>
        <w:pStyle w:val="Akapitzlist"/>
        <w:numPr>
          <w:ilvl w:val="0"/>
          <w:numId w:val="12"/>
        </w:numPr>
        <w:rPr>
          <w:rFonts w:asciiTheme="minorHAnsi" w:hAnsiTheme="minorHAnsi"/>
          <w:sz w:val="22"/>
        </w:rPr>
      </w:pPr>
      <w:r>
        <w:rPr>
          <w:rFonts w:asciiTheme="minorHAnsi" w:hAnsiTheme="minorHAnsi"/>
          <w:sz w:val="22"/>
        </w:rPr>
        <w:t>3 kryte baseny</w:t>
      </w:r>
      <w:r w:rsidR="00202A34" w:rsidRPr="00353639">
        <w:rPr>
          <w:rFonts w:asciiTheme="minorHAnsi" w:hAnsiTheme="minorHAnsi"/>
          <w:sz w:val="22"/>
        </w:rPr>
        <w:t>,</w:t>
      </w:r>
    </w:p>
    <w:p w:rsidR="00202A34" w:rsidRDefault="006F5E9D" w:rsidP="00FD7676">
      <w:pPr>
        <w:pStyle w:val="Akapitzlist"/>
        <w:numPr>
          <w:ilvl w:val="0"/>
          <w:numId w:val="12"/>
        </w:numPr>
        <w:rPr>
          <w:rFonts w:asciiTheme="minorHAnsi" w:hAnsiTheme="minorHAnsi"/>
          <w:sz w:val="22"/>
        </w:rPr>
      </w:pPr>
      <w:r>
        <w:rPr>
          <w:rFonts w:asciiTheme="minorHAnsi" w:hAnsiTheme="minorHAnsi"/>
          <w:sz w:val="22"/>
        </w:rPr>
        <w:t>t</w:t>
      </w:r>
      <w:r w:rsidR="0027320E">
        <w:rPr>
          <w:rFonts w:asciiTheme="minorHAnsi" w:hAnsiTheme="minorHAnsi"/>
          <w:sz w:val="22"/>
        </w:rPr>
        <w:t>ory łucznicze w hali i na otwartym terenie</w:t>
      </w:r>
      <w:r w:rsidR="00202A34" w:rsidRPr="00563EF2">
        <w:rPr>
          <w:rFonts w:asciiTheme="minorHAnsi" w:hAnsiTheme="minorHAnsi"/>
          <w:sz w:val="22"/>
        </w:rPr>
        <w:t>,</w:t>
      </w:r>
    </w:p>
    <w:p w:rsidR="0027320E" w:rsidRPr="00563EF2" w:rsidRDefault="006F5E9D" w:rsidP="00FD7676">
      <w:pPr>
        <w:pStyle w:val="Akapitzlist"/>
        <w:numPr>
          <w:ilvl w:val="0"/>
          <w:numId w:val="12"/>
        </w:numPr>
        <w:rPr>
          <w:rFonts w:asciiTheme="minorHAnsi" w:hAnsiTheme="minorHAnsi"/>
          <w:sz w:val="22"/>
        </w:rPr>
      </w:pPr>
      <w:r>
        <w:rPr>
          <w:rFonts w:asciiTheme="minorHAnsi" w:hAnsiTheme="minorHAnsi"/>
          <w:sz w:val="22"/>
        </w:rPr>
        <w:t>m</w:t>
      </w:r>
      <w:r w:rsidR="0027320E">
        <w:rPr>
          <w:rFonts w:asciiTheme="minorHAnsi" w:hAnsiTheme="minorHAnsi"/>
          <w:sz w:val="22"/>
        </w:rPr>
        <w:t>iniskatepark.</w:t>
      </w:r>
    </w:p>
    <w:p w:rsidR="004F7171" w:rsidRPr="00563EF2" w:rsidRDefault="004F7171" w:rsidP="00FD7676">
      <w:pPr>
        <w:rPr>
          <w:rFonts w:asciiTheme="minorHAnsi" w:hAnsiTheme="minorHAnsi"/>
          <w:sz w:val="22"/>
        </w:rPr>
      </w:pPr>
      <w:r w:rsidRPr="00563EF2">
        <w:rPr>
          <w:rFonts w:asciiTheme="minorHAnsi" w:hAnsiTheme="minorHAnsi"/>
          <w:sz w:val="22"/>
        </w:rPr>
        <w:t>Ofertę infrastruktury miejskiej poszerzają również obiekty prywatne w postaci licznych siłowni, gabinetów i salonów odnowy biologicznej, basenów przyhotelowych, czy kortów tenisowych.</w:t>
      </w:r>
    </w:p>
    <w:p w:rsidR="003479FC" w:rsidRPr="00563EF2" w:rsidRDefault="003479FC" w:rsidP="00FD7676">
      <w:pPr>
        <w:rPr>
          <w:rFonts w:asciiTheme="minorHAnsi" w:hAnsiTheme="minorHAnsi"/>
          <w:sz w:val="22"/>
        </w:rPr>
      </w:pPr>
    </w:p>
    <w:p w:rsidR="00BB6D5E" w:rsidRDefault="003479FC" w:rsidP="00FD7676">
      <w:pPr>
        <w:rPr>
          <w:rFonts w:asciiTheme="minorHAnsi" w:hAnsiTheme="minorHAnsi"/>
          <w:sz w:val="22"/>
        </w:rPr>
      </w:pPr>
      <w:r w:rsidRPr="00563EF2">
        <w:rPr>
          <w:rFonts w:asciiTheme="minorHAnsi" w:hAnsiTheme="minorHAnsi"/>
          <w:sz w:val="22"/>
        </w:rPr>
        <w:t>Znaczna część obiektów sportowych</w:t>
      </w:r>
      <w:r w:rsidR="00A70D04">
        <w:rPr>
          <w:rFonts w:asciiTheme="minorHAnsi" w:hAnsiTheme="minorHAnsi"/>
          <w:sz w:val="22"/>
        </w:rPr>
        <w:t xml:space="preserve"> w ostatnich latach</w:t>
      </w:r>
      <w:r w:rsidRPr="00563EF2">
        <w:rPr>
          <w:rFonts w:asciiTheme="minorHAnsi" w:hAnsiTheme="minorHAnsi"/>
          <w:sz w:val="22"/>
        </w:rPr>
        <w:t xml:space="preserve"> poddana została gruntownej modernizacji lu</w:t>
      </w:r>
      <w:r w:rsidR="009C153C" w:rsidRPr="00563EF2">
        <w:rPr>
          <w:rFonts w:asciiTheme="minorHAnsi" w:hAnsiTheme="minorHAnsi"/>
          <w:sz w:val="22"/>
        </w:rPr>
        <w:t>b została wybudowana od podstaw w ramach programu standaryzacji bazy sportowo-rekreacyjnej.</w:t>
      </w:r>
      <w:r w:rsidR="00BB6D5E">
        <w:rPr>
          <w:rFonts w:asciiTheme="minorHAnsi" w:hAnsiTheme="minorHAnsi"/>
          <w:sz w:val="22"/>
        </w:rPr>
        <w:t xml:space="preserve"> W </w:t>
      </w:r>
      <w:r w:rsidR="00BC5391">
        <w:rPr>
          <w:rFonts w:asciiTheme="minorHAnsi" w:hAnsiTheme="minorHAnsi"/>
          <w:sz w:val="22"/>
        </w:rPr>
        <w:t> </w:t>
      </w:r>
      <w:r w:rsidR="003A49F1">
        <w:rPr>
          <w:rFonts w:asciiTheme="minorHAnsi" w:hAnsiTheme="minorHAnsi"/>
          <w:sz w:val="22"/>
        </w:rPr>
        <w:t xml:space="preserve">sumie </w:t>
      </w:r>
      <w:r w:rsidR="00BB6D5E">
        <w:rPr>
          <w:rFonts w:asciiTheme="minorHAnsi" w:hAnsiTheme="minorHAnsi"/>
          <w:sz w:val="22"/>
        </w:rPr>
        <w:t>na ten cel przekazanych zostało około 115 mln zł.</w:t>
      </w:r>
    </w:p>
    <w:p w:rsidR="00BB6D5E" w:rsidRDefault="00BB6D5E" w:rsidP="00FD7676">
      <w:pPr>
        <w:rPr>
          <w:rFonts w:asciiTheme="minorHAnsi" w:hAnsiTheme="minorHAnsi"/>
          <w:sz w:val="22"/>
        </w:rPr>
      </w:pPr>
    </w:p>
    <w:p w:rsidR="00BB6D5E" w:rsidRDefault="00BB6D5E" w:rsidP="00BB6D5E">
      <w:pPr>
        <w:rPr>
          <w:rFonts w:asciiTheme="minorHAnsi" w:hAnsiTheme="minorHAnsi"/>
          <w:sz w:val="22"/>
        </w:rPr>
      </w:pPr>
      <w:r w:rsidRPr="00BB6D5E">
        <w:rPr>
          <w:rFonts w:asciiTheme="minorHAnsi" w:hAnsiTheme="minorHAnsi"/>
          <w:sz w:val="22"/>
        </w:rPr>
        <w:t>Największą inwestycją sportową w Legnicy jest modernizacja Stadionu Sportowego  im. Orła Białego wraz z boiskami treningowymi. Powstały kompleks sporto</w:t>
      </w:r>
      <w:r w:rsidR="00BC5391">
        <w:rPr>
          <w:rFonts w:asciiTheme="minorHAnsi" w:hAnsiTheme="minorHAnsi"/>
          <w:sz w:val="22"/>
        </w:rPr>
        <w:t>wy aspiruje do miana obiektów o </w:t>
      </w:r>
      <w:r w:rsidRPr="00BB6D5E">
        <w:rPr>
          <w:rFonts w:asciiTheme="minorHAnsi" w:hAnsiTheme="minorHAnsi"/>
          <w:sz w:val="22"/>
        </w:rPr>
        <w:t>szczególnym znaczeniu dla kultury fizycznej, w tym dla sp</w:t>
      </w:r>
      <w:r w:rsidR="00BC5391">
        <w:rPr>
          <w:rFonts w:asciiTheme="minorHAnsi" w:hAnsiTheme="minorHAnsi"/>
          <w:sz w:val="22"/>
        </w:rPr>
        <w:t>ortu wyczynowego i jest jedną z </w:t>
      </w:r>
      <w:r w:rsidRPr="00BB6D5E">
        <w:rPr>
          <w:rFonts w:asciiTheme="minorHAnsi" w:hAnsiTheme="minorHAnsi"/>
          <w:sz w:val="22"/>
        </w:rPr>
        <w:t>największych tego typu inwestycji sportowych na Dolnym Śląsku. Obejmuje nowoczesny piłkarski stadion oraz sąsiadujące z nim boiska treningowe do piłki nożnej, lekkiej atletyki a także innych dyscyplin sportowych rozgrywanych na tego typu obiektach, w tym między innymi łucznictwa. Łącznie wydatkowano na ten cel blisko 47 mln zł, w tym z Ministerstwa Sportu i Turystyki</w:t>
      </w:r>
      <w:r w:rsidR="00A41138">
        <w:rPr>
          <w:rFonts w:asciiTheme="minorHAnsi" w:hAnsiTheme="minorHAnsi"/>
          <w:sz w:val="22"/>
        </w:rPr>
        <w:t>,</w:t>
      </w:r>
      <w:r w:rsidRPr="00BB6D5E">
        <w:rPr>
          <w:rFonts w:asciiTheme="minorHAnsi" w:hAnsiTheme="minorHAnsi"/>
          <w:sz w:val="22"/>
        </w:rPr>
        <w:t xml:space="preserve"> ze środków Funduszu Rozwoju Kultury Fizycznej pozyskano 3 mln złotych.</w:t>
      </w:r>
    </w:p>
    <w:p w:rsidR="00BB6D5E" w:rsidRPr="00BB6D5E" w:rsidRDefault="00BB6D5E" w:rsidP="00BB6D5E">
      <w:pPr>
        <w:rPr>
          <w:rFonts w:asciiTheme="minorHAnsi" w:hAnsiTheme="minorHAnsi"/>
          <w:sz w:val="22"/>
        </w:rPr>
      </w:pPr>
    </w:p>
    <w:p w:rsidR="003A49F1" w:rsidRPr="004E33DD" w:rsidRDefault="00BB6D5E" w:rsidP="004E33DD">
      <w:pPr>
        <w:rPr>
          <w:rFonts w:asciiTheme="minorHAnsi" w:hAnsiTheme="minorHAnsi"/>
          <w:sz w:val="22"/>
        </w:rPr>
      </w:pPr>
      <w:r w:rsidRPr="00BB6D5E">
        <w:rPr>
          <w:rFonts w:asciiTheme="minorHAnsi" w:hAnsiTheme="minorHAnsi"/>
          <w:sz w:val="22"/>
        </w:rPr>
        <w:t xml:space="preserve">W obiektach oświatowych w latach 2002-2013 zmodernizowano, </w:t>
      </w:r>
      <w:r w:rsidR="006F5E9D">
        <w:rPr>
          <w:rFonts w:asciiTheme="minorHAnsi" w:hAnsiTheme="minorHAnsi"/>
          <w:sz w:val="22"/>
        </w:rPr>
        <w:t>wyremontowano  lub wybudowano 17</w:t>
      </w:r>
      <w:r w:rsidRPr="00BB6D5E">
        <w:rPr>
          <w:rFonts w:asciiTheme="minorHAnsi" w:hAnsiTheme="minorHAnsi"/>
          <w:sz w:val="22"/>
        </w:rPr>
        <w:t xml:space="preserve"> wielofunkcyjnych boisk sportowych, 15 sal sportowych o</w:t>
      </w:r>
      <w:r w:rsidR="00383300">
        <w:rPr>
          <w:rFonts w:asciiTheme="minorHAnsi" w:hAnsiTheme="minorHAnsi"/>
          <w:sz w:val="22"/>
        </w:rPr>
        <w:t xml:space="preserve">raz nowoczesny  basen Delfinek. </w:t>
      </w:r>
      <w:r w:rsidR="003A49F1" w:rsidRPr="003A49F1">
        <w:rPr>
          <w:rFonts w:asciiTheme="minorHAnsi" w:hAnsiTheme="minorHAnsi"/>
          <w:sz w:val="22"/>
        </w:rPr>
        <w:t>Wśród szkół</w:t>
      </w:r>
      <w:r w:rsidR="00383300">
        <w:rPr>
          <w:rFonts w:asciiTheme="minorHAnsi" w:hAnsiTheme="minorHAnsi"/>
          <w:sz w:val="22"/>
        </w:rPr>
        <w:t xml:space="preserve"> o najbardziej funkcjonalnej bazie sportowo-rekreacyjnej</w:t>
      </w:r>
      <w:r w:rsidR="003A49F1" w:rsidRPr="003A49F1">
        <w:rPr>
          <w:rFonts w:asciiTheme="minorHAnsi" w:hAnsiTheme="minorHAnsi"/>
          <w:sz w:val="22"/>
        </w:rPr>
        <w:t xml:space="preserve"> </w:t>
      </w:r>
      <w:r w:rsidR="00383300">
        <w:rPr>
          <w:rFonts w:asciiTheme="minorHAnsi" w:hAnsiTheme="minorHAnsi"/>
          <w:sz w:val="22"/>
        </w:rPr>
        <w:t>można wymienić</w:t>
      </w:r>
      <w:r w:rsidR="003A49F1" w:rsidRPr="003A49F1">
        <w:rPr>
          <w:rFonts w:asciiTheme="minorHAnsi" w:hAnsiTheme="minorHAnsi"/>
          <w:sz w:val="22"/>
        </w:rPr>
        <w:t xml:space="preserve"> następujące placówki:</w:t>
      </w:r>
      <w:r w:rsidR="003A49F1" w:rsidRPr="00383300">
        <w:rPr>
          <w:rFonts w:asciiTheme="minorHAnsi" w:hAnsiTheme="minorHAnsi"/>
          <w:sz w:val="22"/>
        </w:rPr>
        <w:t xml:space="preserve"> S</w:t>
      </w:r>
      <w:r w:rsidR="00383300">
        <w:rPr>
          <w:rFonts w:asciiTheme="minorHAnsi" w:hAnsiTheme="minorHAnsi"/>
          <w:sz w:val="22"/>
        </w:rPr>
        <w:t xml:space="preserve">zkołę </w:t>
      </w:r>
      <w:r w:rsidR="003A49F1" w:rsidRPr="00383300">
        <w:rPr>
          <w:rFonts w:asciiTheme="minorHAnsi" w:hAnsiTheme="minorHAnsi"/>
          <w:sz w:val="22"/>
        </w:rPr>
        <w:t>P</w:t>
      </w:r>
      <w:r w:rsidR="00383300">
        <w:rPr>
          <w:rFonts w:asciiTheme="minorHAnsi" w:hAnsiTheme="minorHAnsi"/>
          <w:sz w:val="22"/>
        </w:rPr>
        <w:t>odstawową nr 7  (</w:t>
      </w:r>
      <w:r w:rsidR="003A49F1" w:rsidRPr="00383300">
        <w:rPr>
          <w:rFonts w:asciiTheme="minorHAnsi" w:hAnsiTheme="minorHAnsi"/>
          <w:sz w:val="22"/>
        </w:rPr>
        <w:t>kompleks 2 boisk „Moje boisko Orlik 2012”</w:t>
      </w:r>
      <w:r w:rsidR="00383300">
        <w:rPr>
          <w:rFonts w:asciiTheme="minorHAnsi" w:hAnsiTheme="minorHAnsi"/>
          <w:sz w:val="22"/>
        </w:rPr>
        <w:t>,</w:t>
      </w:r>
      <w:r w:rsidR="003A49F1" w:rsidRPr="00383300">
        <w:rPr>
          <w:rFonts w:asciiTheme="minorHAnsi" w:hAnsiTheme="minorHAnsi"/>
          <w:sz w:val="22"/>
        </w:rPr>
        <w:t xml:space="preserve"> </w:t>
      </w:r>
      <w:r w:rsidR="00383300">
        <w:rPr>
          <w:rFonts w:asciiTheme="minorHAnsi" w:hAnsiTheme="minorHAnsi"/>
          <w:sz w:val="22"/>
        </w:rPr>
        <w:t xml:space="preserve">basen Delfinek </w:t>
      </w:r>
      <w:r w:rsidR="003A49F1" w:rsidRPr="00383300">
        <w:rPr>
          <w:rFonts w:asciiTheme="minorHAnsi" w:hAnsiTheme="minorHAnsi"/>
          <w:sz w:val="22"/>
        </w:rPr>
        <w:t>oraz 2 sale sportowe</w:t>
      </w:r>
      <w:r w:rsidR="00383300">
        <w:rPr>
          <w:rFonts w:asciiTheme="minorHAnsi" w:hAnsiTheme="minorHAnsi"/>
          <w:sz w:val="22"/>
        </w:rPr>
        <w:t>)</w:t>
      </w:r>
      <w:r w:rsidR="003A49F1" w:rsidRPr="00383300">
        <w:rPr>
          <w:rFonts w:asciiTheme="minorHAnsi" w:hAnsiTheme="minorHAnsi"/>
          <w:sz w:val="22"/>
        </w:rPr>
        <w:t>,</w:t>
      </w:r>
      <w:r w:rsidR="00383300">
        <w:rPr>
          <w:rFonts w:asciiTheme="minorHAnsi" w:hAnsiTheme="minorHAnsi"/>
          <w:sz w:val="22"/>
        </w:rPr>
        <w:t xml:space="preserve"> </w:t>
      </w:r>
      <w:r w:rsidR="003A49F1" w:rsidRPr="00383300">
        <w:rPr>
          <w:rFonts w:asciiTheme="minorHAnsi" w:hAnsiTheme="minorHAnsi"/>
          <w:sz w:val="22"/>
        </w:rPr>
        <w:t>S</w:t>
      </w:r>
      <w:r w:rsidR="00383300">
        <w:rPr>
          <w:rFonts w:asciiTheme="minorHAnsi" w:hAnsiTheme="minorHAnsi"/>
          <w:sz w:val="22"/>
        </w:rPr>
        <w:t xml:space="preserve">zkołę </w:t>
      </w:r>
      <w:r w:rsidR="003A49F1" w:rsidRPr="00383300">
        <w:rPr>
          <w:rFonts w:asciiTheme="minorHAnsi" w:hAnsiTheme="minorHAnsi"/>
          <w:sz w:val="22"/>
        </w:rPr>
        <w:t>P</w:t>
      </w:r>
      <w:r w:rsidR="00383300">
        <w:rPr>
          <w:rFonts w:asciiTheme="minorHAnsi" w:hAnsiTheme="minorHAnsi"/>
          <w:sz w:val="22"/>
        </w:rPr>
        <w:t>odstawową nr 9  (</w:t>
      </w:r>
      <w:r w:rsidR="003A49F1" w:rsidRPr="00383300">
        <w:rPr>
          <w:rFonts w:asciiTheme="minorHAnsi" w:hAnsiTheme="minorHAnsi"/>
          <w:sz w:val="22"/>
        </w:rPr>
        <w:t>kompl</w:t>
      </w:r>
      <w:r w:rsidR="00383300">
        <w:rPr>
          <w:rFonts w:asciiTheme="minorHAnsi" w:hAnsiTheme="minorHAnsi"/>
          <w:sz w:val="22"/>
        </w:rPr>
        <w:t>eks 4 boisk sportowych</w:t>
      </w:r>
      <w:r w:rsidR="003A49F1" w:rsidRPr="00383300">
        <w:rPr>
          <w:rFonts w:asciiTheme="minorHAnsi" w:hAnsiTheme="minorHAnsi"/>
          <w:sz w:val="22"/>
        </w:rPr>
        <w:t>, 2 sal</w:t>
      </w:r>
      <w:r w:rsidR="00383300">
        <w:rPr>
          <w:rFonts w:asciiTheme="minorHAnsi" w:hAnsiTheme="minorHAnsi"/>
          <w:sz w:val="22"/>
        </w:rPr>
        <w:t xml:space="preserve">e sportowe, </w:t>
      </w:r>
      <w:r w:rsidR="003A49F1" w:rsidRPr="00383300">
        <w:rPr>
          <w:rFonts w:asciiTheme="minorHAnsi" w:hAnsiTheme="minorHAnsi"/>
          <w:sz w:val="22"/>
        </w:rPr>
        <w:t>siłownia</w:t>
      </w:r>
      <w:r w:rsidR="00383300">
        <w:rPr>
          <w:rFonts w:asciiTheme="minorHAnsi" w:hAnsiTheme="minorHAnsi"/>
          <w:sz w:val="22"/>
        </w:rPr>
        <w:t>)</w:t>
      </w:r>
      <w:r w:rsidR="003A49F1" w:rsidRPr="00383300">
        <w:rPr>
          <w:rFonts w:asciiTheme="minorHAnsi" w:hAnsiTheme="minorHAnsi"/>
          <w:sz w:val="22"/>
        </w:rPr>
        <w:t>,</w:t>
      </w:r>
      <w:r w:rsidR="0027320E">
        <w:rPr>
          <w:rFonts w:asciiTheme="minorHAnsi" w:hAnsiTheme="minorHAnsi"/>
          <w:sz w:val="22"/>
        </w:rPr>
        <w:t xml:space="preserve"> </w:t>
      </w:r>
      <w:r w:rsidR="003A49F1" w:rsidRPr="00383300">
        <w:rPr>
          <w:rFonts w:asciiTheme="minorHAnsi" w:hAnsiTheme="minorHAnsi"/>
          <w:sz w:val="22"/>
        </w:rPr>
        <w:t>S</w:t>
      </w:r>
      <w:r w:rsidR="00383300">
        <w:rPr>
          <w:rFonts w:asciiTheme="minorHAnsi" w:hAnsiTheme="minorHAnsi"/>
          <w:sz w:val="22"/>
        </w:rPr>
        <w:t xml:space="preserve">zkołę </w:t>
      </w:r>
      <w:r w:rsidR="003A49F1" w:rsidRPr="00383300">
        <w:rPr>
          <w:rFonts w:asciiTheme="minorHAnsi" w:hAnsiTheme="minorHAnsi"/>
          <w:sz w:val="22"/>
        </w:rPr>
        <w:t>P</w:t>
      </w:r>
      <w:r w:rsidR="00383300">
        <w:rPr>
          <w:rFonts w:asciiTheme="minorHAnsi" w:hAnsiTheme="minorHAnsi"/>
          <w:sz w:val="22"/>
        </w:rPr>
        <w:t>odstawową nr 18 (</w:t>
      </w:r>
      <w:r w:rsidR="003A49F1" w:rsidRPr="00383300">
        <w:rPr>
          <w:rFonts w:asciiTheme="minorHAnsi" w:hAnsiTheme="minorHAnsi"/>
          <w:sz w:val="22"/>
        </w:rPr>
        <w:t>komp</w:t>
      </w:r>
      <w:r w:rsidR="00383300">
        <w:rPr>
          <w:rFonts w:asciiTheme="minorHAnsi" w:hAnsiTheme="minorHAnsi"/>
          <w:sz w:val="22"/>
        </w:rPr>
        <w:t xml:space="preserve">leks boisk sportowych, sala sportowa, </w:t>
      </w:r>
      <w:r w:rsidR="003A49F1" w:rsidRPr="00383300">
        <w:rPr>
          <w:rFonts w:asciiTheme="minorHAnsi" w:hAnsiTheme="minorHAnsi"/>
          <w:sz w:val="22"/>
        </w:rPr>
        <w:t>„mała” sala</w:t>
      </w:r>
      <w:r w:rsidR="00383300">
        <w:rPr>
          <w:rFonts w:asciiTheme="minorHAnsi" w:hAnsiTheme="minorHAnsi"/>
          <w:sz w:val="22"/>
        </w:rPr>
        <w:t>)</w:t>
      </w:r>
      <w:r w:rsidR="003A49F1" w:rsidRPr="00383300">
        <w:rPr>
          <w:rFonts w:asciiTheme="minorHAnsi" w:hAnsiTheme="minorHAnsi"/>
          <w:sz w:val="22"/>
        </w:rPr>
        <w:t>,</w:t>
      </w:r>
      <w:r w:rsidR="00383300">
        <w:rPr>
          <w:rFonts w:asciiTheme="minorHAnsi" w:hAnsiTheme="minorHAnsi"/>
          <w:sz w:val="22"/>
        </w:rPr>
        <w:t xml:space="preserve"> </w:t>
      </w:r>
      <w:r w:rsidR="003A49F1" w:rsidRPr="00383300">
        <w:rPr>
          <w:rFonts w:asciiTheme="minorHAnsi" w:hAnsiTheme="minorHAnsi"/>
          <w:sz w:val="22"/>
        </w:rPr>
        <w:t xml:space="preserve">Gimnazjum nr 4 </w:t>
      </w:r>
      <w:r w:rsidR="00383300">
        <w:rPr>
          <w:rFonts w:asciiTheme="minorHAnsi" w:hAnsiTheme="minorHAnsi"/>
          <w:sz w:val="22"/>
        </w:rPr>
        <w:t>(</w:t>
      </w:r>
      <w:r w:rsidR="003A49F1" w:rsidRPr="00383300">
        <w:rPr>
          <w:rFonts w:asciiTheme="minorHAnsi" w:hAnsiTheme="minorHAnsi"/>
          <w:sz w:val="22"/>
        </w:rPr>
        <w:t>no</w:t>
      </w:r>
      <w:r w:rsidR="00383300">
        <w:rPr>
          <w:rFonts w:asciiTheme="minorHAnsi" w:hAnsiTheme="minorHAnsi"/>
          <w:sz w:val="22"/>
        </w:rPr>
        <w:t xml:space="preserve">woczesne boisko wielofunkcyjne, </w:t>
      </w:r>
      <w:r w:rsidR="003A49F1" w:rsidRPr="00383300">
        <w:rPr>
          <w:rFonts w:asciiTheme="minorHAnsi" w:hAnsiTheme="minorHAnsi"/>
          <w:sz w:val="22"/>
        </w:rPr>
        <w:t>2 sale sportowe</w:t>
      </w:r>
      <w:r w:rsidR="00383300">
        <w:rPr>
          <w:rFonts w:asciiTheme="minorHAnsi" w:hAnsiTheme="minorHAnsi"/>
          <w:sz w:val="22"/>
        </w:rPr>
        <w:t>)</w:t>
      </w:r>
      <w:r w:rsidR="003A49F1" w:rsidRPr="00383300">
        <w:rPr>
          <w:rFonts w:asciiTheme="minorHAnsi" w:hAnsiTheme="minorHAnsi"/>
          <w:sz w:val="22"/>
        </w:rPr>
        <w:t>,</w:t>
      </w:r>
      <w:r w:rsidR="00383300">
        <w:rPr>
          <w:rFonts w:asciiTheme="minorHAnsi" w:hAnsiTheme="minorHAnsi"/>
          <w:sz w:val="22"/>
        </w:rPr>
        <w:t xml:space="preserve"> </w:t>
      </w:r>
      <w:r w:rsidR="003A49F1" w:rsidRPr="00383300">
        <w:rPr>
          <w:rFonts w:asciiTheme="minorHAnsi" w:hAnsiTheme="minorHAnsi"/>
          <w:sz w:val="22"/>
        </w:rPr>
        <w:t>Zespół Szkół Integr</w:t>
      </w:r>
      <w:r w:rsidR="00383300">
        <w:rPr>
          <w:rFonts w:asciiTheme="minorHAnsi" w:hAnsiTheme="minorHAnsi"/>
          <w:sz w:val="22"/>
        </w:rPr>
        <w:t>acyjnych (kompleks boisk sportowych,</w:t>
      </w:r>
      <w:r w:rsidR="004E33DD">
        <w:rPr>
          <w:rFonts w:asciiTheme="minorHAnsi" w:hAnsiTheme="minorHAnsi"/>
          <w:sz w:val="22"/>
        </w:rPr>
        <w:t xml:space="preserve"> </w:t>
      </w:r>
      <w:r w:rsidR="003A49F1" w:rsidRPr="00383300">
        <w:rPr>
          <w:rFonts w:asciiTheme="minorHAnsi" w:hAnsiTheme="minorHAnsi"/>
          <w:sz w:val="22"/>
        </w:rPr>
        <w:t>w tym boisko trawiaste do piłki nożnej, bieżnia poliuretanowa o długości 210 m, hala widowiskowo-sportowa z trybunami, na której rozgrywane są mecze ligowe gier zespołowych, w tym ekstraklasy piłki ręcznej i innych dyscyplin sportowych</w:t>
      </w:r>
      <w:r w:rsidR="00A41138">
        <w:rPr>
          <w:rFonts w:asciiTheme="minorHAnsi" w:hAnsiTheme="minorHAnsi"/>
          <w:sz w:val="22"/>
        </w:rPr>
        <w:t>,</w:t>
      </w:r>
      <w:r w:rsidR="003A49F1" w:rsidRPr="00383300">
        <w:rPr>
          <w:rFonts w:asciiTheme="minorHAnsi" w:hAnsiTheme="minorHAnsi"/>
          <w:sz w:val="22"/>
        </w:rPr>
        <w:t xml:space="preserve"> jak np</w:t>
      </w:r>
      <w:r w:rsidR="00383300">
        <w:rPr>
          <w:rFonts w:asciiTheme="minorHAnsi" w:hAnsiTheme="minorHAnsi"/>
          <w:sz w:val="22"/>
        </w:rPr>
        <w:t xml:space="preserve">. sporty walki, łucznictwo, </w:t>
      </w:r>
      <w:r w:rsidR="0033475A">
        <w:rPr>
          <w:rFonts w:asciiTheme="minorHAnsi" w:hAnsiTheme="minorHAnsi"/>
          <w:sz w:val="22"/>
        </w:rPr>
        <w:t>siłownia i 3 </w:t>
      </w:r>
      <w:r w:rsidR="003A49F1" w:rsidRPr="00383300">
        <w:rPr>
          <w:rFonts w:asciiTheme="minorHAnsi" w:hAnsiTheme="minorHAnsi"/>
          <w:sz w:val="22"/>
        </w:rPr>
        <w:t>„małe” sale</w:t>
      </w:r>
      <w:r w:rsidR="00383300">
        <w:rPr>
          <w:rFonts w:asciiTheme="minorHAnsi" w:hAnsiTheme="minorHAnsi"/>
          <w:sz w:val="22"/>
        </w:rPr>
        <w:t>)</w:t>
      </w:r>
      <w:r w:rsidR="003A49F1" w:rsidRPr="00383300">
        <w:rPr>
          <w:rFonts w:asciiTheme="minorHAnsi" w:hAnsiTheme="minorHAnsi"/>
          <w:sz w:val="22"/>
        </w:rPr>
        <w:t>,</w:t>
      </w:r>
      <w:r w:rsidR="00383300">
        <w:rPr>
          <w:rFonts w:asciiTheme="minorHAnsi" w:hAnsiTheme="minorHAnsi"/>
          <w:sz w:val="22"/>
        </w:rPr>
        <w:t xml:space="preserve"> ZSO nr 2 (</w:t>
      </w:r>
      <w:r w:rsidR="003A49F1" w:rsidRPr="00383300">
        <w:rPr>
          <w:rFonts w:asciiTheme="minorHAnsi" w:hAnsiTheme="minorHAnsi"/>
          <w:sz w:val="22"/>
        </w:rPr>
        <w:t>kompl</w:t>
      </w:r>
      <w:r w:rsidR="00383300">
        <w:rPr>
          <w:rFonts w:asciiTheme="minorHAnsi" w:hAnsiTheme="minorHAnsi"/>
          <w:sz w:val="22"/>
        </w:rPr>
        <w:t>eks boisk sportowych</w:t>
      </w:r>
      <w:r w:rsidR="003A49F1" w:rsidRPr="00383300">
        <w:rPr>
          <w:rFonts w:asciiTheme="minorHAnsi" w:hAnsiTheme="minorHAnsi"/>
          <w:sz w:val="22"/>
        </w:rPr>
        <w:t>, wielofunkcyjna sala sportowa z trybuną, siłownia, „mała” sala, tory łucznicze, 2 korty tenisowe</w:t>
      </w:r>
      <w:r w:rsidR="00383300">
        <w:rPr>
          <w:rFonts w:asciiTheme="minorHAnsi" w:hAnsiTheme="minorHAnsi"/>
          <w:sz w:val="22"/>
        </w:rPr>
        <w:t>)</w:t>
      </w:r>
      <w:r w:rsidR="003A49F1" w:rsidRPr="00383300">
        <w:rPr>
          <w:rFonts w:asciiTheme="minorHAnsi" w:hAnsiTheme="minorHAnsi"/>
          <w:sz w:val="22"/>
        </w:rPr>
        <w:t>,</w:t>
      </w:r>
      <w:r w:rsidR="00383300">
        <w:rPr>
          <w:rFonts w:asciiTheme="minorHAnsi" w:hAnsiTheme="minorHAnsi"/>
          <w:sz w:val="22"/>
        </w:rPr>
        <w:t xml:space="preserve"> </w:t>
      </w:r>
      <w:r w:rsidR="003A49F1" w:rsidRPr="00383300">
        <w:rPr>
          <w:rFonts w:asciiTheme="minorHAnsi" w:hAnsiTheme="minorHAnsi"/>
          <w:sz w:val="22"/>
        </w:rPr>
        <w:t xml:space="preserve">ZSO nr 3  </w:t>
      </w:r>
      <w:r w:rsidR="00383300">
        <w:rPr>
          <w:rFonts w:asciiTheme="minorHAnsi" w:hAnsiTheme="minorHAnsi"/>
          <w:sz w:val="22"/>
        </w:rPr>
        <w:t>(</w:t>
      </w:r>
      <w:r w:rsidR="003A49F1" w:rsidRPr="00383300">
        <w:rPr>
          <w:rFonts w:asciiTheme="minorHAnsi" w:hAnsiTheme="minorHAnsi"/>
          <w:sz w:val="22"/>
        </w:rPr>
        <w:t>kompleks boisk sportowych, sala sportowa, sala do tenisa stołowego, siłownia, 2 „małe” sale, basen Bąbelek, na boisku zamontowane są także urządzenia dla sportów wrotkarskich</w:t>
      </w:r>
      <w:r w:rsidR="00383300">
        <w:rPr>
          <w:rFonts w:asciiTheme="minorHAnsi" w:hAnsiTheme="minorHAnsi"/>
          <w:sz w:val="22"/>
        </w:rPr>
        <w:t>)</w:t>
      </w:r>
      <w:r w:rsidR="003A49F1" w:rsidRPr="00383300">
        <w:rPr>
          <w:rFonts w:asciiTheme="minorHAnsi" w:hAnsiTheme="minorHAnsi"/>
          <w:sz w:val="22"/>
        </w:rPr>
        <w:t xml:space="preserve">, </w:t>
      </w:r>
      <w:r w:rsidR="004E33DD">
        <w:rPr>
          <w:rFonts w:asciiTheme="minorHAnsi" w:hAnsiTheme="minorHAnsi"/>
          <w:sz w:val="22"/>
        </w:rPr>
        <w:t>ZS Budowlanych (</w:t>
      </w:r>
      <w:r w:rsidR="003A49F1" w:rsidRPr="004E33DD">
        <w:rPr>
          <w:rFonts w:asciiTheme="minorHAnsi" w:hAnsiTheme="minorHAnsi"/>
          <w:sz w:val="22"/>
        </w:rPr>
        <w:t>2 sale sportowe, siłownia, „mała” sala, basen kryty 25 m, boisko piłkarskie z nawierzchnią ze sztucznej trawy, do mini piłki nożnej</w:t>
      </w:r>
      <w:r w:rsidR="004E33DD">
        <w:rPr>
          <w:rFonts w:asciiTheme="minorHAnsi" w:hAnsiTheme="minorHAnsi"/>
          <w:sz w:val="22"/>
        </w:rPr>
        <w:t>)</w:t>
      </w:r>
      <w:r w:rsidR="003A49F1" w:rsidRPr="004E33DD">
        <w:rPr>
          <w:rFonts w:asciiTheme="minorHAnsi" w:hAnsiTheme="minorHAnsi"/>
          <w:sz w:val="22"/>
        </w:rPr>
        <w:t xml:space="preserve">, </w:t>
      </w:r>
      <w:r w:rsidR="004E33DD">
        <w:rPr>
          <w:rFonts w:asciiTheme="minorHAnsi" w:hAnsiTheme="minorHAnsi"/>
          <w:sz w:val="22"/>
        </w:rPr>
        <w:t>ZS</w:t>
      </w:r>
      <w:r w:rsidR="0033475A">
        <w:rPr>
          <w:rFonts w:asciiTheme="minorHAnsi" w:hAnsiTheme="minorHAnsi"/>
          <w:sz w:val="22"/>
        </w:rPr>
        <w:t> </w:t>
      </w:r>
      <w:r w:rsidR="004E33DD">
        <w:rPr>
          <w:rFonts w:asciiTheme="minorHAnsi" w:hAnsiTheme="minorHAnsi"/>
          <w:sz w:val="22"/>
        </w:rPr>
        <w:t xml:space="preserve">Samochodowych (kompleks boisk sportowych, sala, </w:t>
      </w:r>
      <w:r w:rsidR="003A49F1" w:rsidRPr="004E33DD">
        <w:rPr>
          <w:rFonts w:asciiTheme="minorHAnsi" w:hAnsiTheme="minorHAnsi"/>
          <w:sz w:val="22"/>
        </w:rPr>
        <w:t>siłownia, 2 „małe” sale, bieżnia 100 m, skocznia i rzutnia</w:t>
      </w:r>
      <w:r w:rsidR="004E33DD">
        <w:rPr>
          <w:rFonts w:asciiTheme="minorHAnsi" w:hAnsiTheme="minorHAnsi"/>
          <w:sz w:val="22"/>
        </w:rPr>
        <w:t>)</w:t>
      </w:r>
      <w:r w:rsidR="003A49F1" w:rsidRPr="004E33DD">
        <w:rPr>
          <w:rFonts w:asciiTheme="minorHAnsi" w:hAnsiTheme="minorHAnsi"/>
          <w:sz w:val="22"/>
        </w:rPr>
        <w:t>.</w:t>
      </w:r>
    </w:p>
    <w:p w:rsidR="003A49F1" w:rsidRDefault="003A49F1" w:rsidP="003A49F1">
      <w:pPr>
        <w:rPr>
          <w:rFonts w:asciiTheme="minorHAnsi" w:hAnsiTheme="minorHAnsi"/>
          <w:sz w:val="22"/>
        </w:rPr>
      </w:pPr>
    </w:p>
    <w:p w:rsidR="00882783" w:rsidRDefault="00A70D04" w:rsidP="003A49F1">
      <w:pPr>
        <w:rPr>
          <w:rFonts w:asciiTheme="minorHAnsi" w:hAnsiTheme="minorHAnsi"/>
          <w:sz w:val="22"/>
        </w:rPr>
      </w:pPr>
      <w:r>
        <w:rPr>
          <w:rFonts w:asciiTheme="minorHAnsi" w:hAnsiTheme="minorHAnsi"/>
          <w:sz w:val="22"/>
        </w:rPr>
        <w:t xml:space="preserve">Legnicki </w:t>
      </w:r>
      <w:r w:rsidR="003A49F1" w:rsidRPr="00563EF2">
        <w:rPr>
          <w:rFonts w:asciiTheme="minorHAnsi" w:hAnsiTheme="minorHAnsi"/>
          <w:sz w:val="22"/>
        </w:rPr>
        <w:t>O</w:t>
      </w:r>
      <w:r>
        <w:rPr>
          <w:rFonts w:asciiTheme="minorHAnsi" w:hAnsiTheme="minorHAnsi"/>
          <w:sz w:val="22"/>
        </w:rPr>
        <w:t xml:space="preserve">środek </w:t>
      </w:r>
      <w:r w:rsidR="003A49F1" w:rsidRPr="00563EF2">
        <w:rPr>
          <w:rFonts w:asciiTheme="minorHAnsi" w:hAnsiTheme="minorHAnsi"/>
          <w:sz w:val="22"/>
        </w:rPr>
        <w:t>S</w:t>
      </w:r>
      <w:r>
        <w:rPr>
          <w:rFonts w:asciiTheme="minorHAnsi" w:hAnsiTheme="minorHAnsi"/>
          <w:sz w:val="22"/>
        </w:rPr>
        <w:t xml:space="preserve">portu i </w:t>
      </w:r>
      <w:r w:rsidR="003A49F1" w:rsidRPr="00563EF2">
        <w:rPr>
          <w:rFonts w:asciiTheme="minorHAnsi" w:hAnsiTheme="minorHAnsi"/>
          <w:sz w:val="22"/>
        </w:rPr>
        <w:t>R</w:t>
      </w:r>
      <w:r>
        <w:rPr>
          <w:rFonts w:asciiTheme="minorHAnsi" w:hAnsiTheme="minorHAnsi"/>
          <w:sz w:val="22"/>
        </w:rPr>
        <w:t>ekreacji</w:t>
      </w:r>
      <w:r w:rsidR="003A49F1" w:rsidRPr="00563EF2">
        <w:rPr>
          <w:rFonts w:asciiTheme="minorHAnsi" w:hAnsiTheme="minorHAnsi"/>
          <w:sz w:val="22"/>
        </w:rPr>
        <w:t xml:space="preserve"> </w:t>
      </w:r>
      <w:r w:rsidR="004E33DD">
        <w:rPr>
          <w:rFonts w:asciiTheme="minorHAnsi" w:hAnsiTheme="minorHAnsi"/>
          <w:sz w:val="22"/>
        </w:rPr>
        <w:t>zajmuje się także organizacją licznych imprez sportowych</w:t>
      </w:r>
      <w:r w:rsidR="003A49F1" w:rsidRPr="00563EF2">
        <w:rPr>
          <w:rFonts w:asciiTheme="minorHAnsi" w:hAnsiTheme="minorHAnsi"/>
          <w:sz w:val="22"/>
        </w:rPr>
        <w:t xml:space="preserve"> dl</w:t>
      </w:r>
      <w:r w:rsidR="004E33DD">
        <w:rPr>
          <w:rFonts w:asciiTheme="minorHAnsi" w:hAnsiTheme="minorHAnsi"/>
          <w:sz w:val="22"/>
        </w:rPr>
        <w:t>a młodzieży i mieszkańców, takich</w:t>
      </w:r>
      <w:r w:rsidR="003A49F1" w:rsidRPr="00563EF2">
        <w:rPr>
          <w:rFonts w:asciiTheme="minorHAnsi" w:hAnsiTheme="minorHAnsi"/>
          <w:sz w:val="22"/>
        </w:rPr>
        <w:t xml:space="preserve"> jak np. Mistrzostwa w Nordic Walking, Bieg Zakochanych, Bieg Lwa Legnickiego, Legnica Półmaraton, Spływ Samoróbek, turnieje „dzikich drużyn” w siatkówkę plażową, piłkę nożną, czy koszykówkę oraz wiele innych. </w:t>
      </w:r>
      <w:r w:rsidR="00882783">
        <w:rPr>
          <w:rFonts w:asciiTheme="minorHAnsi" w:hAnsiTheme="minorHAnsi"/>
          <w:sz w:val="22"/>
        </w:rPr>
        <w:t>Barierą dla organizac</w:t>
      </w:r>
      <w:r w:rsidR="0033475A">
        <w:rPr>
          <w:rFonts w:asciiTheme="minorHAnsi" w:hAnsiTheme="minorHAnsi"/>
          <w:sz w:val="22"/>
        </w:rPr>
        <w:t>ji dużych wydarzeń sportowych o </w:t>
      </w:r>
      <w:r w:rsidR="00882783">
        <w:rPr>
          <w:rFonts w:asciiTheme="minorHAnsi" w:hAnsiTheme="minorHAnsi"/>
          <w:sz w:val="22"/>
        </w:rPr>
        <w:t xml:space="preserve">charakterze ponadlokalnym jest brak wielofunkcyjnej hali widowiskowo-sportowej o dużej pojemności. </w:t>
      </w:r>
    </w:p>
    <w:p w:rsidR="0017316E" w:rsidRDefault="003A49F1" w:rsidP="0017316E">
      <w:pPr>
        <w:rPr>
          <w:rFonts w:asciiTheme="minorHAnsi" w:hAnsiTheme="minorHAnsi"/>
          <w:sz w:val="22"/>
        </w:rPr>
      </w:pPr>
      <w:r>
        <w:rPr>
          <w:rFonts w:asciiTheme="minorHAnsi" w:hAnsiTheme="minorHAnsi"/>
          <w:sz w:val="22"/>
        </w:rPr>
        <w:t>D</w:t>
      </w:r>
      <w:r w:rsidRPr="003A49F1">
        <w:rPr>
          <w:rFonts w:asciiTheme="minorHAnsi" w:hAnsiTheme="minorHAnsi"/>
          <w:sz w:val="22"/>
        </w:rPr>
        <w:t xml:space="preserve">ziałalność w zakresie sportu dzieci i młodzieży szkolnej prowadzi Legnicki Szkolny Związek Sportowy. Jest koordynatorem i organizatorem </w:t>
      </w:r>
      <w:r w:rsidR="0017316E">
        <w:rPr>
          <w:rFonts w:asciiTheme="minorHAnsi" w:hAnsiTheme="minorHAnsi"/>
          <w:sz w:val="22"/>
        </w:rPr>
        <w:t>około 40 imprez rocznie</w:t>
      </w:r>
      <w:r w:rsidR="00A41138">
        <w:rPr>
          <w:rFonts w:asciiTheme="minorHAnsi" w:hAnsiTheme="minorHAnsi"/>
          <w:sz w:val="22"/>
        </w:rPr>
        <w:t>,</w:t>
      </w:r>
      <w:r w:rsidR="0017316E">
        <w:rPr>
          <w:rFonts w:asciiTheme="minorHAnsi" w:hAnsiTheme="minorHAnsi"/>
          <w:sz w:val="22"/>
        </w:rPr>
        <w:t xml:space="preserve"> rozgrywanych w ramach Igrzysk Szkolnych, Gimnazjady i Licealiady</w:t>
      </w:r>
      <w:r w:rsidR="004E33DD">
        <w:rPr>
          <w:rFonts w:asciiTheme="minorHAnsi" w:hAnsiTheme="minorHAnsi"/>
          <w:sz w:val="22"/>
        </w:rPr>
        <w:t xml:space="preserve"> . </w:t>
      </w:r>
      <w:r w:rsidRPr="003A49F1">
        <w:rPr>
          <w:rFonts w:asciiTheme="minorHAnsi" w:hAnsiTheme="minorHAnsi"/>
          <w:sz w:val="22"/>
        </w:rPr>
        <w:t>Szacuje się, że rocznie w legnickiej rywalizacji na wszystkich etapach nauczania bierze udzi</w:t>
      </w:r>
      <w:r w:rsidR="0064065B">
        <w:rPr>
          <w:rFonts w:asciiTheme="minorHAnsi" w:hAnsiTheme="minorHAnsi"/>
          <w:sz w:val="22"/>
        </w:rPr>
        <w:t>ał około 4 </w:t>
      </w:r>
      <w:r w:rsidRPr="003A49F1">
        <w:rPr>
          <w:rFonts w:asciiTheme="minorHAnsi" w:hAnsiTheme="minorHAnsi"/>
          <w:sz w:val="22"/>
        </w:rPr>
        <w:t xml:space="preserve">tysiące dzieci i młodzieży. </w:t>
      </w:r>
    </w:p>
    <w:p w:rsidR="0017316E" w:rsidRDefault="0017316E" w:rsidP="0017316E">
      <w:pPr>
        <w:rPr>
          <w:rFonts w:asciiTheme="minorHAnsi" w:hAnsiTheme="minorHAnsi"/>
          <w:sz w:val="22"/>
        </w:rPr>
      </w:pPr>
    </w:p>
    <w:p w:rsidR="003D5EBC" w:rsidRDefault="0017316E" w:rsidP="0017316E">
      <w:pPr>
        <w:rPr>
          <w:rFonts w:asciiTheme="minorHAnsi" w:hAnsiTheme="minorHAnsi"/>
          <w:sz w:val="22"/>
        </w:rPr>
      </w:pPr>
      <w:r>
        <w:rPr>
          <w:rFonts w:asciiTheme="minorHAnsi" w:hAnsiTheme="minorHAnsi"/>
          <w:sz w:val="22"/>
        </w:rPr>
        <w:t xml:space="preserve">W </w:t>
      </w:r>
      <w:r w:rsidRPr="0017316E">
        <w:rPr>
          <w:rFonts w:asciiTheme="minorHAnsi" w:hAnsiTheme="minorHAnsi"/>
          <w:sz w:val="22"/>
        </w:rPr>
        <w:t xml:space="preserve"> Legnicy funkcjonuje ok</w:t>
      </w:r>
      <w:r>
        <w:rPr>
          <w:rFonts w:asciiTheme="minorHAnsi" w:hAnsiTheme="minorHAnsi"/>
          <w:sz w:val="22"/>
        </w:rPr>
        <w:t>oło</w:t>
      </w:r>
      <w:r w:rsidRPr="0017316E">
        <w:rPr>
          <w:rFonts w:asciiTheme="minorHAnsi" w:hAnsiTheme="minorHAnsi"/>
          <w:sz w:val="22"/>
        </w:rPr>
        <w:t xml:space="preserve"> 60 klubów sportowych, zrzeszających blisko 3.000 członków.</w:t>
      </w:r>
      <w:r>
        <w:rPr>
          <w:rFonts w:asciiTheme="minorHAnsi" w:hAnsiTheme="minorHAnsi"/>
          <w:sz w:val="22"/>
        </w:rPr>
        <w:t xml:space="preserve"> </w:t>
      </w:r>
      <w:r w:rsidR="00383300">
        <w:rPr>
          <w:rFonts w:asciiTheme="minorHAnsi" w:hAnsiTheme="minorHAnsi"/>
          <w:sz w:val="22"/>
        </w:rPr>
        <w:t xml:space="preserve">Jak wskazuje dokument </w:t>
      </w:r>
      <w:r w:rsidR="003D5EBC" w:rsidRPr="00383300">
        <w:rPr>
          <w:rFonts w:asciiTheme="minorHAnsi" w:hAnsiTheme="minorHAnsi"/>
          <w:i/>
          <w:sz w:val="22"/>
        </w:rPr>
        <w:t>Modelu Funkcjonowania Sportu w Legnicy</w:t>
      </w:r>
      <w:r w:rsidR="004E4767">
        <w:rPr>
          <w:rFonts w:asciiTheme="minorHAnsi" w:hAnsiTheme="minorHAnsi"/>
          <w:sz w:val="22"/>
        </w:rPr>
        <w:t xml:space="preserve"> </w:t>
      </w:r>
      <w:r w:rsidR="003D5EBC" w:rsidRPr="00563EF2">
        <w:rPr>
          <w:rFonts w:asciiTheme="minorHAnsi" w:eastAsia="Calibri" w:hAnsiTheme="minorHAnsi"/>
          <w:sz w:val="22"/>
        </w:rPr>
        <w:t>Gmina Legnica na co dzień w</w:t>
      </w:r>
      <w:r>
        <w:rPr>
          <w:rFonts w:asciiTheme="minorHAnsi" w:eastAsia="Calibri" w:hAnsiTheme="minorHAnsi"/>
          <w:sz w:val="22"/>
        </w:rPr>
        <w:t>spółpracuje w różnej formie z 20</w:t>
      </w:r>
      <w:r w:rsidR="003D5EBC" w:rsidRPr="00563EF2">
        <w:rPr>
          <w:rFonts w:asciiTheme="minorHAnsi" w:eastAsia="Calibri" w:hAnsiTheme="minorHAnsi"/>
          <w:sz w:val="22"/>
        </w:rPr>
        <w:t xml:space="preserve"> stowarzyszeniami sportowymi, w tym 7 U</w:t>
      </w:r>
      <w:r w:rsidR="004E4767">
        <w:rPr>
          <w:rFonts w:asciiTheme="minorHAnsi" w:eastAsia="Calibri" w:hAnsiTheme="minorHAnsi"/>
          <w:sz w:val="22"/>
        </w:rPr>
        <w:t xml:space="preserve">czniowskimi </w:t>
      </w:r>
      <w:r w:rsidR="003D5EBC" w:rsidRPr="00563EF2">
        <w:rPr>
          <w:rFonts w:asciiTheme="minorHAnsi" w:eastAsia="Calibri" w:hAnsiTheme="minorHAnsi"/>
          <w:sz w:val="22"/>
        </w:rPr>
        <w:t>K</w:t>
      </w:r>
      <w:r w:rsidR="004E4767">
        <w:rPr>
          <w:rFonts w:asciiTheme="minorHAnsi" w:eastAsia="Calibri" w:hAnsiTheme="minorHAnsi"/>
          <w:sz w:val="22"/>
        </w:rPr>
        <w:t xml:space="preserve">lubami </w:t>
      </w:r>
      <w:r w:rsidR="003D5EBC" w:rsidRPr="00563EF2">
        <w:rPr>
          <w:rFonts w:asciiTheme="minorHAnsi" w:eastAsia="Calibri" w:hAnsiTheme="minorHAnsi"/>
          <w:sz w:val="22"/>
        </w:rPr>
        <w:t>S</w:t>
      </w:r>
      <w:r>
        <w:rPr>
          <w:rFonts w:asciiTheme="minorHAnsi" w:eastAsia="Calibri" w:hAnsiTheme="minorHAnsi"/>
          <w:sz w:val="22"/>
        </w:rPr>
        <w:t>p</w:t>
      </w:r>
      <w:r w:rsidR="004E4767">
        <w:rPr>
          <w:rFonts w:asciiTheme="minorHAnsi" w:eastAsia="Calibri" w:hAnsiTheme="minorHAnsi"/>
          <w:sz w:val="22"/>
        </w:rPr>
        <w:t>o</w:t>
      </w:r>
      <w:r>
        <w:rPr>
          <w:rFonts w:asciiTheme="minorHAnsi" w:eastAsia="Calibri" w:hAnsiTheme="minorHAnsi"/>
          <w:sz w:val="22"/>
        </w:rPr>
        <w:t>r</w:t>
      </w:r>
      <w:r w:rsidR="004E4767">
        <w:rPr>
          <w:rFonts w:asciiTheme="minorHAnsi" w:eastAsia="Calibri" w:hAnsiTheme="minorHAnsi"/>
          <w:sz w:val="22"/>
        </w:rPr>
        <w:t>towymi</w:t>
      </w:r>
      <w:r w:rsidR="003D5EBC" w:rsidRPr="00563EF2">
        <w:rPr>
          <w:rFonts w:asciiTheme="minorHAnsi" w:eastAsia="Calibri" w:hAnsiTheme="minorHAnsi"/>
          <w:sz w:val="22"/>
        </w:rPr>
        <w:t>, prowadzącymi szkolenie w zakresie 21 dyscyplin sportowych.</w:t>
      </w:r>
      <w:r w:rsidR="004F7171" w:rsidRPr="00563EF2">
        <w:rPr>
          <w:rFonts w:asciiTheme="minorHAnsi" w:eastAsia="Calibri" w:hAnsiTheme="minorHAnsi"/>
          <w:sz w:val="22"/>
        </w:rPr>
        <w:t xml:space="preserve"> </w:t>
      </w:r>
      <w:r w:rsidR="003D5EBC" w:rsidRPr="00563EF2">
        <w:rPr>
          <w:rFonts w:asciiTheme="minorHAnsi" w:hAnsiTheme="minorHAnsi"/>
          <w:sz w:val="22"/>
        </w:rPr>
        <w:t>W roku 2011 s</w:t>
      </w:r>
      <w:r w:rsidR="003D5EBC" w:rsidRPr="00563EF2">
        <w:rPr>
          <w:rFonts w:asciiTheme="minorHAnsi" w:eastAsia="Calibri" w:hAnsiTheme="minorHAnsi"/>
          <w:sz w:val="22"/>
        </w:rPr>
        <w:t xml:space="preserve">zkoleniem objętych </w:t>
      </w:r>
      <w:r w:rsidR="003D5EBC" w:rsidRPr="00563EF2">
        <w:rPr>
          <w:rFonts w:asciiTheme="minorHAnsi" w:hAnsiTheme="minorHAnsi"/>
          <w:sz w:val="22"/>
        </w:rPr>
        <w:t>było</w:t>
      </w:r>
      <w:r w:rsidR="003D5EBC" w:rsidRPr="00563EF2">
        <w:rPr>
          <w:rFonts w:asciiTheme="minorHAnsi" w:eastAsia="Calibri" w:hAnsiTheme="minorHAnsi"/>
          <w:sz w:val="22"/>
        </w:rPr>
        <w:t xml:space="preserve"> 2.367 osób, w tym 1.983 w grupach młodzieżowych</w:t>
      </w:r>
      <w:r w:rsidR="003D5EBC" w:rsidRPr="00563EF2">
        <w:rPr>
          <w:rFonts w:asciiTheme="minorHAnsi" w:hAnsiTheme="minorHAnsi"/>
          <w:sz w:val="22"/>
        </w:rPr>
        <w:t>. Oznacza to, że</w:t>
      </w:r>
      <w:r w:rsidR="003D5EBC" w:rsidRPr="00563EF2">
        <w:rPr>
          <w:rFonts w:asciiTheme="minorHAnsi" w:eastAsia="Calibri" w:hAnsiTheme="minorHAnsi"/>
          <w:sz w:val="22"/>
        </w:rPr>
        <w:t xml:space="preserve"> 11,3 % populacji uczniów legnickich szkół</w:t>
      </w:r>
      <w:r w:rsidR="003D5EBC" w:rsidRPr="00563EF2">
        <w:rPr>
          <w:rFonts w:asciiTheme="minorHAnsi" w:hAnsiTheme="minorHAnsi"/>
          <w:sz w:val="22"/>
        </w:rPr>
        <w:t>,</w:t>
      </w:r>
      <w:r w:rsidR="003D5EBC" w:rsidRPr="00563EF2">
        <w:rPr>
          <w:rFonts w:asciiTheme="minorHAnsi" w:eastAsia="Calibri" w:hAnsiTheme="minorHAnsi"/>
          <w:sz w:val="22"/>
        </w:rPr>
        <w:t xml:space="preserve"> uprawia regularnie sport w legnickich klubach sportowych. Spośród nich, 1.112 młodych sportowców tj. 56 % pos</w:t>
      </w:r>
      <w:r w:rsidR="003D5EBC" w:rsidRPr="00563EF2">
        <w:rPr>
          <w:rFonts w:asciiTheme="minorHAnsi" w:hAnsiTheme="minorHAnsi"/>
          <w:sz w:val="22"/>
        </w:rPr>
        <w:t xml:space="preserve">iada licencje zawodnicze. </w:t>
      </w:r>
    </w:p>
    <w:p w:rsidR="00BB6D5E" w:rsidRPr="00563EF2" w:rsidRDefault="00BB6D5E" w:rsidP="00FD7676">
      <w:pPr>
        <w:pStyle w:val="Tekstpodstawowy"/>
        <w:spacing w:line="276" w:lineRule="auto"/>
        <w:rPr>
          <w:rFonts w:asciiTheme="minorHAnsi" w:eastAsiaTheme="minorHAnsi" w:hAnsiTheme="minorHAnsi" w:cstheme="minorBidi"/>
          <w:sz w:val="22"/>
          <w:szCs w:val="22"/>
          <w:lang w:eastAsia="en-US"/>
        </w:rPr>
      </w:pPr>
    </w:p>
    <w:p w:rsidR="003D5EBC" w:rsidRPr="00563EF2" w:rsidRDefault="003D5EBC" w:rsidP="00FD7676">
      <w:pPr>
        <w:pStyle w:val="Tekstpodstawowy"/>
        <w:spacing w:line="276" w:lineRule="auto"/>
        <w:rPr>
          <w:rFonts w:asciiTheme="minorHAnsi" w:eastAsia="Calibri" w:hAnsiTheme="minorHAnsi"/>
          <w:sz w:val="22"/>
          <w:szCs w:val="22"/>
          <w:lang w:eastAsia="en-US"/>
        </w:rPr>
      </w:pPr>
      <w:r w:rsidRPr="00563EF2">
        <w:rPr>
          <w:rFonts w:asciiTheme="minorHAnsi" w:eastAsia="Calibri" w:hAnsiTheme="minorHAnsi"/>
          <w:sz w:val="22"/>
          <w:szCs w:val="22"/>
          <w:lang w:eastAsia="en-US"/>
        </w:rPr>
        <w:t xml:space="preserve">W seniorskich rozgrywkach i zawodach uczestniczy ogólnie 339 zawodników z 14 klubów. Najwięcej </w:t>
      </w:r>
      <w:r w:rsidR="004E4767">
        <w:rPr>
          <w:rFonts w:asciiTheme="minorHAnsi" w:eastAsia="Calibri" w:hAnsiTheme="minorHAnsi"/>
          <w:sz w:val="22"/>
          <w:szCs w:val="22"/>
          <w:lang w:eastAsia="en-US"/>
        </w:rPr>
        <w:t xml:space="preserve">osób </w:t>
      </w:r>
      <w:r w:rsidRPr="00563EF2">
        <w:rPr>
          <w:rFonts w:asciiTheme="minorHAnsi" w:eastAsia="Calibri" w:hAnsiTheme="minorHAnsi"/>
          <w:sz w:val="22"/>
          <w:szCs w:val="22"/>
          <w:lang w:eastAsia="en-US"/>
        </w:rPr>
        <w:t>trenuje piłkę nożną – 91 os. (MKS Miedź 55 os. i KS Konfeks -36), 70 os. sporty siłowe –TKKF Śródmieście oraz 41 os. piłkę ręczną (MSPR Siódemka – 21 i UKS Dziewiątka – 20 os.).</w:t>
      </w:r>
      <w:r w:rsidR="004159AF" w:rsidRPr="00563EF2">
        <w:rPr>
          <w:rStyle w:val="Odwoanieprzypisudolnego"/>
          <w:rFonts w:asciiTheme="minorHAnsi" w:eastAsiaTheme="minorHAnsi" w:hAnsiTheme="minorHAnsi" w:cstheme="minorBidi"/>
          <w:sz w:val="22"/>
          <w:szCs w:val="22"/>
          <w:lang w:eastAsia="en-US"/>
        </w:rPr>
        <w:footnoteReference w:id="11"/>
      </w:r>
      <w:r w:rsidRPr="00563EF2">
        <w:rPr>
          <w:rFonts w:asciiTheme="minorHAnsi" w:eastAsia="Calibri" w:hAnsiTheme="minorHAnsi"/>
          <w:sz w:val="22"/>
          <w:szCs w:val="22"/>
          <w:lang w:eastAsia="en-US"/>
        </w:rPr>
        <w:t xml:space="preserve"> </w:t>
      </w:r>
    </w:p>
    <w:p w:rsidR="004159AF" w:rsidRPr="00563EF2" w:rsidRDefault="004159AF" w:rsidP="00FD7676">
      <w:pPr>
        <w:pStyle w:val="Tekstpodstawowy"/>
        <w:spacing w:line="276" w:lineRule="auto"/>
        <w:rPr>
          <w:rFonts w:asciiTheme="minorHAnsi" w:hAnsiTheme="minorHAnsi" w:cs="Arial"/>
          <w:sz w:val="24"/>
        </w:rPr>
      </w:pPr>
    </w:p>
    <w:p w:rsidR="004F7171" w:rsidRPr="007F6382" w:rsidRDefault="004F7171" w:rsidP="00FD7676">
      <w:pPr>
        <w:pStyle w:val="Legenda"/>
        <w:keepNext/>
        <w:spacing w:line="276" w:lineRule="auto"/>
        <w:rPr>
          <w:rFonts w:asciiTheme="minorHAnsi" w:hAnsiTheme="minorHAnsi"/>
          <w:sz w:val="20"/>
        </w:rPr>
      </w:pPr>
      <w:r w:rsidRPr="007F6382">
        <w:rPr>
          <w:rFonts w:asciiTheme="minorHAnsi" w:hAnsiTheme="minorHAnsi"/>
          <w:sz w:val="20"/>
        </w:rPr>
        <w:t xml:space="preserve">Tabela </w:t>
      </w:r>
      <w:r w:rsidR="00017794" w:rsidRPr="007F6382">
        <w:rPr>
          <w:rFonts w:asciiTheme="minorHAnsi" w:hAnsiTheme="minorHAnsi"/>
          <w:sz w:val="20"/>
        </w:rPr>
        <w:fldChar w:fldCharType="begin"/>
      </w:r>
      <w:r w:rsidRPr="007F6382">
        <w:rPr>
          <w:rFonts w:asciiTheme="minorHAnsi" w:hAnsiTheme="minorHAnsi"/>
          <w:sz w:val="20"/>
        </w:rPr>
        <w:instrText xml:space="preserve"> SEQ Tabela \* ARABIC </w:instrText>
      </w:r>
      <w:r w:rsidR="00017794" w:rsidRPr="007F6382">
        <w:rPr>
          <w:rFonts w:asciiTheme="minorHAnsi" w:hAnsiTheme="minorHAnsi"/>
          <w:sz w:val="20"/>
        </w:rPr>
        <w:fldChar w:fldCharType="separate"/>
      </w:r>
      <w:r w:rsidR="007B2916">
        <w:rPr>
          <w:rFonts w:asciiTheme="minorHAnsi" w:hAnsiTheme="minorHAnsi"/>
          <w:noProof/>
          <w:sz w:val="20"/>
        </w:rPr>
        <w:t>18</w:t>
      </w:r>
      <w:r w:rsidR="00017794" w:rsidRPr="007F6382">
        <w:rPr>
          <w:rFonts w:asciiTheme="minorHAnsi" w:hAnsiTheme="minorHAnsi"/>
          <w:sz w:val="20"/>
        </w:rPr>
        <w:fldChar w:fldCharType="end"/>
      </w:r>
      <w:r w:rsidRPr="007F6382">
        <w:rPr>
          <w:rFonts w:asciiTheme="minorHAnsi" w:hAnsiTheme="minorHAnsi"/>
          <w:sz w:val="20"/>
        </w:rPr>
        <w:t>. .  Zestawienie liczby osób uczestników szkolenia, zawodników, trenerów i wolontariuszy w 2011 r.</w:t>
      </w:r>
    </w:p>
    <w:tbl>
      <w:tblPr>
        <w:tblStyle w:val="Jasnasiatkaakcent11"/>
        <w:tblW w:w="11379" w:type="dxa"/>
        <w:tblInd w:w="-1026" w:type="dxa"/>
        <w:tblLook w:val="04A0" w:firstRow="1" w:lastRow="0" w:firstColumn="1" w:lastColumn="0" w:noHBand="0" w:noVBand="1"/>
      </w:tblPr>
      <w:tblGrid>
        <w:gridCol w:w="399"/>
        <w:gridCol w:w="1363"/>
        <w:gridCol w:w="1193"/>
        <w:gridCol w:w="1143"/>
        <w:gridCol w:w="1370"/>
        <w:gridCol w:w="1370"/>
        <w:gridCol w:w="1162"/>
        <w:gridCol w:w="916"/>
        <w:gridCol w:w="1193"/>
        <w:gridCol w:w="1270"/>
      </w:tblGrid>
      <w:tr w:rsidR="004159AF" w:rsidRPr="00563EF2" w:rsidTr="008B386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center"/>
              <w:rPr>
                <w:rFonts w:asciiTheme="minorHAnsi" w:hAnsiTheme="minorHAnsi" w:cs="Arial"/>
                <w:sz w:val="18"/>
                <w:szCs w:val="18"/>
              </w:rPr>
            </w:pPr>
            <w:r w:rsidRPr="00563EF2">
              <w:rPr>
                <w:rFonts w:asciiTheme="minorHAnsi" w:eastAsia="Calibri" w:hAnsiTheme="minorHAnsi" w:cs="Arial"/>
                <w:sz w:val="18"/>
                <w:szCs w:val="18"/>
              </w:rPr>
              <w:t>LP</w:t>
            </w:r>
          </w:p>
        </w:tc>
        <w:tc>
          <w:tcPr>
            <w:tcW w:w="1363"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Nazwa klubu</w:t>
            </w:r>
          </w:p>
        </w:tc>
        <w:tc>
          <w:tcPr>
            <w:tcW w:w="1193"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Nazwa dyscypliny</w:t>
            </w:r>
          </w:p>
        </w:tc>
        <w:tc>
          <w:tcPr>
            <w:tcW w:w="1143"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rPr>
            </w:pPr>
            <w:r w:rsidRPr="00563EF2">
              <w:rPr>
                <w:rFonts w:asciiTheme="minorHAnsi" w:eastAsia="Calibri" w:hAnsiTheme="minorHAnsi" w:cs="Arial"/>
                <w:sz w:val="18"/>
                <w:szCs w:val="18"/>
              </w:rPr>
              <w:t>Liczba uczestników szkolenia</w:t>
            </w:r>
          </w:p>
        </w:tc>
        <w:tc>
          <w:tcPr>
            <w:tcW w:w="1370"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Liczba uczest. w grupach młodzieżowych</w:t>
            </w:r>
          </w:p>
        </w:tc>
        <w:tc>
          <w:tcPr>
            <w:tcW w:w="1370"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Liczba uczest. w grupach młodzieżowych z licencją zawodnika</w:t>
            </w:r>
          </w:p>
        </w:tc>
        <w:tc>
          <w:tcPr>
            <w:tcW w:w="1162"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Liczba zawodników w grupach seniorskich</w:t>
            </w:r>
          </w:p>
        </w:tc>
        <w:tc>
          <w:tcPr>
            <w:tcW w:w="916"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Liczba trenerów</w:t>
            </w:r>
          </w:p>
        </w:tc>
        <w:tc>
          <w:tcPr>
            <w:tcW w:w="1193"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63EF2">
              <w:rPr>
                <w:rFonts w:asciiTheme="minorHAnsi" w:eastAsia="Calibri" w:hAnsiTheme="minorHAnsi" w:cs="Arial"/>
                <w:sz w:val="18"/>
                <w:szCs w:val="18"/>
              </w:rPr>
              <w:t>Liczba instruktorów</w:t>
            </w:r>
          </w:p>
        </w:tc>
        <w:tc>
          <w:tcPr>
            <w:tcW w:w="1270" w:type="dxa"/>
            <w:noWrap/>
          </w:tcPr>
          <w:p w:rsidR="004159AF" w:rsidRPr="00563EF2" w:rsidRDefault="004159AF"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Liczba wolontariuszy</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55" w:type="dxa"/>
            <w:gridSpan w:val="3"/>
            <w:noWrap/>
          </w:tcPr>
          <w:p w:rsidR="004159AF" w:rsidRPr="00563EF2" w:rsidRDefault="004159AF" w:rsidP="00FD7676">
            <w:pPr>
              <w:jc w:val="left"/>
              <w:rPr>
                <w:rFonts w:asciiTheme="minorHAnsi" w:eastAsia="Calibri" w:hAnsiTheme="minorHAnsi" w:cs="Arial"/>
                <w:sz w:val="18"/>
                <w:szCs w:val="18"/>
              </w:rPr>
            </w:pPr>
            <w:r w:rsidRPr="00563EF2">
              <w:rPr>
                <w:rFonts w:asciiTheme="minorHAnsi" w:eastAsia="Calibri" w:hAnsiTheme="minorHAnsi" w:cs="Arial"/>
                <w:sz w:val="18"/>
                <w:szCs w:val="18"/>
              </w:rPr>
              <w:t> D</w:t>
            </w:r>
            <w:r w:rsidRPr="00563EF2">
              <w:rPr>
                <w:rFonts w:asciiTheme="minorHAnsi" w:hAnsiTheme="minorHAnsi" w:cs="Arial"/>
                <w:sz w:val="18"/>
                <w:szCs w:val="18"/>
              </w:rPr>
              <w:t>a</w:t>
            </w:r>
            <w:r w:rsidRPr="00563EF2">
              <w:rPr>
                <w:rFonts w:asciiTheme="minorHAnsi" w:eastAsia="Calibri" w:hAnsiTheme="minorHAnsi" w:cs="Arial"/>
                <w:sz w:val="18"/>
                <w:szCs w:val="18"/>
              </w:rPr>
              <w:t xml:space="preserve">ne za rok </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2011</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2011</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36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MKS Miedź</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piłka nożna</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315</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260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260</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55</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17</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11</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KS Konfeks</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piłka nożna</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230</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196</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152</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36</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5</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28</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3</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KS Wankan</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pływanie</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207</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207</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31</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4</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KK Shotokan TORA</w:t>
            </w:r>
          </w:p>
        </w:tc>
        <w:tc>
          <w:tcPr>
            <w:tcW w:w="119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karate shotokan</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207</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143</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97</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12</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8</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5</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UKS przy  I LO</w:t>
            </w:r>
          </w:p>
        </w:tc>
        <w:tc>
          <w:tcPr>
            <w:tcW w:w="119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sport szkolny, gry plażowe</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200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100</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UKS Dziewiątka</w:t>
            </w:r>
          </w:p>
        </w:tc>
        <w:tc>
          <w:tcPr>
            <w:tcW w:w="119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 xml:space="preserve">piłka ręczna </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162</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157</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134</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15</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7</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MSPR Siódemka</w:t>
            </w:r>
          </w:p>
        </w:tc>
        <w:tc>
          <w:tcPr>
            <w:tcW w:w="119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piłka ręczna</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161</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140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120</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21</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25</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8</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ASSz Miedź</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szachy</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160</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140</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30</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10</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9</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LK Taekwon-do</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taekwon-do</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124</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111</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82</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15</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10</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TKKF Śródmieście</w:t>
            </w:r>
          </w:p>
        </w:tc>
        <w:tc>
          <w:tcPr>
            <w:tcW w:w="119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sporty siłowe</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110</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40</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7</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70</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11</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MUKS Ikar</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 xml:space="preserve">piłka siatkowa </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76</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72</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35</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8</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12</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 xml:space="preserve">LKK Kyokushin </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karate kyokushin</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75</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45</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18</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15</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10</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13</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UKS Sprint</w:t>
            </w:r>
          </w:p>
        </w:tc>
        <w:tc>
          <w:tcPr>
            <w:tcW w:w="119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lekkoatletyka</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51</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51</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33</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14</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OSŁ STRZELEC</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łucznictwo</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48</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34</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30</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14</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10</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15</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KS Konfeks</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tenis stołowy</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48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25</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16</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TKKF Olimp</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boks, kikboxing</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47</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29</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18</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4</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17</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UKS Dziewiętnastka</w:t>
            </w:r>
          </w:p>
        </w:tc>
        <w:tc>
          <w:tcPr>
            <w:tcW w:w="119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 xml:space="preserve">piłka siatkowa </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38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26</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18</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UKS OGNIWO</w:t>
            </w:r>
          </w:p>
        </w:tc>
        <w:tc>
          <w:tcPr>
            <w:tcW w:w="119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szachy</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35</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29</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5</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5</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19</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KS Konfeks</w:t>
            </w:r>
          </w:p>
        </w:tc>
        <w:tc>
          <w:tcPr>
            <w:tcW w:w="1193" w:type="dxa"/>
            <w:noWrap/>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brydż sportowy</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30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30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6</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r>
      <w:tr w:rsidR="004159AF" w:rsidRPr="00563EF2" w:rsidTr="008B386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20</w:t>
            </w:r>
          </w:p>
        </w:tc>
        <w:tc>
          <w:tcPr>
            <w:tcW w:w="1363" w:type="dxa"/>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LS Futbol-5</w:t>
            </w:r>
          </w:p>
        </w:tc>
        <w:tc>
          <w:tcPr>
            <w:tcW w:w="1193" w:type="dxa"/>
            <w:noWrap/>
          </w:tcPr>
          <w:p w:rsidR="004159AF" w:rsidRPr="00563EF2" w:rsidRDefault="004159AF" w:rsidP="00FD767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piłka  nożna halowa</w:t>
            </w:r>
          </w:p>
        </w:tc>
        <w:tc>
          <w:tcPr>
            <w:tcW w:w="114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25</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25</w:t>
            </w:r>
          </w:p>
        </w:tc>
        <w:tc>
          <w:tcPr>
            <w:tcW w:w="13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162"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270" w:type="dxa"/>
            <w:noWrap/>
          </w:tcPr>
          <w:p w:rsidR="004159AF" w:rsidRPr="00563EF2" w:rsidRDefault="004159AF"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20</w:t>
            </w:r>
          </w:p>
        </w:tc>
      </w:tr>
      <w:tr w:rsidR="004159AF" w:rsidRPr="00563EF2" w:rsidTr="008B3862">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9" w:type="dxa"/>
            <w:noWrap/>
          </w:tcPr>
          <w:p w:rsidR="004159AF" w:rsidRPr="00563EF2" w:rsidRDefault="004159AF" w:rsidP="00FD7676">
            <w:pPr>
              <w:jc w:val="right"/>
              <w:rPr>
                <w:rFonts w:asciiTheme="minorHAnsi" w:eastAsia="Calibri" w:hAnsiTheme="minorHAnsi" w:cs="Arial"/>
                <w:sz w:val="18"/>
                <w:szCs w:val="18"/>
              </w:rPr>
            </w:pPr>
            <w:r w:rsidRPr="00563EF2">
              <w:rPr>
                <w:rFonts w:asciiTheme="minorHAnsi" w:eastAsia="Calibri" w:hAnsiTheme="minorHAnsi" w:cs="Arial"/>
                <w:sz w:val="18"/>
                <w:szCs w:val="18"/>
              </w:rPr>
              <w:t>21</w:t>
            </w:r>
          </w:p>
        </w:tc>
        <w:tc>
          <w:tcPr>
            <w:tcW w:w="136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18"/>
                <w:szCs w:val="18"/>
              </w:rPr>
            </w:pPr>
            <w:r w:rsidRPr="00563EF2">
              <w:rPr>
                <w:rFonts w:asciiTheme="minorHAnsi" w:eastAsia="Calibri" w:hAnsiTheme="minorHAnsi" w:cs="Arial"/>
                <w:b/>
                <w:sz w:val="18"/>
                <w:szCs w:val="18"/>
              </w:rPr>
              <w:t>MUKS Legnica</w:t>
            </w:r>
          </w:p>
        </w:tc>
        <w:tc>
          <w:tcPr>
            <w:tcW w:w="1193" w:type="dxa"/>
          </w:tcPr>
          <w:p w:rsidR="004159AF" w:rsidRPr="00563EF2" w:rsidRDefault="004159AF" w:rsidP="00FD7676">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lekkoatletyka</w:t>
            </w:r>
          </w:p>
        </w:tc>
        <w:tc>
          <w:tcPr>
            <w:tcW w:w="114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Cs/>
                <w:sz w:val="18"/>
                <w:szCs w:val="18"/>
              </w:rPr>
            </w:pPr>
            <w:r w:rsidRPr="00563EF2">
              <w:rPr>
                <w:rFonts w:asciiTheme="minorHAnsi" w:eastAsia="Calibri" w:hAnsiTheme="minorHAnsi" w:cs="Arial"/>
                <w:bCs/>
                <w:sz w:val="18"/>
                <w:szCs w:val="18"/>
              </w:rPr>
              <w:t>18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18</w:t>
            </w:r>
          </w:p>
        </w:tc>
        <w:tc>
          <w:tcPr>
            <w:tcW w:w="13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12</w:t>
            </w:r>
          </w:p>
        </w:tc>
        <w:tc>
          <w:tcPr>
            <w:tcW w:w="1162"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916"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1</w:t>
            </w:r>
          </w:p>
        </w:tc>
        <w:tc>
          <w:tcPr>
            <w:tcW w:w="1193"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0</w:t>
            </w:r>
          </w:p>
        </w:tc>
        <w:tc>
          <w:tcPr>
            <w:tcW w:w="1270" w:type="dxa"/>
            <w:noWrap/>
          </w:tcPr>
          <w:p w:rsidR="004159AF" w:rsidRPr="00563EF2" w:rsidRDefault="004159AF" w:rsidP="00FD7676">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18"/>
                <w:szCs w:val="18"/>
              </w:rPr>
            </w:pPr>
            <w:r w:rsidRPr="00563EF2">
              <w:rPr>
                <w:rFonts w:asciiTheme="minorHAnsi" w:eastAsia="Calibri" w:hAnsiTheme="minorHAnsi" w:cs="Arial"/>
                <w:sz w:val="18"/>
                <w:szCs w:val="18"/>
              </w:rPr>
              <w:t>2</w:t>
            </w:r>
          </w:p>
        </w:tc>
      </w:tr>
      <w:tr w:rsidR="008B3862" w:rsidRPr="00563EF2" w:rsidTr="008B386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55" w:type="dxa"/>
            <w:gridSpan w:val="3"/>
            <w:noWrap/>
          </w:tcPr>
          <w:p w:rsidR="008B3862" w:rsidRPr="008B3862" w:rsidRDefault="008B3862" w:rsidP="008B3862">
            <w:pPr>
              <w:jc w:val="center"/>
              <w:rPr>
                <w:rFonts w:asciiTheme="minorHAnsi" w:eastAsia="Calibri" w:hAnsiTheme="minorHAnsi" w:cs="Arial"/>
                <w:bCs w:val="0"/>
                <w:sz w:val="18"/>
                <w:szCs w:val="18"/>
              </w:rPr>
            </w:pPr>
            <w:r w:rsidRPr="008B3862">
              <w:rPr>
                <w:rFonts w:asciiTheme="minorHAnsi" w:eastAsia="Calibri" w:hAnsiTheme="minorHAnsi" w:cs="Arial"/>
                <w:bCs w:val="0"/>
                <w:sz w:val="18"/>
                <w:szCs w:val="18"/>
              </w:rPr>
              <w:t>Razem</w:t>
            </w:r>
            <w:r>
              <w:rPr>
                <w:rFonts w:asciiTheme="minorHAnsi" w:eastAsia="Calibri" w:hAnsiTheme="minorHAnsi" w:cs="Arial"/>
                <w:bCs w:val="0"/>
                <w:sz w:val="18"/>
                <w:szCs w:val="18"/>
              </w:rPr>
              <w:t>:</w:t>
            </w:r>
          </w:p>
        </w:tc>
        <w:tc>
          <w:tcPr>
            <w:tcW w:w="1143"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2 367</w:t>
            </w:r>
          </w:p>
        </w:tc>
        <w:tc>
          <w:tcPr>
            <w:tcW w:w="1370"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1 983</w:t>
            </w:r>
          </w:p>
        </w:tc>
        <w:tc>
          <w:tcPr>
            <w:tcW w:w="1370"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1 112</w:t>
            </w:r>
          </w:p>
        </w:tc>
        <w:tc>
          <w:tcPr>
            <w:tcW w:w="1162"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339</w:t>
            </w:r>
          </w:p>
        </w:tc>
        <w:tc>
          <w:tcPr>
            <w:tcW w:w="916"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55</w:t>
            </w:r>
          </w:p>
        </w:tc>
        <w:tc>
          <w:tcPr>
            <w:tcW w:w="1193"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68</w:t>
            </w:r>
          </w:p>
        </w:tc>
        <w:tc>
          <w:tcPr>
            <w:tcW w:w="1270" w:type="dxa"/>
            <w:noWrap/>
          </w:tcPr>
          <w:p w:rsidR="008B3862" w:rsidRPr="00563EF2" w:rsidRDefault="008B3862"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bCs/>
                <w:sz w:val="18"/>
                <w:szCs w:val="18"/>
              </w:rPr>
            </w:pPr>
            <w:r w:rsidRPr="00563EF2">
              <w:rPr>
                <w:rFonts w:asciiTheme="minorHAnsi" w:eastAsia="Calibri" w:hAnsiTheme="minorHAnsi" w:cs="Arial"/>
                <w:b/>
                <w:bCs/>
                <w:sz w:val="18"/>
                <w:szCs w:val="18"/>
              </w:rPr>
              <w:t>269</w:t>
            </w:r>
          </w:p>
        </w:tc>
      </w:tr>
    </w:tbl>
    <w:p w:rsidR="003D5EBC" w:rsidRDefault="004F7171" w:rsidP="00FD7676">
      <w:pPr>
        <w:pStyle w:val="Tekstpodstawowy"/>
        <w:spacing w:line="276" w:lineRule="auto"/>
        <w:rPr>
          <w:rFonts w:asciiTheme="minorHAnsi" w:hAnsiTheme="minorHAnsi" w:cs="Arial"/>
          <w:sz w:val="22"/>
        </w:rPr>
      </w:pPr>
      <w:r w:rsidRPr="00A50D78">
        <w:rPr>
          <w:rFonts w:asciiTheme="minorHAnsi" w:hAnsiTheme="minorHAnsi" w:cs="Arial"/>
          <w:sz w:val="20"/>
          <w:szCs w:val="22"/>
        </w:rPr>
        <w:t xml:space="preserve">Źródło: </w:t>
      </w:r>
      <w:r w:rsidRPr="00A50D78">
        <w:rPr>
          <w:rFonts w:asciiTheme="minorHAnsi" w:hAnsiTheme="minorHAnsi" w:cs="Arial"/>
          <w:i/>
          <w:sz w:val="20"/>
          <w:szCs w:val="22"/>
        </w:rPr>
        <w:t>Model funkcjonowania sportu w Legnicy</w:t>
      </w:r>
      <w:r w:rsidRPr="00A50D78">
        <w:rPr>
          <w:rFonts w:asciiTheme="minorHAnsi" w:hAnsiTheme="minorHAnsi" w:cs="Arial"/>
          <w:sz w:val="20"/>
          <w:szCs w:val="22"/>
        </w:rPr>
        <w:t>, Urząd Miasta Legnicy, 2011 r.</w:t>
      </w:r>
      <w:r w:rsidR="003D5EBC" w:rsidRPr="00A50D78">
        <w:rPr>
          <w:rFonts w:asciiTheme="minorHAnsi" w:hAnsiTheme="minorHAnsi" w:cs="Arial"/>
          <w:sz w:val="22"/>
        </w:rPr>
        <w:t xml:space="preserve">  </w:t>
      </w:r>
    </w:p>
    <w:p w:rsidR="00D76525" w:rsidRDefault="00D76525" w:rsidP="00FD7676">
      <w:pPr>
        <w:pStyle w:val="Tekstpodstawowy"/>
        <w:spacing w:line="276" w:lineRule="auto"/>
        <w:rPr>
          <w:rFonts w:asciiTheme="minorHAnsi" w:hAnsiTheme="minorHAnsi" w:cs="Arial"/>
          <w:sz w:val="22"/>
        </w:rPr>
      </w:pPr>
    </w:p>
    <w:p w:rsidR="003D5EBC" w:rsidRPr="00563EF2" w:rsidRDefault="004159AF" w:rsidP="00EC5484">
      <w:pPr>
        <w:pStyle w:val="Nagwek3"/>
        <w:rPr>
          <w:b w:val="0"/>
        </w:rPr>
      </w:pPr>
      <w:bookmarkStart w:id="29" w:name="_Toc399756316"/>
      <w:r w:rsidRPr="00563EF2">
        <w:rPr>
          <w:b w:val="0"/>
        </w:rPr>
        <w:t>Turystyka</w:t>
      </w:r>
      <w:bookmarkEnd w:id="29"/>
    </w:p>
    <w:p w:rsidR="00DD2A11" w:rsidRPr="00563EF2" w:rsidRDefault="00DD2A11" w:rsidP="00FD7676">
      <w:pPr>
        <w:rPr>
          <w:rFonts w:asciiTheme="minorHAnsi" w:hAnsiTheme="minorHAnsi"/>
          <w:b/>
          <w:color w:val="000000" w:themeColor="text1"/>
          <w:sz w:val="22"/>
        </w:rPr>
      </w:pPr>
    </w:p>
    <w:p w:rsidR="00AB3C9B" w:rsidRPr="00563EF2" w:rsidRDefault="00AB3C9B" w:rsidP="00FD7676">
      <w:pPr>
        <w:rPr>
          <w:rFonts w:asciiTheme="minorHAnsi" w:hAnsiTheme="minorHAnsi"/>
          <w:color w:val="000000" w:themeColor="text1"/>
          <w:sz w:val="22"/>
        </w:rPr>
      </w:pPr>
      <w:r w:rsidRPr="00563EF2">
        <w:rPr>
          <w:rFonts w:asciiTheme="minorHAnsi" w:hAnsiTheme="minorHAnsi"/>
          <w:color w:val="000000" w:themeColor="text1"/>
          <w:sz w:val="22"/>
        </w:rPr>
        <w:t>Legnica jest miastem o bogatej historii, wielokulturowości oraz ciekawej architekturze. Jej zabytki, architektura, układ urbanistyczny stanowią odzwierciedlenie burzliwych losów Dolnego Śląska, wartym zwiedzenia i  zgłębienia ich historii.</w:t>
      </w:r>
    </w:p>
    <w:p w:rsidR="008B3862" w:rsidRPr="00563EF2" w:rsidRDefault="008B3862" w:rsidP="00FD7676">
      <w:pPr>
        <w:rPr>
          <w:rFonts w:asciiTheme="minorHAnsi" w:hAnsiTheme="minorHAnsi"/>
          <w:b/>
          <w:color w:val="000000" w:themeColor="text1"/>
          <w:sz w:val="22"/>
        </w:rPr>
      </w:pPr>
    </w:p>
    <w:p w:rsidR="0026736A" w:rsidRPr="00563EF2" w:rsidRDefault="00AB3C9B" w:rsidP="00FD7676">
      <w:pPr>
        <w:rPr>
          <w:rFonts w:asciiTheme="minorHAnsi" w:hAnsiTheme="minorHAnsi"/>
          <w:b/>
          <w:color w:val="000000" w:themeColor="text1"/>
          <w:sz w:val="22"/>
        </w:rPr>
      </w:pPr>
      <w:r w:rsidRPr="00563EF2">
        <w:rPr>
          <w:rFonts w:asciiTheme="minorHAnsi" w:hAnsiTheme="minorHAnsi"/>
          <w:sz w:val="22"/>
        </w:rPr>
        <w:t>W Legnicy zachowało się kilkadziesiąt obiektów architektury zabytkowej, począwszy od XIII w. Reprezentowane są style od późnoromańskiego do modernizmu. Najstarsze, średniowieczne zabytki to Zamek Piastowski z kapl</w:t>
      </w:r>
      <w:r w:rsidR="005757FA" w:rsidRPr="00563EF2">
        <w:rPr>
          <w:rFonts w:asciiTheme="minorHAnsi" w:hAnsiTheme="minorHAnsi"/>
          <w:sz w:val="22"/>
        </w:rPr>
        <w:t>icą, kościoły – Marii Panny i św</w:t>
      </w:r>
      <w:r w:rsidRPr="00563EF2">
        <w:rPr>
          <w:rFonts w:asciiTheme="minorHAnsi" w:hAnsiTheme="minorHAnsi"/>
          <w:sz w:val="22"/>
        </w:rPr>
        <w:t>. Piotra i Pawła (obecnie katedra), fragmenty murów obronnych z dwiema wieżami. Z okresu renesansu pochodzą fragmenty architektury zamku i ich dekoracja rzeźbiarska, a także nieliczne kamienice mieszczańskie z zespołem „kramów śledziowych”. Bogato reprezentowana jest architektura i sztuka baroku: kościół św. Jana z kolegium jezuickim oraz Mauzoleum Piastów Śląskich, pałac opatów lubiąskich (obecnie Muzeum Miedzi) oraz Akademia Rycerska. Realizowane przez wybitnych architektów Wiednia i Pragi, położone blisko siebie świadczą o randze i znaczeniu barokowej Legnicy. O rozkwicie miasta w XIX i na początku XX w. świadczą imponujące gmachy użyteczności publicznej: Teatr, Nowy Ratusz, dawna loża masońska</w:t>
      </w:r>
      <w:r w:rsidR="00A41138">
        <w:rPr>
          <w:rFonts w:asciiTheme="minorHAnsi" w:hAnsiTheme="minorHAnsi"/>
          <w:sz w:val="22"/>
        </w:rPr>
        <w:t>,</w:t>
      </w:r>
      <w:r w:rsidRPr="00563EF2">
        <w:rPr>
          <w:rFonts w:asciiTheme="minorHAnsi" w:hAnsiTheme="minorHAnsi"/>
          <w:sz w:val="22"/>
        </w:rPr>
        <w:t xml:space="preserve"> </w:t>
      </w:r>
      <w:r w:rsidR="008B3862">
        <w:rPr>
          <w:rFonts w:asciiTheme="minorHAnsi" w:hAnsiTheme="minorHAnsi"/>
          <w:sz w:val="22"/>
        </w:rPr>
        <w:t>o</w:t>
      </w:r>
      <w:r w:rsidRPr="00563EF2">
        <w:rPr>
          <w:rFonts w:asciiTheme="minorHAnsi" w:hAnsiTheme="minorHAnsi"/>
          <w:sz w:val="22"/>
        </w:rPr>
        <w:t>becnie siedziba Legnickiej Biblioteki Publicznej), dawne gimnazja (Zespół Szkół Ekonomicznych n</w:t>
      </w:r>
      <w:r w:rsidR="00A41138">
        <w:rPr>
          <w:rFonts w:asciiTheme="minorHAnsi" w:hAnsiTheme="minorHAnsi"/>
          <w:sz w:val="22"/>
        </w:rPr>
        <w:t>a pl. </w:t>
      </w:r>
      <w:r w:rsidRPr="00563EF2">
        <w:rPr>
          <w:rFonts w:asciiTheme="minorHAnsi" w:hAnsiTheme="minorHAnsi"/>
          <w:sz w:val="22"/>
        </w:rPr>
        <w:t>Słowiańskim, Kuria Biskupia), kościoły: pw. św. Jacka i św. Trójcy oraz secesyjna dzielnica Tarninów.</w:t>
      </w:r>
      <w:r w:rsidRPr="00563EF2">
        <w:rPr>
          <w:rFonts w:asciiTheme="minorHAnsi" w:hAnsiTheme="minorHAnsi"/>
          <w:b/>
          <w:color w:val="000000" w:themeColor="text1"/>
          <w:sz w:val="22"/>
        </w:rPr>
        <w:t xml:space="preserve"> </w:t>
      </w:r>
      <w:r w:rsidRPr="00563EF2">
        <w:rPr>
          <w:rStyle w:val="Odwoanieprzypisudolnego"/>
          <w:rFonts w:asciiTheme="minorHAnsi" w:hAnsiTheme="minorHAnsi"/>
          <w:b/>
          <w:color w:val="000000" w:themeColor="text1"/>
          <w:sz w:val="22"/>
        </w:rPr>
        <w:footnoteReference w:id="12"/>
      </w:r>
    </w:p>
    <w:p w:rsidR="00AB3C9B" w:rsidRPr="00563EF2" w:rsidRDefault="00AB3C9B" w:rsidP="00FD7676">
      <w:pPr>
        <w:rPr>
          <w:rFonts w:asciiTheme="minorHAnsi" w:hAnsiTheme="minorHAnsi"/>
          <w:b/>
          <w:color w:val="000000" w:themeColor="text1"/>
          <w:sz w:val="22"/>
        </w:rPr>
      </w:pPr>
    </w:p>
    <w:p w:rsidR="00D76525" w:rsidRDefault="00D76525" w:rsidP="00FD7676">
      <w:pPr>
        <w:rPr>
          <w:rFonts w:asciiTheme="minorHAnsi" w:hAnsiTheme="minorHAnsi"/>
          <w:color w:val="000000" w:themeColor="text1"/>
          <w:sz w:val="22"/>
        </w:rPr>
      </w:pPr>
      <w:r>
        <w:rPr>
          <w:rFonts w:asciiTheme="minorHAnsi" w:hAnsiTheme="minorHAnsi"/>
          <w:color w:val="000000" w:themeColor="text1"/>
          <w:sz w:val="22"/>
        </w:rPr>
        <w:br w:type="page"/>
      </w:r>
    </w:p>
    <w:p w:rsidR="00DD2A11" w:rsidRDefault="00AB3C9B" w:rsidP="00FD7676">
      <w:pPr>
        <w:rPr>
          <w:rFonts w:asciiTheme="minorHAnsi" w:hAnsiTheme="minorHAnsi"/>
          <w:color w:val="000000" w:themeColor="text1"/>
          <w:sz w:val="22"/>
        </w:rPr>
      </w:pPr>
      <w:r w:rsidRPr="00563EF2">
        <w:rPr>
          <w:rFonts w:asciiTheme="minorHAnsi" w:hAnsiTheme="minorHAnsi"/>
          <w:color w:val="000000" w:themeColor="text1"/>
          <w:sz w:val="22"/>
        </w:rPr>
        <w:t xml:space="preserve">Baza noclegowa jest rozbudowana i spełnia wysokie standardy jakościowe. </w:t>
      </w:r>
      <w:r w:rsidR="00892257" w:rsidRPr="00563EF2">
        <w:rPr>
          <w:rFonts w:asciiTheme="minorHAnsi" w:hAnsiTheme="minorHAnsi"/>
          <w:color w:val="000000" w:themeColor="text1"/>
          <w:sz w:val="22"/>
        </w:rPr>
        <w:t>W 2012 r. na terenie Legnicy funkcjonowało 7 hoteli</w:t>
      </w:r>
      <w:r w:rsidR="00A41138">
        <w:rPr>
          <w:rFonts w:asciiTheme="minorHAnsi" w:hAnsiTheme="minorHAnsi"/>
          <w:color w:val="000000" w:themeColor="text1"/>
          <w:sz w:val="22"/>
        </w:rPr>
        <w:t>,</w:t>
      </w:r>
      <w:r w:rsidR="00892257" w:rsidRPr="00563EF2">
        <w:rPr>
          <w:rFonts w:asciiTheme="minorHAnsi" w:hAnsiTheme="minorHAnsi"/>
          <w:color w:val="000000" w:themeColor="text1"/>
          <w:sz w:val="22"/>
        </w:rPr>
        <w:t xml:space="preserve"> w tym dwa czterogwiazdkowe o wysokim standardzie, trzy trzygwiazdkowe oraz dwa dwugwiazdkowe. Łączna liczba miejsc noclegowych wynosiła 945. Ponadto na terenie Legnicy funkcjonują trzy inne obiekty zakwaterowania o łą</w:t>
      </w:r>
      <w:r w:rsidR="00A50D78">
        <w:rPr>
          <w:rFonts w:asciiTheme="minorHAnsi" w:hAnsiTheme="minorHAnsi"/>
          <w:color w:val="000000" w:themeColor="text1"/>
          <w:sz w:val="22"/>
        </w:rPr>
        <w:t>cznej liczbie miejsc wynoszącej </w:t>
      </w:r>
      <w:r w:rsidR="00892257" w:rsidRPr="00563EF2">
        <w:rPr>
          <w:rFonts w:asciiTheme="minorHAnsi" w:hAnsiTheme="minorHAnsi"/>
          <w:color w:val="000000" w:themeColor="text1"/>
          <w:sz w:val="22"/>
        </w:rPr>
        <w:t xml:space="preserve">158.   </w:t>
      </w:r>
    </w:p>
    <w:p w:rsidR="008B3862" w:rsidRPr="00563EF2" w:rsidRDefault="008B3862" w:rsidP="00FD7676">
      <w:pPr>
        <w:rPr>
          <w:rFonts w:asciiTheme="minorHAnsi" w:hAnsiTheme="minorHAnsi"/>
          <w:color w:val="000000" w:themeColor="text1"/>
          <w:sz w:val="22"/>
        </w:rPr>
      </w:pPr>
    </w:p>
    <w:p w:rsidR="00C640C5" w:rsidRPr="007F6382" w:rsidRDefault="00C640C5" w:rsidP="00C640C5">
      <w:pPr>
        <w:pStyle w:val="Legenda"/>
        <w:keepNext/>
        <w:rPr>
          <w:rFonts w:asciiTheme="minorHAnsi" w:hAnsiTheme="minorHAnsi"/>
          <w:sz w:val="20"/>
        </w:rPr>
      </w:pPr>
      <w:r w:rsidRPr="007F6382">
        <w:rPr>
          <w:rFonts w:asciiTheme="minorHAnsi" w:hAnsiTheme="minorHAnsi"/>
          <w:sz w:val="20"/>
        </w:rPr>
        <w:t xml:space="preserve">Tabela </w:t>
      </w:r>
      <w:r w:rsidR="00CD167A" w:rsidRPr="007F6382">
        <w:rPr>
          <w:rFonts w:asciiTheme="minorHAnsi" w:hAnsiTheme="minorHAnsi"/>
          <w:sz w:val="20"/>
        </w:rPr>
        <w:fldChar w:fldCharType="begin"/>
      </w:r>
      <w:r w:rsidR="00CD167A" w:rsidRPr="007F6382">
        <w:rPr>
          <w:rFonts w:asciiTheme="minorHAnsi" w:hAnsiTheme="minorHAnsi"/>
          <w:sz w:val="20"/>
        </w:rPr>
        <w:instrText xml:space="preserve"> SEQ Tabela \* ARABIC </w:instrText>
      </w:r>
      <w:r w:rsidR="00CD167A" w:rsidRPr="007F6382">
        <w:rPr>
          <w:rFonts w:asciiTheme="minorHAnsi" w:hAnsiTheme="minorHAnsi"/>
          <w:sz w:val="20"/>
        </w:rPr>
        <w:fldChar w:fldCharType="separate"/>
      </w:r>
      <w:r w:rsidR="007B2916">
        <w:rPr>
          <w:rFonts w:asciiTheme="minorHAnsi" w:hAnsiTheme="minorHAnsi"/>
          <w:noProof/>
          <w:sz w:val="20"/>
        </w:rPr>
        <w:t>19</w:t>
      </w:r>
      <w:r w:rsidR="00CD167A" w:rsidRPr="007F6382">
        <w:rPr>
          <w:rFonts w:asciiTheme="minorHAnsi" w:hAnsiTheme="minorHAnsi"/>
          <w:noProof/>
          <w:sz w:val="20"/>
        </w:rPr>
        <w:fldChar w:fldCharType="end"/>
      </w:r>
      <w:r w:rsidRPr="007F6382">
        <w:rPr>
          <w:rFonts w:asciiTheme="minorHAnsi" w:hAnsiTheme="minorHAnsi"/>
          <w:sz w:val="20"/>
        </w:rPr>
        <w:t>. Infrastruktura noclegowa w Legnicy</w:t>
      </w:r>
    </w:p>
    <w:tbl>
      <w:tblPr>
        <w:tblStyle w:val="Jasnasiatkaakcent11"/>
        <w:tblW w:w="9406" w:type="dxa"/>
        <w:tblLook w:val="04A0" w:firstRow="1" w:lastRow="0" w:firstColumn="1" w:lastColumn="0" w:noHBand="0" w:noVBand="1"/>
      </w:tblPr>
      <w:tblGrid>
        <w:gridCol w:w="4726"/>
        <w:gridCol w:w="936"/>
        <w:gridCol w:w="936"/>
        <w:gridCol w:w="936"/>
        <w:gridCol w:w="936"/>
        <w:gridCol w:w="936"/>
      </w:tblGrid>
      <w:tr w:rsidR="005757FA" w:rsidRPr="00563EF2" w:rsidTr="008922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p>
        </w:tc>
        <w:tc>
          <w:tcPr>
            <w:tcW w:w="936" w:type="dxa"/>
            <w:noWrap/>
            <w:hideMark/>
          </w:tcPr>
          <w:p w:rsidR="005757FA" w:rsidRPr="00563EF2" w:rsidRDefault="005757FA"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2008</w:t>
            </w:r>
          </w:p>
        </w:tc>
        <w:tc>
          <w:tcPr>
            <w:tcW w:w="936" w:type="dxa"/>
            <w:noWrap/>
            <w:hideMark/>
          </w:tcPr>
          <w:p w:rsidR="005757FA" w:rsidRPr="00563EF2" w:rsidRDefault="005757FA"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2009</w:t>
            </w:r>
          </w:p>
        </w:tc>
        <w:tc>
          <w:tcPr>
            <w:tcW w:w="936" w:type="dxa"/>
            <w:noWrap/>
            <w:hideMark/>
          </w:tcPr>
          <w:p w:rsidR="005757FA" w:rsidRPr="00563EF2" w:rsidRDefault="005757FA"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2010</w:t>
            </w:r>
          </w:p>
        </w:tc>
        <w:tc>
          <w:tcPr>
            <w:tcW w:w="936" w:type="dxa"/>
            <w:noWrap/>
            <w:hideMark/>
          </w:tcPr>
          <w:p w:rsidR="005757FA" w:rsidRPr="00563EF2" w:rsidRDefault="005757FA"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2011</w:t>
            </w:r>
          </w:p>
        </w:tc>
        <w:tc>
          <w:tcPr>
            <w:tcW w:w="936" w:type="dxa"/>
            <w:noWrap/>
            <w:hideMark/>
          </w:tcPr>
          <w:p w:rsidR="005757FA" w:rsidRPr="00563EF2" w:rsidRDefault="005757FA"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2012</w:t>
            </w:r>
          </w:p>
        </w:tc>
      </w:tr>
      <w:tr w:rsidR="005757FA" w:rsidRPr="00563EF2" w:rsidTr="008922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Obiekty hotelowe</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w:t>
            </w:r>
          </w:p>
        </w:tc>
      </w:tr>
      <w:tr w:rsidR="005757FA" w:rsidRPr="00563EF2" w:rsidTr="0089225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 - w tym ****</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r>
      <w:tr w:rsidR="005757FA" w:rsidRPr="00563EF2" w:rsidTr="008922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 - w tym ***</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r>
      <w:tr w:rsidR="005757FA" w:rsidRPr="00563EF2" w:rsidTr="0089225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 - w tym **</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r>
      <w:tr w:rsidR="005757FA" w:rsidRPr="00563EF2" w:rsidTr="008922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Miejsca noclegowe w hotelach</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759</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776</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853</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653</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945</w:t>
            </w:r>
          </w:p>
        </w:tc>
      </w:tr>
      <w:tr w:rsidR="005757FA" w:rsidRPr="00563EF2" w:rsidTr="0089225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Inne obiekty noclegowe</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w:t>
            </w:r>
          </w:p>
        </w:tc>
        <w:tc>
          <w:tcPr>
            <w:tcW w:w="936"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r>
      <w:tr w:rsidR="005757FA" w:rsidRPr="00563EF2" w:rsidTr="008922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2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Miejsca noclegowe w innych obiektach zakwaterowania</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54</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54</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104</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125</w:t>
            </w:r>
          </w:p>
        </w:tc>
        <w:tc>
          <w:tcPr>
            <w:tcW w:w="936"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158</w:t>
            </w:r>
          </w:p>
        </w:tc>
      </w:tr>
    </w:tbl>
    <w:p w:rsidR="005757FA" w:rsidRDefault="00892257" w:rsidP="00FD7676">
      <w:pPr>
        <w:rPr>
          <w:rFonts w:asciiTheme="minorHAnsi" w:hAnsiTheme="minorHAnsi"/>
          <w:color w:val="000000" w:themeColor="text1"/>
          <w:sz w:val="20"/>
        </w:rPr>
      </w:pPr>
      <w:r w:rsidRPr="00A50D78">
        <w:rPr>
          <w:rFonts w:asciiTheme="minorHAnsi" w:hAnsiTheme="minorHAnsi"/>
          <w:color w:val="000000" w:themeColor="text1"/>
          <w:sz w:val="20"/>
        </w:rPr>
        <w:t xml:space="preserve">Źródło: Opracowanie własne na podstawie: </w:t>
      </w:r>
      <w:r w:rsidRPr="00A50D78">
        <w:rPr>
          <w:rFonts w:asciiTheme="minorHAnsi" w:hAnsiTheme="minorHAnsi"/>
          <w:i/>
          <w:color w:val="000000" w:themeColor="text1"/>
          <w:sz w:val="20"/>
        </w:rPr>
        <w:t>Bank Danych Lokalnych</w:t>
      </w:r>
      <w:r w:rsidRPr="00A50D78">
        <w:rPr>
          <w:rFonts w:asciiTheme="minorHAnsi" w:hAnsiTheme="minorHAnsi"/>
          <w:color w:val="000000" w:themeColor="text1"/>
          <w:sz w:val="20"/>
        </w:rPr>
        <w:t>, GUS.</w:t>
      </w:r>
    </w:p>
    <w:p w:rsidR="00A50D78" w:rsidRPr="00A50D78" w:rsidRDefault="00A50D78" w:rsidP="00FD7676">
      <w:pPr>
        <w:rPr>
          <w:rFonts w:asciiTheme="minorHAnsi" w:hAnsiTheme="minorHAnsi"/>
          <w:color w:val="000000" w:themeColor="text1"/>
          <w:sz w:val="20"/>
        </w:rPr>
      </w:pPr>
    </w:p>
    <w:p w:rsidR="005757FA" w:rsidRPr="00563EF2" w:rsidRDefault="005757FA" w:rsidP="00FD7676">
      <w:pPr>
        <w:pStyle w:val="Legenda"/>
        <w:keepNext/>
        <w:spacing w:line="276" w:lineRule="auto"/>
        <w:rPr>
          <w:rFonts w:asciiTheme="minorHAnsi" w:hAnsiTheme="minorHAnsi"/>
        </w:rPr>
      </w:pPr>
      <w:r w:rsidRPr="00C640C5">
        <w:rPr>
          <w:rFonts w:asciiTheme="minorHAnsi" w:hAnsiTheme="minorHAnsi"/>
          <w:sz w:val="20"/>
        </w:rPr>
        <w:t xml:space="preserve">Wykres </w:t>
      </w:r>
      <w:r w:rsidR="005A0296" w:rsidRPr="00C640C5">
        <w:rPr>
          <w:rFonts w:asciiTheme="minorHAnsi" w:hAnsiTheme="minorHAnsi"/>
          <w:sz w:val="20"/>
        </w:rPr>
        <w:fldChar w:fldCharType="begin"/>
      </w:r>
      <w:r w:rsidR="005A0296" w:rsidRPr="00C640C5">
        <w:rPr>
          <w:rFonts w:asciiTheme="minorHAnsi" w:hAnsiTheme="minorHAnsi"/>
          <w:sz w:val="20"/>
        </w:rPr>
        <w:instrText xml:space="preserve"> SEQ Wykres \* ARABIC </w:instrText>
      </w:r>
      <w:r w:rsidR="005A0296" w:rsidRPr="00C640C5">
        <w:rPr>
          <w:rFonts w:asciiTheme="minorHAnsi" w:hAnsiTheme="minorHAnsi"/>
          <w:sz w:val="20"/>
        </w:rPr>
        <w:fldChar w:fldCharType="separate"/>
      </w:r>
      <w:r w:rsidR="007B2916">
        <w:rPr>
          <w:rFonts w:asciiTheme="minorHAnsi" w:hAnsiTheme="minorHAnsi"/>
          <w:noProof/>
          <w:sz w:val="20"/>
        </w:rPr>
        <w:t>12</w:t>
      </w:r>
      <w:r w:rsidR="005A0296" w:rsidRPr="00C640C5">
        <w:rPr>
          <w:rFonts w:asciiTheme="minorHAnsi" w:hAnsiTheme="minorHAnsi"/>
          <w:sz w:val="20"/>
        </w:rPr>
        <w:fldChar w:fldCharType="end"/>
      </w:r>
      <w:r w:rsidRPr="00C640C5">
        <w:rPr>
          <w:rFonts w:asciiTheme="minorHAnsi" w:hAnsiTheme="minorHAnsi"/>
          <w:sz w:val="20"/>
        </w:rPr>
        <w:t>. Turyści korzystający z noclegów w Legnicy ogółem</w:t>
      </w:r>
      <w:r w:rsidR="00FD7676" w:rsidRPr="00C640C5">
        <w:rPr>
          <w:rFonts w:asciiTheme="minorHAnsi" w:hAnsiTheme="minorHAnsi"/>
          <w:sz w:val="20"/>
        </w:rPr>
        <w:t xml:space="preserve"> w latach 2008 -2012</w:t>
      </w:r>
      <w:r w:rsidRPr="00C640C5">
        <w:rPr>
          <w:rFonts w:asciiTheme="minorHAnsi" w:hAnsiTheme="minorHAnsi"/>
          <w:sz w:val="20"/>
        </w:rPr>
        <w:t>.</w:t>
      </w:r>
    </w:p>
    <w:p w:rsidR="005757FA" w:rsidRPr="00563EF2" w:rsidRDefault="005757FA" w:rsidP="00FD7676">
      <w:pPr>
        <w:rPr>
          <w:rFonts w:asciiTheme="minorHAnsi" w:hAnsiTheme="minorHAnsi"/>
          <w:b/>
          <w:color w:val="000000" w:themeColor="text1"/>
          <w:sz w:val="22"/>
        </w:rPr>
      </w:pPr>
      <w:r w:rsidRPr="00563EF2">
        <w:rPr>
          <w:rFonts w:asciiTheme="minorHAnsi" w:hAnsiTheme="minorHAnsi"/>
          <w:b/>
          <w:noProof/>
          <w:color w:val="000000" w:themeColor="text1"/>
          <w:sz w:val="22"/>
          <w:lang w:eastAsia="pl-PL"/>
        </w:rPr>
        <w:drawing>
          <wp:inline distT="0" distB="0" distL="0" distR="0" wp14:anchorId="36457CC0" wp14:editId="22CFB58E">
            <wp:extent cx="4572000" cy="1600200"/>
            <wp:effectExtent l="19050" t="0" r="19050" b="0"/>
            <wp:docPr id="5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57FA" w:rsidRPr="00A50D78" w:rsidRDefault="005757FA" w:rsidP="00FD7676">
      <w:pPr>
        <w:rPr>
          <w:rFonts w:asciiTheme="minorHAnsi" w:hAnsiTheme="minorHAnsi"/>
          <w:color w:val="000000" w:themeColor="text1"/>
          <w:sz w:val="20"/>
        </w:rPr>
      </w:pPr>
      <w:r w:rsidRPr="00A50D78">
        <w:rPr>
          <w:rFonts w:asciiTheme="minorHAnsi" w:hAnsiTheme="minorHAnsi"/>
          <w:b/>
          <w:color w:val="000000" w:themeColor="text1"/>
          <w:sz w:val="20"/>
        </w:rPr>
        <w:t>Ź</w:t>
      </w:r>
      <w:r w:rsidRPr="00A50D78">
        <w:rPr>
          <w:rFonts w:asciiTheme="minorHAnsi" w:hAnsiTheme="minorHAnsi"/>
          <w:color w:val="000000" w:themeColor="text1"/>
          <w:sz w:val="20"/>
        </w:rPr>
        <w:t xml:space="preserve">ródło: Opracowanie własne na podstawie: </w:t>
      </w:r>
      <w:r w:rsidRPr="00A50D78">
        <w:rPr>
          <w:rFonts w:asciiTheme="minorHAnsi" w:hAnsiTheme="minorHAnsi"/>
          <w:i/>
          <w:color w:val="000000" w:themeColor="text1"/>
          <w:sz w:val="20"/>
        </w:rPr>
        <w:t>Bank Danych Lokalnych</w:t>
      </w:r>
      <w:r w:rsidRPr="00A50D78">
        <w:rPr>
          <w:rFonts w:asciiTheme="minorHAnsi" w:hAnsiTheme="minorHAnsi"/>
          <w:color w:val="000000" w:themeColor="text1"/>
          <w:sz w:val="20"/>
        </w:rPr>
        <w:t>, GUS.</w:t>
      </w:r>
    </w:p>
    <w:p w:rsidR="005757FA" w:rsidRPr="00563EF2" w:rsidRDefault="005757FA" w:rsidP="00FD7676">
      <w:pPr>
        <w:rPr>
          <w:rFonts w:asciiTheme="minorHAnsi" w:hAnsiTheme="minorHAnsi"/>
          <w:color w:val="000000" w:themeColor="text1"/>
          <w:sz w:val="22"/>
        </w:rPr>
      </w:pPr>
    </w:p>
    <w:p w:rsidR="00892257" w:rsidRPr="00563EF2" w:rsidRDefault="0026736A" w:rsidP="00FD7676">
      <w:pPr>
        <w:rPr>
          <w:rFonts w:asciiTheme="minorHAnsi" w:hAnsiTheme="minorHAnsi"/>
          <w:color w:val="000000" w:themeColor="text1"/>
          <w:sz w:val="22"/>
        </w:rPr>
      </w:pPr>
      <w:r w:rsidRPr="00563EF2">
        <w:rPr>
          <w:rFonts w:asciiTheme="minorHAnsi" w:hAnsiTheme="minorHAnsi"/>
          <w:color w:val="000000" w:themeColor="text1"/>
          <w:sz w:val="22"/>
        </w:rPr>
        <w:t>Analiza</w:t>
      </w:r>
      <w:r w:rsidR="00DD2A11" w:rsidRPr="00563EF2">
        <w:rPr>
          <w:rFonts w:asciiTheme="minorHAnsi" w:hAnsiTheme="minorHAnsi"/>
          <w:color w:val="000000" w:themeColor="text1"/>
          <w:sz w:val="22"/>
        </w:rPr>
        <w:t xml:space="preserve"> noclegów udzielonych turystom </w:t>
      </w:r>
      <w:r w:rsidRPr="00563EF2">
        <w:rPr>
          <w:rFonts w:asciiTheme="minorHAnsi" w:hAnsiTheme="minorHAnsi"/>
          <w:color w:val="000000" w:themeColor="text1"/>
          <w:sz w:val="22"/>
        </w:rPr>
        <w:t>pokazuje, iż w 2009 r. nastą</w:t>
      </w:r>
      <w:r w:rsidR="00DD2A11" w:rsidRPr="00563EF2">
        <w:rPr>
          <w:rFonts w:asciiTheme="minorHAnsi" w:hAnsiTheme="minorHAnsi"/>
          <w:color w:val="000000" w:themeColor="text1"/>
          <w:sz w:val="22"/>
        </w:rPr>
        <w:t>pił gwałtowny spadek turystów odwiedzających Legnicę</w:t>
      </w:r>
      <w:r w:rsidR="00892257" w:rsidRPr="00563EF2">
        <w:rPr>
          <w:rFonts w:asciiTheme="minorHAnsi" w:hAnsiTheme="minorHAnsi"/>
          <w:color w:val="000000" w:themeColor="text1"/>
          <w:sz w:val="22"/>
        </w:rPr>
        <w:t xml:space="preserve"> o około 8,2</w:t>
      </w:r>
      <w:r w:rsidRPr="00563EF2">
        <w:rPr>
          <w:rFonts w:asciiTheme="minorHAnsi" w:hAnsiTheme="minorHAnsi"/>
          <w:color w:val="000000" w:themeColor="text1"/>
          <w:sz w:val="22"/>
        </w:rPr>
        <w:t xml:space="preserve"> tys. osób</w:t>
      </w:r>
      <w:r w:rsidR="00A41138">
        <w:rPr>
          <w:rFonts w:asciiTheme="minorHAnsi" w:hAnsiTheme="minorHAnsi"/>
          <w:color w:val="000000" w:themeColor="text1"/>
          <w:sz w:val="22"/>
        </w:rPr>
        <w:t>,</w:t>
      </w:r>
      <w:r w:rsidRPr="00563EF2">
        <w:rPr>
          <w:rFonts w:asciiTheme="minorHAnsi" w:hAnsiTheme="minorHAnsi"/>
          <w:color w:val="000000" w:themeColor="text1"/>
          <w:sz w:val="22"/>
        </w:rPr>
        <w:t xml:space="preserve"> jednak w kolejnych latach wskaźnik ten</w:t>
      </w:r>
      <w:r w:rsidR="00892257" w:rsidRPr="00563EF2">
        <w:rPr>
          <w:rFonts w:asciiTheme="minorHAnsi" w:hAnsiTheme="minorHAnsi"/>
          <w:color w:val="000000" w:themeColor="text1"/>
          <w:sz w:val="22"/>
        </w:rPr>
        <w:t xml:space="preserve"> się systematycznie zwiększał i w 2012 r. osiągnął poziom podobny jak w 2008 r. wynoszący 51 381 turystów.</w:t>
      </w:r>
    </w:p>
    <w:p w:rsidR="00892257" w:rsidRPr="00563EF2" w:rsidRDefault="00892257" w:rsidP="00FD7676">
      <w:pPr>
        <w:rPr>
          <w:rFonts w:asciiTheme="minorHAnsi" w:hAnsiTheme="minorHAnsi"/>
          <w:color w:val="000000" w:themeColor="text1"/>
          <w:sz w:val="22"/>
        </w:rPr>
      </w:pPr>
    </w:p>
    <w:p w:rsidR="00DD2A11" w:rsidRPr="00563EF2" w:rsidRDefault="0026736A" w:rsidP="00FD7676">
      <w:pPr>
        <w:rPr>
          <w:rFonts w:asciiTheme="minorHAnsi" w:hAnsiTheme="minorHAnsi"/>
          <w:color w:val="000000" w:themeColor="text1"/>
          <w:sz w:val="22"/>
        </w:rPr>
      </w:pPr>
      <w:r w:rsidRPr="00563EF2">
        <w:rPr>
          <w:rFonts w:asciiTheme="minorHAnsi" w:hAnsiTheme="minorHAnsi"/>
          <w:color w:val="000000" w:themeColor="text1"/>
          <w:sz w:val="22"/>
        </w:rPr>
        <w:t xml:space="preserve">Największy udział w strukturze narodowościowej osób odwiedzających Legnicę niezmiennie należy do Niemców (28%) oraz Rosjan (33%), a także w mniejszym stopniu Ukraińców (9%). Tak wysokie zainteresowanie tych nacji Legnicą wynika z jej burzliwej historii i osiedlaniu się tu na przestrzeni lat przedstawicieli licznych narodowości, co dzisiaj prowadzi do rozwoju tzw. turystyki sentymentalnej, czyli zwiedzaniu miejsc związanych z historią własnej rodziny, czy narodu.  </w:t>
      </w:r>
    </w:p>
    <w:p w:rsidR="00DD2A11" w:rsidRPr="00563EF2" w:rsidRDefault="00DD2A11" w:rsidP="00FD7676">
      <w:pPr>
        <w:pStyle w:val="Legenda"/>
        <w:keepNext/>
        <w:spacing w:line="276" w:lineRule="auto"/>
        <w:rPr>
          <w:rFonts w:asciiTheme="minorHAnsi" w:hAnsiTheme="minorHAnsi"/>
        </w:rPr>
      </w:pPr>
      <w:r w:rsidRPr="007F6382">
        <w:rPr>
          <w:rFonts w:asciiTheme="minorHAnsi" w:hAnsiTheme="minorHAnsi"/>
          <w:sz w:val="20"/>
        </w:rPr>
        <w:t xml:space="preserve">Wykres </w:t>
      </w:r>
      <w:r w:rsidR="005A0296" w:rsidRPr="007F6382">
        <w:rPr>
          <w:rFonts w:asciiTheme="minorHAnsi" w:hAnsiTheme="minorHAnsi"/>
          <w:sz w:val="20"/>
        </w:rPr>
        <w:fldChar w:fldCharType="begin"/>
      </w:r>
      <w:r w:rsidR="005A0296" w:rsidRPr="007F6382">
        <w:rPr>
          <w:rFonts w:asciiTheme="minorHAnsi" w:hAnsiTheme="minorHAnsi"/>
          <w:sz w:val="20"/>
        </w:rPr>
        <w:instrText xml:space="preserve"> SEQ Wykres \* ARABIC </w:instrText>
      </w:r>
      <w:r w:rsidR="005A0296" w:rsidRPr="007F6382">
        <w:rPr>
          <w:rFonts w:asciiTheme="minorHAnsi" w:hAnsiTheme="minorHAnsi"/>
          <w:sz w:val="20"/>
        </w:rPr>
        <w:fldChar w:fldCharType="separate"/>
      </w:r>
      <w:r w:rsidR="007B2916">
        <w:rPr>
          <w:rFonts w:asciiTheme="minorHAnsi" w:hAnsiTheme="minorHAnsi"/>
          <w:noProof/>
          <w:sz w:val="20"/>
        </w:rPr>
        <w:t>13</w:t>
      </w:r>
      <w:r w:rsidR="005A0296" w:rsidRPr="007F6382">
        <w:rPr>
          <w:rFonts w:asciiTheme="minorHAnsi" w:hAnsiTheme="minorHAnsi"/>
          <w:sz w:val="20"/>
        </w:rPr>
        <w:fldChar w:fldCharType="end"/>
      </w:r>
      <w:r w:rsidRPr="007F6382">
        <w:rPr>
          <w:rFonts w:asciiTheme="minorHAnsi" w:hAnsiTheme="minorHAnsi"/>
          <w:sz w:val="20"/>
        </w:rPr>
        <w:t xml:space="preserve">. </w:t>
      </w:r>
      <w:r w:rsidR="008E1C17" w:rsidRPr="007F6382">
        <w:rPr>
          <w:rFonts w:asciiTheme="minorHAnsi" w:hAnsiTheme="minorHAnsi"/>
          <w:sz w:val="20"/>
        </w:rPr>
        <w:t>Noc</w:t>
      </w:r>
      <w:r w:rsidRPr="007F6382">
        <w:rPr>
          <w:rFonts w:asciiTheme="minorHAnsi" w:hAnsiTheme="minorHAnsi"/>
          <w:sz w:val="20"/>
        </w:rPr>
        <w:t>l</w:t>
      </w:r>
      <w:r w:rsidR="008E1C17" w:rsidRPr="007F6382">
        <w:rPr>
          <w:rFonts w:asciiTheme="minorHAnsi" w:hAnsiTheme="minorHAnsi"/>
          <w:sz w:val="20"/>
        </w:rPr>
        <w:t>e</w:t>
      </w:r>
      <w:r w:rsidRPr="007F6382">
        <w:rPr>
          <w:rFonts w:asciiTheme="minorHAnsi" w:hAnsiTheme="minorHAnsi"/>
          <w:sz w:val="20"/>
        </w:rPr>
        <w:t>gi udzielone turystom zagranicznym w Legnicy w 2012 r wg kraju pochodzenia.</w:t>
      </w:r>
    </w:p>
    <w:p w:rsidR="00DD2A11" w:rsidRPr="00563EF2" w:rsidRDefault="00BB7955" w:rsidP="00FD7676">
      <w:pPr>
        <w:rPr>
          <w:rFonts w:asciiTheme="minorHAnsi" w:hAnsiTheme="minorHAnsi"/>
          <w:b/>
          <w:color w:val="000000" w:themeColor="text1"/>
          <w:sz w:val="22"/>
        </w:rPr>
      </w:pPr>
      <w:r>
        <w:rPr>
          <w:noProof/>
          <w:lang w:eastAsia="pl-PL"/>
        </w:rPr>
        <w:drawing>
          <wp:inline distT="0" distB="0" distL="0" distR="0" wp14:anchorId="1574E054" wp14:editId="3FCEC4E4">
            <wp:extent cx="5937662" cy="1945005"/>
            <wp:effectExtent l="0" t="0" r="6350" b="17145"/>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D2A11" w:rsidRPr="00A50D78" w:rsidRDefault="00DD2A11" w:rsidP="00FD7676">
      <w:pPr>
        <w:rPr>
          <w:rFonts w:asciiTheme="minorHAnsi" w:hAnsiTheme="minorHAnsi"/>
          <w:color w:val="000000" w:themeColor="text1"/>
          <w:sz w:val="20"/>
        </w:rPr>
      </w:pPr>
      <w:r w:rsidRPr="00A50D78">
        <w:rPr>
          <w:rFonts w:asciiTheme="minorHAnsi" w:hAnsiTheme="minorHAnsi"/>
          <w:color w:val="000000" w:themeColor="text1"/>
          <w:sz w:val="20"/>
        </w:rPr>
        <w:t>Źródło: Opracowanie własne na podstawie</w:t>
      </w:r>
      <w:r w:rsidR="00892257" w:rsidRPr="00A50D78">
        <w:rPr>
          <w:rFonts w:asciiTheme="minorHAnsi" w:hAnsiTheme="minorHAnsi"/>
          <w:color w:val="000000" w:themeColor="text1"/>
          <w:sz w:val="20"/>
        </w:rPr>
        <w:t xml:space="preserve">: </w:t>
      </w:r>
      <w:r w:rsidR="00A50D78">
        <w:rPr>
          <w:rFonts w:asciiTheme="minorHAnsi" w:hAnsiTheme="minorHAnsi"/>
          <w:i/>
          <w:color w:val="000000" w:themeColor="text1"/>
          <w:sz w:val="20"/>
        </w:rPr>
        <w:t>Bank D</w:t>
      </w:r>
      <w:r w:rsidR="00892257" w:rsidRPr="00A50D78">
        <w:rPr>
          <w:rFonts w:asciiTheme="minorHAnsi" w:hAnsiTheme="minorHAnsi"/>
          <w:i/>
          <w:color w:val="000000" w:themeColor="text1"/>
          <w:sz w:val="20"/>
        </w:rPr>
        <w:t xml:space="preserve">anych </w:t>
      </w:r>
      <w:r w:rsidR="00A50D78">
        <w:rPr>
          <w:rFonts w:asciiTheme="minorHAnsi" w:hAnsiTheme="minorHAnsi"/>
          <w:i/>
          <w:color w:val="000000" w:themeColor="text1"/>
          <w:sz w:val="20"/>
        </w:rPr>
        <w:t>L</w:t>
      </w:r>
      <w:r w:rsidR="00892257" w:rsidRPr="00A50D78">
        <w:rPr>
          <w:rFonts w:asciiTheme="minorHAnsi" w:hAnsiTheme="minorHAnsi"/>
          <w:i/>
          <w:color w:val="000000" w:themeColor="text1"/>
          <w:sz w:val="20"/>
        </w:rPr>
        <w:t>okalnych</w:t>
      </w:r>
      <w:r w:rsidR="00892257" w:rsidRPr="00A50D78">
        <w:rPr>
          <w:rFonts w:asciiTheme="minorHAnsi" w:hAnsiTheme="minorHAnsi"/>
          <w:color w:val="000000" w:themeColor="text1"/>
          <w:sz w:val="20"/>
        </w:rPr>
        <w:t>, GUS.</w:t>
      </w:r>
    </w:p>
    <w:p w:rsidR="00892257" w:rsidRPr="007F6382" w:rsidRDefault="00892257" w:rsidP="00FD7676">
      <w:pPr>
        <w:rPr>
          <w:rFonts w:asciiTheme="minorHAnsi" w:hAnsiTheme="minorHAnsi"/>
          <w:b/>
          <w:color w:val="000000" w:themeColor="text1"/>
        </w:rPr>
      </w:pPr>
    </w:p>
    <w:p w:rsidR="00DD2A11" w:rsidRPr="007F6382" w:rsidRDefault="00DD2A11" w:rsidP="00FD7676">
      <w:pPr>
        <w:pStyle w:val="Legenda"/>
        <w:keepNext/>
        <w:spacing w:line="276" w:lineRule="auto"/>
        <w:rPr>
          <w:rFonts w:asciiTheme="minorHAnsi" w:hAnsiTheme="minorHAnsi"/>
          <w:sz w:val="20"/>
        </w:rPr>
      </w:pPr>
      <w:r w:rsidRPr="007F6382">
        <w:rPr>
          <w:rFonts w:asciiTheme="minorHAnsi" w:hAnsiTheme="minorHAnsi"/>
          <w:sz w:val="20"/>
        </w:rPr>
        <w:t xml:space="preserve">Tabela </w:t>
      </w:r>
      <w:r w:rsidR="00017794" w:rsidRPr="007F6382">
        <w:rPr>
          <w:rFonts w:asciiTheme="minorHAnsi" w:hAnsiTheme="minorHAnsi"/>
          <w:sz w:val="20"/>
        </w:rPr>
        <w:fldChar w:fldCharType="begin"/>
      </w:r>
      <w:r w:rsidRPr="007F6382">
        <w:rPr>
          <w:rFonts w:asciiTheme="minorHAnsi" w:hAnsiTheme="minorHAnsi"/>
          <w:sz w:val="20"/>
        </w:rPr>
        <w:instrText xml:space="preserve"> SEQ Tabela \* ARABIC </w:instrText>
      </w:r>
      <w:r w:rsidR="00017794" w:rsidRPr="007F6382">
        <w:rPr>
          <w:rFonts w:asciiTheme="minorHAnsi" w:hAnsiTheme="minorHAnsi"/>
          <w:sz w:val="20"/>
        </w:rPr>
        <w:fldChar w:fldCharType="separate"/>
      </w:r>
      <w:r w:rsidR="007B2916">
        <w:rPr>
          <w:rFonts w:asciiTheme="minorHAnsi" w:hAnsiTheme="minorHAnsi"/>
          <w:noProof/>
          <w:sz w:val="20"/>
        </w:rPr>
        <w:t>20</w:t>
      </w:r>
      <w:r w:rsidR="00017794" w:rsidRPr="007F6382">
        <w:rPr>
          <w:rFonts w:asciiTheme="minorHAnsi" w:hAnsiTheme="minorHAnsi"/>
          <w:sz w:val="20"/>
        </w:rPr>
        <w:fldChar w:fldCharType="end"/>
      </w:r>
      <w:r w:rsidRPr="007F6382">
        <w:rPr>
          <w:rFonts w:asciiTheme="minorHAnsi" w:hAnsiTheme="minorHAnsi"/>
          <w:sz w:val="20"/>
        </w:rPr>
        <w:t>. Noclegi udzielone turystom</w:t>
      </w:r>
      <w:r w:rsidR="00BC5391">
        <w:rPr>
          <w:rFonts w:asciiTheme="minorHAnsi" w:hAnsiTheme="minorHAnsi"/>
          <w:sz w:val="20"/>
        </w:rPr>
        <w:t xml:space="preserve"> krajowym i</w:t>
      </w:r>
      <w:r w:rsidRPr="007F6382">
        <w:rPr>
          <w:rFonts w:asciiTheme="minorHAnsi" w:hAnsiTheme="minorHAnsi"/>
          <w:sz w:val="20"/>
        </w:rPr>
        <w:t xml:space="preserve"> zagranicznym w Legnicy w latach 2008- 2012  wg kraju pochodzenia.</w:t>
      </w:r>
    </w:p>
    <w:tbl>
      <w:tblPr>
        <w:tblStyle w:val="Jasnasiatkaakcent11"/>
        <w:tblW w:w="9436" w:type="dxa"/>
        <w:tblLook w:val="04A0" w:firstRow="1" w:lastRow="0" w:firstColumn="1" w:lastColumn="0" w:noHBand="0" w:noVBand="1"/>
      </w:tblPr>
      <w:tblGrid>
        <w:gridCol w:w="2186"/>
        <w:gridCol w:w="897"/>
        <w:gridCol w:w="897"/>
        <w:gridCol w:w="897"/>
        <w:gridCol w:w="897"/>
        <w:gridCol w:w="897"/>
        <w:gridCol w:w="2765"/>
      </w:tblGrid>
      <w:tr w:rsidR="00DD2A11" w:rsidRPr="00563EF2" w:rsidTr="00DD2A1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DD2A11" w:rsidRPr="00563EF2" w:rsidRDefault="00DD2A11" w:rsidP="00FD7676">
            <w:pPr>
              <w:jc w:val="left"/>
              <w:rPr>
                <w:rFonts w:asciiTheme="minorHAnsi" w:eastAsia="Times New Roman" w:hAnsiTheme="minorHAnsi" w:cs="Arial"/>
                <w:color w:val="000000" w:themeColor="text1"/>
                <w:sz w:val="20"/>
                <w:szCs w:val="20"/>
                <w:lang w:eastAsia="pl-PL"/>
              </w:rPr>
            </w:pPr>
          </w:p>
        </w:tc>
        <w:tc>
          <w:tcPr>
            <w:tcW w:w="897" w:type="dxa"/>
            <w:noWrap/>
            <w:hideMark/>
          </w:tcPr>
          <w:p w:rsidR="00DD2A11" w:rsidRPr="00563EF2" w:rsidRDefault="00DD2A11"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2008</w:t>
            </w:r>
          </w:p>
        </w:tc>
        <w:tc>
          <w:tcPr>
            <w:tcW w:w="897" w:type="dxa"/>
            <w:noWrap/>
            <w:hideMark/>
          </w:tcPr>
          <w:p w:rsidR="00DD2A11" w:rsidRPr="00563EF2" w:rsidRDefault="00DD2A11"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2009</w:t>
            </w:r>
          </w:p>
        </w:tc>
        <w:tc>
          <w:tcPr>
            <w:tcW w:w="897" w:type="dxa"/>
            <w:noWrap/>
            <w:hideMark/>
          </w:tcPr>
          <w:p w:rsidR="00DD2A11" w:rsidRPr="00563EF2" w:rsidRDefault="00DD2A11"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2010</w:t>
            </w:r>
          </w:p>
        </w:tc>
        <w:tc>
          <w:tcPr>
            <w:tcW w:w="897" w:type="dxa"/>
            <w:noWrap/>
            <w:hideMark/>
          </w:tcPr>
          <w:p w:rsidR="00DD2A11" w:rsidRPr="00563EF2" w:rsidRDefault="00DD2A11"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2011</w:t>
            </w:r>
          </w:p>
        </w:tc>
        <w:tc>
          <w:tcPr>
            <w:tcW w:w="897" w:type="dxa"/>
            <w:noWrap/>
            <w:hideMark/>
          </w:tcPr>
          <w:p w:rsidR="00DD2A11" w:rsidRPr="00563EF2" w:rsidRDefault="00DD2A11" w:rsidP="00FD767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2012</w:t>
            </w:r>
          </w:p>
        </w:tc>
        <w:tc>
          <w:tcPr>
            <w:tcW w:w="2765" w:type="dxa"/>
            <w:noWrap/>
            <w:hideMark/>
          </w:tcPr>
          <w:p w:rsidR="00DD2A11" w:rsidRPr="00563EF2" w:rsidRDefault="00DD2A11"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20"/>
                <w:lang w:eastAsia="pl-PL"/>
              </w:rPr>
            </w:pPr>
          </w:p>
        </w:tc>
      </w:tr>
      <w:tr w:rsidR="00DD2A11"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DD2A11" w:rsidRPr="00563EF2" w:rsidRDefault="005757FA" w:rsidP="00FD7676">
            <w:pPr>
              <w:jc w:val="left"/>
              <w:rPr>
                <w:rFonts w:asciiTheme="minorHAnsi" w:eastAsia="Times New Roman" w:hAnsiTheme="minorHAnsi" w:cs="Arial"/>
                <w:color w:val="000000" w:themeColor="text1"/>
                <w:sz w:val="20"/>
                <w:szCs w:val="20"/>
                <w:lang w:eastAsia="pl-PL"/>
              </w:rPr>
            </w:pPr>
            <w:r w:rsidRPr="00563EF2">
              <w:rPr>
                <w:rFonts w:asciiTheme="minorHAnsi" w:eastAsia="Times New Roman" w:hAnsiTheme="minorHAnsi" w:cs="Arial"/>
                <w:color w:val="000000" w:themeColor="text1"/>
                <w:sz w:val="20"/>
                <w:szCs w:val="20"/>
                <w:lang w:eastAsia="pl-PL"/>
              </w:rPr>
              <w:t>Narodowość</w:t>
            </w:r>
          </w:p>
        </w:tc>
        <w:tc>
          <w:tcPr>
            <w:tcW w:w="897"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r w:rsidRPr="00563EF2">
              <w:rPr>
                <w:rFonts w:asciiTheme="minorHAnsi" w:eastAsia="Times New Roman" w:hAnsiTheme="minorHAnsi" w:cs="Arial"/>
                <w:b/>
                <w:bCs/>
                <w:color w:val="000000" w:themeColor="text1"/>
                <w:sz w:val="20"/>
                <w:szCs w:val="20"/>
                <w:lang w:eastAsia="pl-PL"/>
              </w:rPr>
              <w:t>osoba</w:t>
            </w:r>
          </w:p>
        </w:tc>
        <w:tc>
          <w:tcPr>
            <w:tcW w:w="897"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r w:rsidRPr="00563EF2">
              <w:rPr>
                <w:rFonts w:asciiTheme="minorHAnsi" w:eastAsia="Times New Roman" w:hAnsiTheme="minorHAnsi" w:cs="Arial"/>
                <w:b/>
                <w:bCs/>
                <w:color w:val="000000" w:themeColor="text1"/>
                <w:sz w:val="20"/>
                <w:szCs w:val="20"/>
                <w:lang w:eastAsia="pl-PL"/>
              </w:rPr>
              <w:t>osoba</w:t>
            </w:r>
          </w:p>
        </w:tc>
        <w:tc>
          <w:tcPr>
            <w:tcW w:w="897"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r w:rsidRPr="00563EF2">
              <w:rPr>
                <w:rFonts w:asciiTheme="minorHAnsi" w:eastAsia="Times New Roman" w:hAnsiTheme="minorHAnsi" w:cs="Arial"/>
                <w:b/>
                <w:bCs/>
                <w:color w:val="000000" w:themeColor="text1"/>
                <w:sz w:val="20"/>
                <w:szCs w:val="20"/>
                <w:lang w:eastAsia="pl-PL"/>
              </w:rPr>
              <w:t>osoba</w:t>
            </w:r>
          </w:p>
        </w:tc>
        <w:tc>
          <w:tcPr>
            <w:tcW w:w="897"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r w:rsidRPr="00563EF2">
              <w:rPr>
                <w:rFonts w:asciiTheme="minorHAnsi" w:eastAsia="Times New Roman" w:hAnsiTheme="minorHAnsi" w:cs="Arial"/>
                <w:b/>
                <w:bCs/>
                <w:color w:val="000000" w:themeColor="text1"/>
                <w:sz w:val="20"/>
                <w:szCs w:val="20"/>
                <w:lang w:eastAsia="pl-PL"/>
              </w:rPr>
              <w:t>osoba</w:t>
            </w:r>
          </w:p>
        </w:tc>
        <w:tc>
          <w:tcPr>
            <w:tcW w:w="897"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r w:rsidRPr="00563EF2">
              <w:rPr>
                <w:rFonts w:asciiTheme="minorHAnsi" w:eastAsia="Times New Roman" w:hAnsiTheme="minorHAnsi" w:cs="Arial"/>
                <w:b/>
                <w:bCs/>
                <w:color w:val="000000" w:themeColor="text1"/>
                <w:sz w:val="20"/>
                <w:szCs w:val="20"/>
                <w:lang w:eastAsia="pl-PL"/>
              </w:rPr>
              <w:t>osoba</w:t>
            </w:r>
          </w:p>
        </w:tc>
        <w:tc>
          <w:tcPr>
            <w:tcW w:w="2765" w:type="dxa"/>
            <w:noWrap/>
            <w:hideMark/>
          </w:tcPr>
          <w:p w:rsidR="00DD2A11" w:rsidRPr="00563EF2" w:rsidRDefault="00DD2A11" w:rsidP="00FD767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themeColor="text1"/>
                <w:sz w:val="20"/>
                <w:szCs w:val="20"/>
                <w:lang w:eastAsia="pl-PL"/>
              </w:rPr>
            </w:pPr>
          </w:p>
        </w:tc>
      </w:tr>
      <w:tr w:rsidR="005757FA" w:rsidRPr="00563EF2" w:rsidTr="00A370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Polska</w:t>
            </w:r>
          </w:p>
        </w:tc>
        <w:tc>
          <w:tcPr>
            <w:tcW w:w="897" w:type="dxa"/>
            <w:noWrap/>
            <w:vAlign w:val="bottom"/>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563EF2">
              <w:rPr>
                <w:rFonts w:asciiTheme="minorHAnsi" w:hAnsiTheme="minorHAnsi" w:cs="Arial"/>
                <w:sz w:val="20"/>
                <w:szCs w:val="20"/>
              </w:rPr>
              <w:t>31361</w:t>
            </w:r>
          </w:p>
        </w:tc>
        <w:tc>
          <w:tcPr>
            <w:tcW w:w="897" w:type="dxa"/>
            <w:noWrap/>
            <w:vAlign w:val="bottom"/>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563EF2">
              <w:rPr>
                <w:rFonts w:asciiTheme="minorHAnsi" w:hAnsiTheme="minorHAnsi" w:cs="Arial"/>
                <w:sz w:val="20"/>
                <w:szCs w:val="20"/>
              </w:rPr>
              <w:t>29546</w:t>
            </w:r>
          </w:p>
        </w:tc>
        <w:tc>
          <w:tcPr>
            <w:tcW w:w="897" w:type="dxa"/>
            <w:noWrap/>
            <w:vAlign w:val="bottom"/>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563EF2">
              <w:rPr>
                <w:rFonts w:asciiTheme="minorHAnsi" w:hAnsiTheme="minorHAnsi" w:cs="Arial"/>
                <w:sz w:val="20"/>
                <w:szCs w:val="20"/>
              </w:rPr>
              <w:t>32822</w:t>
            </w:r>
          </w:p>
        </w:tc>
        <w:tc>
          <w:tcPr>
            <w:tcW w:w="897" w:type="dxa"/>
            <w:noWrap/>
            <w:vAlign w:val="bottom"/>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563EF2">
              <w:rPr>
                <w:rFonts w:asciiTheme="minorHAnsi" w:hAnsiTheme="minorHAnsi" w:cs="Arial"/>
                <w:sz w:val="20"/>
                <w:szCs w:val="20"/>
              </w:rPr>
              <w:t>33482</w:t>
            </w:r>
          </w:p>
        </w:tc>
        <w:tc>
          <w:tcPr>
            <w:tcW w:w="897" w:type="dxa"/>
            <w:noWrap/>
            <w:vAlign w:val="bottom"/>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563EF2">
              <w:rPr>
                <w:rFonts w:asciiTheme="minorHAnsi" w:hAnsiTheme="minorHAnsi" w:cs="Arial"/>
                <w:sz w:val="20"/>
                <w:szCs w:val="20"/>
              </w:rPr>
              <w:t>30847</w:t>
            </w:r>
          </w:p>
        </w:tc>
        <w:tc>
          <w:tcPr>
            <w:tcW w:w="2765" w:type="dxa"/>
            <w:noWrap/>
            <w:hideMark/>
          </w:tcPr>
          <w:p w:rsidR="005757FA" w:rsidRPr="00563EF2" w:rsidRDefault="005757FA"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p>
        </w:tc>
      </w:tr>
      <w:tr w:rsidR="00C640C5" w:rsidRPr="00563EF2" w:rsidTr="00CD167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671" w:type="dxa"/>
            <w:gridSpan w:val="6"/>
            <w:noWrap/>
            <w:hideMark/>
          </w:tcPr>
          <w:p w:rsidR="00C640C5" w:rsidRPr="00563EF2" w:rsidRDefault="00C640C5" w:rsidP="00FD7676">
            <w:pPr>
              <w:jc w:val="right"/>
              <w:rPr>
                <w:rFonts w:asciiTheme="minorHAnsi" w:eastAsia="Times New Roman" w:hAnsiTheme="minorHAnsi" w:cs="Arial"/>
                <w:sz w:val="20"/>
                <w:szCs w:val="20"/>
                <w:lang w:eastAsia="pl-PL"/>
              </w:rPr>
            </w:pPr>
          </w:p>
        </w:tc>
        <w:tc>
          <w:tcPr>
            <w:tcW w:w="2765" w:type="dxa"/>
            <w:noWrap/>
            <w:hideMark/>
          </w:tcPr>
          <w:p w:rsidR="00C640C5" w:rsidRPr="00563EF2" w:rsidRDefault="00C640C5"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b/>
                <w:bCs/>
                <w:color w:val="000000" w:themeColor="text1"/>
                <w:sz w:val="20"/>
                <w:szCs w:val="20"/>
                <w:lang w:eastAsia="pl-PL"/>
              </w:rPr>
              <w:t>Udział % poszczególnych nacji w 2012</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Ogółem</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20278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13872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15160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17890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20534</w:t>
            </w:r>
          </w:p>
        </w:tc>
        <w:tc>
          <w:tcPr>
            <w:tcW w:w="2765" w:type="dxa"/>
            <w:noWrap/>
            <w:hideMark/>
          </w:tcPr>
          <w:p w:rsidR="005757FA" w:rsidRPr="00563EF2" w:rsidRDefault="005757FA"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Austria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166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125</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0,61%</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Belgia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244</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237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194</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0,94%</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Białoruś</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84</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132</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194</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330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362</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1,76%</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Cypr</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0,00%</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Czechy </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353</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406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426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700</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3,41%</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Dania </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387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209</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183</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0,89%</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Estonia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0,12%</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Finlandia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51</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0,25%</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Francja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881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549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451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591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661</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3,22%</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Grecja </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239</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1,16%</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Hiszpania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195</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225</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115</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0,56%</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Irlandia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94</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52</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0,25%</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A70D04" w:rsidP="00FD7676">
            <w:pPr>
              <w:jc w:val="lef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Ja</w:t>
            </w:r>
            <w:r w:rsidR="005757FA" w:rsidRPr="00563EF2">
              <w:rPr>
                <w:rFonts w:asciiTheme="minorHAnsi" w:eastAsia="Times New Roman" w:hAnsiTheme="minorHAnsi" w:cs="Arial"/>
                <w:sz w:val="20"/>
                <w:szCs w:val="20"/>
                <w:lang w:eastAsia="pl-PL"/>
              </w:rPr>
              <w:t>p</w:t>
            </w:r>
            <w:r>
              <w:rPr>
                <w:rFonts w:asciiTheme="minorHAnsi" w:eastAsia="Times New Roman" w:hAnsiTheme="minorHAnsi" w:cs="Arial"/>
                <w:sz w:val="20"/>
                <w:szCs w:val="20"/>
                <w:lang w:eastAsia="pl-PL"/>
              </w:rPr>
              <w:t>o</w:t>
            </w:r>
            <w:r w:rsidR="005757FA" w:rsidRPr="00563EF2">
              <w:rPr>
                <w:rFonts w:asciiTheme="minorHAnsi" w:eastAsia="Times New Roman" w:hAnsiTheme="minorHAnsi" w:cs="Arial"/>
                <w:sz w:val="20"/>
                <w:szCs w:val="20"/>
                <w:lang w:eastAsia="pl-PL"/>
              </w:rPr>
              <w:t>nia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72</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0,35%</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Kanada </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43</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0,21%</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Litwa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1246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345</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561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589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517</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2,52%</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Luxemburg</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0,01%</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Łotwa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142</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365</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63</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0,31%</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Niderlandy (Holandia)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449</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503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423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399</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1,94%</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Niemcy</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5597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5210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5858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6249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5780</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28,15%</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Norwegia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3130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1386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441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89</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0,43%</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Portugalia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14</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0,06%</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Rosja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4589</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2135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3209</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3768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6755</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32,90%</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Słowacja </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111</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93</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139</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0,68%</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Słowenia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28</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0,17%</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Stany Zjednoczone (USA)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227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152</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89</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196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166</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0,81%</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Szwajcaria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80</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59</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0,29%</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A41138" w:rsidP="00FD7676">
            <w:pPr>
              <w:jc w:val="lef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Sz</w:t>
            </w:r>
            <w:r w:rsidR="005757FA" w:rsidRPr="00563EF2">
              <w:rPr>
                <w:rFonts w:asciiTheme="minorHAnsi" w:eastAsia="Times New Roman" w:hAnsiTheme="minorHAnsi" w:cs="Arial"/>
                <w:sz w:val="20"/>
                <w:szCs w:val="20"/>
                <w:lang w:eastAsia="pl-PL"/>
              </w:rPr>
              <w:t>wecja</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470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526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417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334</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556</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2,71%</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Ukraina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543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1416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1856</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9,04%</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Węgry </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108</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189</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0,92%</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Wielka Brytania</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462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391</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347</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316</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321</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1,56%</w:t>
            </w:r>
          </w:p>
        </w:tc>
      </w:tr>
      <w:tr w:rsidR="005757FA" w:rsidRPr="00563EF2" w:rsidTr="00DD2A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Włochy </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380</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327</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346</w:t>
            </w:r>
          </w:p>
        </w:tc>
        <w:tc>
          <w:tcPr>
            <w:tcW w:w="897"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305</w:t>
            </w:r>
          </w:p>
        </w:tc>
        <w:tc>
          <w:tcPr>
            <w:tcW w:w="2765" w:type="dxa"/>
            <w:noWrap/>
            <w:hideMark/>
          </w:tcPr>
          <w:p w:rsidR="005757FA" w:rsidRPr="00563EF2" w:rsidRDefault="005757FA"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1,49%</w:t>
            </w:r>
          </w:p>
        </w:tc>
      </w:tr>
      <w:tr w:rsidR="005757FA" w:rsidRPr="00563EF2" w:rsidTr="00DD2A1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86" w:type="dxa"/>
            <w:noWrap/>
            <w:hideMark/>
          </w:tcPr>
          <w:p w:rsidR="005757FA" w:rsidRPr="00563EF2" w:rsidRDefault="005757FA"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pozostałe kraje</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552</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249</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353</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635</w:t>
            </w:r>
          </w:p>
        </w:tc>
        <w:tc>
          <w:tcPr>
            <w:tcW w:w="897"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468</w:t>
            </w:r>
          </w:p>
        </w:tc>
        <w:tc>
          <w:tcPr>
            <w:tcW w:w="2765" w:type="dxa"/>
            <w:noWrap/>
            <w:hideMark/>
          </w:tcPr>
          <w:p w:rsidR="005757FA" w:rsidRPr="00563EF2" w:rsidRDefault="005757FA"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2,28%</w:t>
            </w:r>
          </w:p>
        </w:tc>
      </w:tr>
    </w:tbl>
    <w:p w:rsidR="00DD2A11" w:rsidRPr="00A50D78" w:rsidRDefault="00DD2A11"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Pr="00A50D78">
        <w:rPr>
          <w:rFonts w:asciiTheme="minorHAnsi" w:hAnsiTheme="minorHAnsi"/>
          <w:sz w:val="20"/>
        </w:rPr>
        <w:t xml:space="preserve"> GUS.</w:t>
      </w:r>
    </w:p>
    <w:p w:rsidR="00DD2A11" w:rsidRPr="00563EF2" w:rsidRDefault="00DD2A11" w:rsidP="00FD7676">
      <w:pPr>
        <w:rPr>
          <w:rFonts w:asciiTheme="minorHAnsi" w:hAnsiTheme="minorHAnsi"/>
          <w:sz w:val="22"/>
        </w:rPr>
      </w:pPr>
    </w:p>
    <w:p w:rsidR="004159AF" w:rsidRPr="00563EF2" w:rsidRDefault="004159AF" w:rsidP="00FD7676">
      <w:pPr>
        <w:rPr>
          <w:rFonts w:asciiTheme="minorHAnsi" w:hAnsiTheme="minorHAnsi"/>
          <w:sz w:val="22"/>
        </w:rPr>
      </w:pPr>
      <w:r w:rsidRPr="00563EF2">
        <w:rPr>
          <w:rFonts w:asciiTheme="minorHAnsi" w:hAnsiTheme="minorHAnsi"/>
          <w:sz w:val="22"/>
        </w:rPr>
        <w:t>Amatorzy turystyki aktywnej mają możliwość zwiedzania Legnicy i jej okolic dzięki przebiegającym przez nią szlakom turystycznym:</w:t>
      </w:r>
    </w:p>
    <w:p w:rsidR="004159AF" w:rsidRPr="00563EF2" w:rsidRDefault="004159AF" w:rsidP="00BC166D">
      <w:pPr>
        <w:numPr>
          <w:ilvl w:val="0"/>
          <w:numId w:val="20"/>
        </w:numPr>
        <w:rPr>
          <w:rFonts w:asciiTheme="minorHAnsi" w:hAnsiTheme="minorHAnsi"/>
          <w:sz w:val="22"/>
        </w:rPr>
      </w:pPr>
      <w:r w:rsidRPr="00563EF2">
        <w:rPr>
          <w:rFonts w:asciiTheme="minorHAnsi" w:hAnsiTheme="minorHAnsi"/>
          <w:bCs/>
          <w:sz w:val="22"/>
        </w:rPr>
        <w:t>Szlak polskiej miedzi (dł. 112 km)</w:t>
      </w:r>
      <w:r w:rsidRPr="00563EF2">
        <w:rPr>
          <w:rFonts w:asciiTheme="minorHAnsi" w:hAnsiTheme="minorHAnsi"/>
          <w:b/>
          <w:bCs/>
          <w:sz w:val="22"/>
        </w:rPr>
        <w:t xml:space="preserve"> </w:t>
      </w:r>
      <w:r w:rsidRPr="00563EF2">
        <w:rPr>
          <w:rFonts w:asciiTheme="minorHAnsi" w:hAnsiTheme="minorHAnsi"/>
          <w:sz w:val="22"/>
        </w:rPr>
        <w:t>– łączy teren starego zagłębia miedziowego (ze śladami górnictwa złota w Złotoryi) z centralną częścią Legnicko-Głogowskiego Okręgu Miedziowego. Szlak przeznaczony jest głównie do turystyki pieszej i kolarskiej.</w:t>
      </w:r>
    </w:p>
    <w:p w:rsidR="004159AF" w:rsidRPr="00563EF2" w:rsidRDefault="004159AF" w:rsidP="00BC166D">
      <w:pPr>
        <w:numPr>
          <w:ilvl w:val="0"/>
          <w:numId w:val="20"/>
        </w:numPr>
        <w:rPr>
          <w:rFonts w:asciiTheme="minorHAnsi" w:hAnsiTheme="minorHAnsi"/>
          <w:sz w:val="22"/>
        </w:rPr>
      </w:pPr>
      <w:r w:rsidRPr="00042E76">
        <w:rPr>
          <w:rFonts w:asciiTheme="minorHAnsi" w:hAnsiTheme="minorHAnsi"/>
          <w:bCs/>
          <w:sz w:val="22"/>
        </w:rPr>
        <w:t xml:space="preserve">Szlak </w:t>
      </w:r>
      <w:r w:rsidRPr="00563EF2">
        <w:rPr>
          <w:rFonts w:asciiTheme="minorHAnsi" w:hAnsiTheme="minorHAnsi"/>
          <w:bCs/>
          <w:sz w:val="22"/>
        </w:rPr>
        <w:t>dookoła Legnicy (dł. 79 km),</w:t>
      </w:r>
      <w:r w:rsidRPr="00563EF2">
        <w:rPr>
          <w:rFonts w:asciiTheme="minorHAnsi" w:hAnsiTheme="minorHAnsi"/>
          <w:b/>
          <w:bCs/>
          <w:sz w:val="22"/>
        </w:rPr>
        <w:t xml:space="preserve"> </w:t>
      </w:r>
      <w:r w:rsidRPr="00563EF2">
        <w:rPr>
          <w:rFonts w:asciiTheme="minorHAnsi" w:hAnsiTheme="minorHAnsi"/>
          <w:sz w:val="22"/>
        </w:rPr>
        <w:t>przebiegający przez tereny o dużych walorach przyrodniczych i miejsca ważnych wydarzeń historycznych.</w:t>
      </w:r>
    </w:p>
    <w:p w:rsidR="004159AF" w:rsidRPr="00563EF2" w:rsidRDefault="004159AF" w:rsidP="00BC166D">
      <w:pPr>
        <w:numPr>
          <w:ilvl w:val="0"/>
          <w:numId w:val="20"/>
        </w:numPr>
        <w:rPr>
          <w:rFonts w:asciiTheme="minorHAnsi" w:hAnsiTheme="minorHAnsi"/>
          <w:sz w:val="22"/>
        </w:rPr>
      </w:pPr>
      <w:r w:rsidRPr="00563EF2">
        <w:rPr>
          <w:rFonts w:asciiTheme="minorHAnsi" w:hAnsiTheme="minorHAnsi"/>
          <w:bCs/>
          <w:sz w:val="22"/>
        </w:rPr>
        <w:t>Via Regia lub „droga wysoka”</w:t>
      </w:r>
      <w:r w:rsidRPr="00563EF2">
        <w:rPr>
          <w:rFonts w:asciiTheme="minorHAnsi" w:hAnsiTheme="minorHAnsi"/>
          <w:b/>
          <w:bCs/>
          <w:sz w:val="22"/>
        </w:rPr>
        <w:t xml:space="preserve"> </w:t>
      </w:r>
      <w:r w:rsidRPr="00563EF2">
        <w:rPr>
          <w:rFonts w:asciiTheme="minorHAnsi" w:hAnsiTheme="minorHAnsi"/>
          <w:sz w:val="22"/>
        </w:rPr>
        <w:t>– jest to historyczny trakt handlowy prowadzący od Hiszpanii aż po Ukrainę. Stanowi także jedną z głównych tras szlaku pielgrzymkowego - Drogi św. Jakuba, prowadzącej do Santiago de Compostela w Hiszpanii.</w:t>
      </w:r>
    </w:p>
    <w:p w:rsidR="004159AF" w:rsidRPr="00563EF2" w:rsidRDefault="004159AF" w:rsidP="00BC166D">
      <w:pPr>
        <w:numPr>
          <w:ilvl w:val="0"/>
          <w:numId w:val="20"/>
        </w:numPr>
        <w:rPr>
          <w:rFonts w:asciiTheme="minorHAnsi" w:hAnsiTheme="minorHAnsi"/>
          <w:sz w:val="22"/>
        </w:rPr>
      </w:pPr>
      <w:r w:rsidRPr="00563EF2">
        <w:rPr>
          <w:rFonts w:asciiTheme="minorHAnsi" w:hAnsiTheme="minorHAnsi"/>
          <w:bCs/>
          <w:sz w:val="22"/>
        </w:rPr>
        <w:t>Europejski Szlak Cystersów</w:t>
      </w:r>
      <w:r w:rsidRPr="00563EF2">
        <w:rPr>
          <w:rFonts w:asciiTheme="minorHAnsi" w:hAnsiTheme="minorHAnsi"/>
          <w:b/>
          <w:bCs/>
          <w:sz w:val="22"/>
        </w:rPr>
        <w:t xml:space="preserve"> </w:t>
      </w:r>
      <w:r w:rsidRPr="00563EF2">
        <w:rPr>
          <w:rFonts w:asciiTheme="minorHAnsi" w:hAnsiTheme="minorHAnsi"/>
          <w:sz w:val="22"/>
        </w:rPr>
        <w:t>– ciągnie się od Portugalii po Polskę. Legnica usytuowana jest na jego trasie pomiędzy Lubiążem, a Krzeszowem.</w:t>
      </w:r>
    </w:p>
    <w:p w:rsidR="004159AF" w:rsidRPr="00563EF2" w:rsidRDefault="004159AF" w:rsidP="00BC166D">
      <w:pPr>
        <w:numPr>
          <w:ilvl w:val="0"/>
          <w:numId w:val="20"/>
        </w:numPr>
        <w:rPr>
          <w:rFonts w:asciiTheme="minorHAnsi" w:hAnsiTheme="minorHAnsi"/>
          <w:sz w:val="22"/>
        </w:rPr>
      </w:pPr>
      <w:r w:rsidRPr="00563EF2">
        <w:rPr>
          <w:rFonts w:asciiTheme="minorHAnsi" w:hAnsiTheme="minorHAnsi"/>
          <w:bCs/>
          <w:sz w:val="22"/>
        </w:rPr>
        <w:t>Szlak bitwy pod Legnicą w 1241 r.</w:t>
      </w:r>
      <w:r w:rsidRPr="00563EF2">
        <w:rPr>
          <w:rFonts w:asciiTheme="minorHAnsi" w:hAnsiTheme="minorHAnsi"/>
          <w:b/>
          <w:bCs/>
          <w:sz w:val="22"/>
        </w:rPr>
        <w:t xml:space="preserve"> </w:t>
      </w:r>
      <w:r w:rsidRPr="00563EF2">
        <w:rPr>
          <w:rFonts w:asciiTheme="minorHAnsi" w:hAnsiTheme="minorHAnsi"/>
          <w:sz w:val="22"/>
        </w:rPr>
        <w:t>– trasa spacerowa o długości 12 km przebiegająca w znacznej części przez Legnicę, a także Bartoszów i Legnickie Pole. Najciekawszymi obiektami na jego trasie są: klasztor i kościół p.w. św. Jadwigi Śląskiej oraz Muzeum Bitwy Legnickiej.</w:t>
      </w:r>
    </w:p>
    <w:p w:rsidR="00DE03A5" w:rsidRPr="00563EF2" w:rsidRDefault="00DE03A5" w:rsidP="00FD7676">
      <w:pPr>
        <w:ind w:left="720"/>
        <w:rPr>
          <w:rFonts w:asciiTheme="minorHAnsi" w:hAnsiTheme="minorHAnsi"/>
          <w:sz w:val="22"/>
        </w:rPr>
      </w:pPr>
    </w:p>
    <w:p w:rsidR="004159AF" w:rsidRPr="00563EF2" w:rsidRDefault="004159AF" w:rsidP="00FD7676">
      <w:pPr>
        <w:rPr>
          <w:rFonts w:asciiTheme="minorHAnsi" w:hAnsiTheme="minorHAnsi"/>
          <w:sz w:val="22"/>
        </w:rPr>
      </w:pPr>
      <w:r w:rsidRPr="00563EF2">
        <w:rPr>
          <w:rFonts w:asciiTheme="minorHAnsi" w:hAnsiTheme="minorHAnsi"/>
          <w:sz w:val="22"/>
        </w:rPr>
        <w:t xml:space="preserve">Ponadto na terenie Legnicy przebiega </w:t>
      </w:r>
      <w:r w:rsidRPr="00563EF2">
        <w:rPr>
          <w:rFonts w:asciiTheme="minorHAnsi" w:hAnsiTheme="minorHAnsi"/>
          <w:bCs/>
          <w:sz w:val="22"/>
        </w:rPr>
        <w:t>34,66 km ścieżek rowerowych</w:t>
      </w:r>
      <w:r w:rsidR="00A41138">
        <w:rPr>
          <w:rFonts w:asciiTheme="minorHAnsi" w:hAnsiTheme="minorHAnsi"/>
          <w:bCs/>
          <w:sz w:val="22"/>
        </w:rPr>
        <w:t>,</w:t>
      </w:r>
      <w:r w:rsidRPr="00563EF2">
        <w:rPr>
          <w:rFonts w:asciiTheme="minorHAnsi" w:hAnsiTheme="minorHAnsi"/>
          <w:b/>
          <w:bCs/>
          <w:sz w:val="22"/>
        </w:rPr>
        <w:t xml:space="preserve"> </w:t>
      </w:r>
      <w:r w:rsidRPr="00563EF2">
        <w:rPr>
          <w:rFonts w:asciiTheme="minorHAnsi" w:hAnsiTheme="minorHAnsi"/>
          <w:sz w:val="22"/>
        </w:rPr>
        <w:t>z czego:</w:t>
      </w:r>
    </w:p>
    <w:p w:rsidR="004159AF" w:rsidRPr="00563EF2" w:rsidRDefault="004159AF" w:rsidP="00BC166D">
      <w:pPr>
        <w:numPr>
          <w:ilvl w:val="0"/>
          <w:numId w:val="21"/>
        </w:numPr>
        <w:rPr>
          <w:rFonts w:asciiTheme="minorHAnsi" w:hAnsiTheme="minorHAnsi"/>
          <w:sz w:val="22"/>
        </w:rPr>
      </w:pPr>
      <w:r w:rsidRPr="00563EF2">
        <w:rPr>
          <w:rFonts w:asciiTheme="minorHAnsi" w:hAnsiTheme="minorHAnsi"/>
          <w:sz w:val="22"/>
        </w:rPr>
        <w:t>22,53 km stanowią ścieżki utwardzone i oznakowane,</w:t>
      </w:r>
    </w:p>
    <w:p w:rsidR="004159AF" w:rsidRPr="00563EF2" w:rsidRDefault="004159AF" w:rsidP="00BC166D">
      <w:pPr>
        <w:numPr>
          <w:ilvl w:val="0"/>
          <w:numId w:val="21"/>
        </w:numPr>
        <w:rPr>
          <w:rFonts w:asciiTheme="minorHAnsi" w:hAnsiTheme="minorHAnsi"/>
          <w:sz w:val="22"/>
        </w:rPr>
      </w:pPr>
      <w:r w:rsidRPr="00563EF2">
        <w:rPr>
          <w:rFonts w:asciiTheme="minorHAnsi" w:hAnsiTheme="minorHAnsi"/>
          <w:sz w:val="22"/>
        </w:rPr>
        <w:t>5,0 km stanowią ścieżki nieoznakowane i nieutwardzone,</w:t>
      </w:r>
    </w:p>
    <w:p w:rsidR="004159AF" w:rsidRPr="00563EF2" w:rsidRDefault="004159AF" w:rsidP="00BC166D">
      <w:pPr>
        <w:numPr>
          <w:ilvl w:val="0"/>
          <w:numId w:val="21"/>
        </w:numPr>
        <w:rPr>
          <w:rFonts w:asciiTheme="minorHAnsi" w:hAnsiTheme="minorHAnsi"/>
          <w:sz w:val="22"/>
        </w:rPr>
      </w:pPr>
      <w:r w:rsidRPr="00563EF2">
        <w:rPr>
          <w:rFonts w:asciiTheme="minorHAnsi" w:hAnsiTheme="minorHAnsi"/>
          <w:sz w:val="22"/>
        </w:rPr>
        <w:t>7,13 km stanowią ścieżki utwardzone</w:t>
      </w:r>
      <w:r w:rsidR="00A41138">
        <w:rPr>
          <w:rFonts w:asciiTheme="minorHAnsi" w:hAnsiTheme="minorHAnsi"/>
          <w:sz w:val="22"/>
        </w:rPr>
        <w:t>,</w:t>
      </w:r>
      <w:r w:rsidRPr="00563EF2">
        <w:rPr>
          <w:rFonts w:asciiTheme="minorHAnsi" w:hAnsiTheme="minorHAnsi"/>
          <w:sz w:val="22"/>
        </w:rPr>
        <w:t xml:space="preserve"> lecz nieoznakowane.</w:t>
      </w:r>
    </w:p>
    <w:p w:rsidR="00DE03A5" w:rsidRPr="00563EF2" w:rsidRDefault="00DE03A5" w:rsidP="00FD7676">
      <w:pPr>
        <w:ind w:left="720"/>
        <w:rPr>
          <w:rFonts w:asciiTheme="minorHAnsi" w:hAnsiTheme="minorHAnsi"/>
          <w:sz w:val="22"/>
        </w:rPr>
      </w:pPr>
    </w:p>
    <w:p w:rsidR="00892257" w:rsidRPr="00563EF2" w:rsidRDefault="00892257" w:rsidP="00FD7676">
      <w:pPr>
        <w:rPr>
          <w:rFonts w:asciiTheme="minorHAnsi" w:hAnsiTheme="minorHAnsi"/>
          <w:sz w:val="22"/>
        </w:rPr>
      </w:pPr>
      <w:r w:rsidRPr="00563EF2">
        <w:rPr>
          <w:rFonts w:asciiTheme="minorHAnsi" w:hAnsiTheme="minorHAnsi"/>
          <w:sz w:val="22"/>
        </w:rPr>
        <w:t xml:space="preserve">Wciąż brakuje odpowiednich połączeń rowerowych z atrakcyjnymi terenami rekreacyjnymi sąsiednich gmin, co wzmogłoby aktywność turystyczno-rekreacyjną na tym obszarze. </w:t>
      </w:r>
    </w:p>
    <w:p w:rsidR="00892257" w:rsidRPr="00563EF2" w:rsidRDefault="00892257" w:rsidP="00FD7676">
      <w:pPr>
        <w:rPr>
          <w:rFonts w:asciiTheme="minorHAnsi" w:hAnsiTheme="minorHAnsi"/>
          <w:sz w:val="22"/>
        </w:rPr>
      </w:pPr>
    </w:p>
    <w:p w:rsidR="00DE03A5" w:rsidRPr="00563EF2" w:rsidRDefault="00892257" w:rsidP="00FD7676">
      <w:pPr>
        <w:rPr>
          <w:rFonts w:asciiTheme="minorHAnsi" w:hAnsiTheme="minorHAnsi"/>
          <w:sz w:val="22"/>
        </w:rPr>
      </w:pPr>
      <w:r w:rsidRPr="00563EF2">
        <w:rPr>
          <w:rFonts w:asciiTheme="minorHAnsi" w:hAnsiTheme="minorHAnsi"/>
          <w:sz w:val="22"/>
        </w:rPr>
        <w:t>Legnica posiada spory potencjał turystyczny. Ciekawa historia i zabytk</w:t>
      </w:r>
      <w:r w:rsidR="0033475A">
        <w:rPr>
          <w:rFonts w:asciiTheme="minorHAnsi" w:hAnsiTheme="minorHAnsi"/>
          <w:sz w:val="22"/>
        </w:rPr>
        <w:t>i oraz dobrze rozbudowana i </w:t>
      </w:r>
      <w:r w:rsidRPr="00563EF2">
        <w:rPr>
          <w:rFonts w:asciiTheme="minorHAnsi" w:hAnsiTheme="minorHAnsi"/>
          <w:sz w:val="22"/>
        </w:rPr>
        <w:t>wyposażona infrastruktura noclegowa, a także bardzo dobra dostępność komunikacyjna może przyczynić się do rozwoju Miasta w tym obszarze. Szczególną uwagę powinno się ukierunkować na rozwój i promoc</w:t>
      </w:r>
      <w:r w:rsidR="0064065B">
        <w:rPr>
          <w:rFonts w:asciiTheme="minorHAnsi" w:hAnsiTheme="minorHAnsi"/>
          <w:sz w:val="22"/>
        </w:rPr>
        <w:t xml:space="preserve">ję turystyki sentymentalnej, </w:t>
      </w:r>
      <w:r w:rsidRPr="00563EF2">
        <w:rPr>
          <w:rFonts w:asciiTheme="minorHAnsi" w:hAnsiTheme="minorHAnsi"/>
          <w:sz w:val="22"/>
        </w:rPr>
        <w:t xml:space="preserve"> </w:t>
      </w:r>
      <w:r w:rsidR="0064065B">
        <w:rPr>
          <w:rFonts w:asciiTheme="minorHAnsi" w:hAnsiTheme="minorHAnsi"/>
          <w:sz w:val="22"/>
        </w:rPr>
        <w:t xml:space="preserve">biznesowej oraz </w:t>
      </w:r>
      <w:r w:rsidRPr="00563EF2">
        <w:rPr>
          <w:rFonts w:asciiTheme="minorHAnsi" w:hAnsiTheme="minorHAnsi"/>
          <w:sz w:val="22"/>
        </w:rPr>
        <w:t>wypadowej.</w:t>
      </w:r>
      <w:r w:rsidR="00543B71" w:rsidRPr="00563EF2">
        <w:rPr>
          <w:rFonts w:asciiTheme="minorHAnsi" w:hAnsiTheme="minorHAnsi"/>
          <w:sz w:val="22"/>
        </w:rPr>
        <w:t xml:space="preserve"> Dobrze skomunikowana Legnica, znajdująca się w centrum Dolnego Śląska może stanowić atrakcyjny punkt noclegowo-wypadowy dla turystów zainteresowanych zwiedzaniem zabytków regionu</w:t>
      </w:r>
      <w:r w:rsidR="00A41138">
        <w:rPr>
          <w:rFonts w:asciiTheme="minorHAnsi" w:hAnsiTheme="minorHAnsi"/>
          <w:sz w:val="22"/>
        </w:rPr>
        <w:t>,</w:t>
      </w:r>
      <w:r w:rsidR="0064065B">
        <w:rPr>
          <w:rFonts w:asciiTheme="minorHAnsi" w:hAnsiTheme="minorHAnsi"/>
          <w:sz w:val="22"/>
        </w:rPr>
        <w:t xml:space="preserve"> jak i przedsiębiorców podróżujących w interesach</w:t>
      </w:r>
      <w:r w:rsidR="007F3D23">
        <w:rPr>
          <w:rFonts w:asciiTheme="minorHAnsi" w:hAnsiTheme="minorHAnsi"/>
          <w:sz w:val="22"/>
        </w:rPr>
        <w:t>. Warto</w:t>
      </w:r>
      <w:r w:rsidR="0064065B">
        <w:rPr>
          <w:rFonts w:asciiTheme="minorHAnsi" w:hAnsiTheme="minorHAnsi"/>
          <w:sz w:val="22"/>
        </w:rPr>
        <w:t xml:space="preserve"> </w:t>
      </w:r>
      <w:r w:rsidR="00543B71" w:rsidRPr="00563EF2">
        <w:rPr>
          <w:rFonts w:asciiTheme="minorHAnsi" w:hAnsiTheme="minorHAnsi"/>
          <w:sz w:val="22"/>
        </w:rPr>
        <w:t>dążyć do współpracy z innymi samorząd</w:t>
      </w:r>
      <w:r w:rsidR="007F3D23">
        <w:rPr>
          <w:rFonts w:asciiTheme="minorHAnsi" w:hAnsiTheme="minorHAnsi"/>
          <w:sz w:val="22"/>
        </w:rPr>
        <w:t>ami, bowiem zintegrowane działania mające na celu promocję i rozwój oferty</w:t>
      </w:r>
      <w:r w:rsidR="0064065B">
        <w:rPr>
          <w:rFonts w:asciiTheme="minorHAnsi" w:hAnsiTheme="minorHAnsi"/>
          <w:sz w:val="22"/>
        </w:rPr>
        <w:t xml:space="preserve"> tu</w:t>
      </w:r>
      <w:r w:rsidR="007F3D23">
        <w:rPr>
          <w:rFonts w:asciiTheme="minorHAnsi" w:hAnsiTheme="minorHAnsi"/>
          <w:sz w:val="22"/>
        </w:rPr>
        <w:t>rystycznej</w:t>
      </w:r>
      <w:r w:rsidR="0064065B">
        <w:rPr>
          <w:rFonts w:asciiTheme="minorHAnsi" w:hAnsiTheme="minorHAnsi"/>
          <w:sz w:val="22"/>
        </w:rPr>
        <w:t xml:space="preserve"> regionu</w:t>
      </w:r>
      <w:r w:rsidR="007F3D23">
        <w:rPr>
          <w:rFonts w:asciiTheme="minorHAnsi" w:hAnsiTheme="minorHAnsi"/>
          <w:sz w:val="22"/>
        </w:rPr>
        <w:t>,  wzmogły</w:t>
      </w:r>
      <w:r w:rsidR="00543B71" w:rsidRPr="00563EF2">
        <w:rPr>
          <w:rFonts w:asciiTheme="minorHAnsi" w:hAnsiTheme="minorHAnsi"/>
          <w:sz w:val="22"/>
        </w:rPr>
        <w:t xml:space="preserve">by </w:t>
      </w:r>
      <w:r w:rsidR="007F3D23">
        <w:rPr>
          <w:rFonts w:asciiTheme="minorHAnsi" w:hAnsiTheme="minorHAnsi"/>
          <w:sz w:val="22"/>
        </w:rPr>
        <w:t>zainteresowanie turystów Legnicą</w:t>
      </w:r>
      <w:r w:rsidR="00A41138">
        <w:rPr>
          <w:rFonts w:asciiTheme="minorHAnsi" w:hAnsiTheme="minorHAnsi"/>
          <w:sz w:val="22"/>
        </w:rPr>
        <w:t>,</w:t>
      </w:r>
      <w:r w:rsidR="007F3D23">
        <w:rPr>
          <w:rFonts w:asciiTheme="minorHAnsi" w:hAnsiTheme="minorHAnsi"/>
          <w:sz w:val="22"/>
        </w:rPr>
        <w:t xml:space="preserve"> jak i walorami sąsiednich gmin</w:t>
      </w:r>
      <w:r w:rsidR="00543B71" w:rsidRPr="00563EF2">
        <w:rPr>
          <w:rFonts w:asciiTheme="minorHAnsi" w:hAnsiTheme="minorHAnsi"/>
          <w:sz w:val="22"/>
        </w:rPr>
        <w:t>.</w:t>
      </w:r>
    </w:p>
    <w:p w:rsidR="009E4B50" w:rsidRPr="00563EF2" w:rsidRDefault="009E4B50" w:rsidP="00EC5484">
      <w:pPr>
        <w:pStyle w:val="Nagwek3"/>
        <w:rPr>
          <w:b w:val="0"/>
        </w:rPr>
      </w:pPr>
      <w:bookmarkStart w:id="30" w:name="_Toc399756317"/>
      <w:r w:rsidRPr="00563EF2">
        <w:rPr>
          <w:b w:val="0"/>
        </w:rPr>
        <w:t>Bezpieczeństwo</w:t>
      </w:r>
      <w:bookmarkEnd w:id="30"/>
    </w:p>
    <w:p w:rsidR="009E4B50" w:rsidRPr="00563EF2" w:rsidRDefault="009E4B50" w:rsidP="00FD7676">
      <w:pPr>
        <w:rPr>
          <w:rFonts w:asciiTheme="minorHAnsi" w:hAnsiTheme="minorHAnsi"/>
          <w:b/>
          <w:sz w:val="22"/>
        </w:rPr>
      </w:pPr>
    </w:p>
    <w:p w:rsidR="009E4B50" w:rsidRPr="00563EF2" w:rsidRDefault="00F643A1" w:rsidP="00FD7676">
      <w:pPr>
        <w:rPr>
          <w:rFonts w:asciiTheme="minorHAnsi" w:hAnsiTheme="minorHAnsi"/>
          <w:sz w:val="22"/>
        </w:rPr>
      </w:pPr>
      <w:r w:rsidRPr="00563EF2">
        <w:rPr>
          <w:rFonts w:asciiTheme="minorHAnsi" w:hAnsiTheme="minorHAnsi"/>
          <w:sz w:val="22"/>
        </w:rPr>
        <w:t>Głównymi instytucjami działającymi na terenie Legnicy w zakresie bezpieczeństwa są Komenda Miejska Policji, Komenda Miejska Państwowej Straży Pożarnej wraz z podległymi jej trzema Jednostkami Ratowniczo-Gaśniczymi oraz Straż Miejska.</w:t>
      </w:r>
    </w:p>
    <w:p w:rsidR="00F643A1" w:rsidRPr="00563EF2" w:rsidRDefault="00F643A1" w:rsidP="00FD7676">
      <w:pPr>
        <w:rPr>
          <w:rFonts w:asciiTheme="minorHAnsi" w:hAnsiTheme="minorHAnsi"/>
          <w:sz w:val="22"/>
        </w:rPr>
      </w:pPr>
    </w:p>
    <w:p w:rsidR="00F643A1" w:rsidRPr="00563EF2" w:rsidRDefault="00F643A1" w:rsidP="00FD7676">
      <w:pPr>
        <w:rPr>
          <w:rFonts w:asciiTheme="minorHAnsi" w:hAnsiTheme="minorHAnsi"/>
          <w:sz w:val="22"/>
        </w:rPr>
      </w:pPr>
      <w:r w:rsidRPr="00563EF2">
        <w:rPr>
          <w:rFonts w:asciiTheme="minorHAnsi" w:hAnsiTheme="minorHAnsi"/>
          <w:sz w:val="22"/>
        </w:rPr>
        <w:t>Nadzór nad realizacją zadań w obszarze bezpieczeństwa publicznego na terenie Miasta i powiatu pełni wspólna Komisja Bezpieczeństwa i Porządku, której współprzewodn</w:t>
      </w:r>
      <w:r w:rsidR="0033475A">
        <w:rPr>
          <w:rFonts w:asciiTheme="minorHAnsi" w:hAnsiTheme="minorHAnsi"/>
          <w:sz w:val="22"/>
        </w:rPr>
        <w:t>iczą Prezydent Miasta Legnicy i </w:t>
      </w:r>
      <w:r w:rsidRPr="00563EF2">
        <w:rPr>
          <w:rFonts w:asciiTheme="minorHAnsi" w:hAnsiTheme="minorHAnsi"/>
          <w:sz w:val="22"/>
        </w:rPr>
        <w:t>Starosta Legnicki</w:t>
      </w:r>
      <w:r w:rsidR="00A41138">
        <w:rPr>
          <w:rFonts w:asciiTheme="minorHAnsi" w:hAnsiTheme="minorHAnsi"/>
          <w:sz w:val="22"/>
        </w:rPr>
        <w:t>.</w:t>
      </w:r>
    </w:p>
    <w:p w:rsidR="009E4B50" w:rsidRPr="00563EF2" w:rsidRDefault="009E4B50" w:rsidP="00FD7676">
      <w:pPr>
        <w:rPr>
          <w:rFonts w:asciiTheme="minorHAnsi" w:hAnsiTheme="minorHAnsi"/>
          <w:sz w:val="22"/>
        </w:rPr>
      </w:pPr>
    </w:p>
    <w:p w:rsidR="00F643A1" w:rsidRPr="00563EF2" w:rsidRDefault="00F643A1" w:rsidP="00FD7676">
      <w:pPr>
        <w:spacing w:after="240"/>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Pod przewodnictwem Prezydenta Miasta Legnicy działa</w:t>
      </w:r>
      <w:r w:rsidR="001F1EDF" w:rsidRPr="00563EF2">
        <w:rPr>
          <w:rFonts w:asciiTheme="minorHAnsi" w:eastAsia="Times New Roman" w:hAnsiTheme="minorHAnsi" w:cs="Times New Roman"/>
          <w:sz w:val="22"/>
          <w:lang w:eastAsia="pl-PL"/>
        </w:rPr>
        <w:t xml:space="preserve"> również</w:t>
      </w:r>
      <w:r w:rsidRPr="00563EF2">
        <w:rPr>
          <w:rFonts w:asciiTheme="minorHAnsi" w:eastAsia="Times New Roman" w:hAnsiTheme="minorHAnsi" w:cs="Times New Roman"/>
          <w:sz w:val="22"/>
          <w:lang w:eastAsia="pl-PL"/>
        </w:rPr>
        <w:t xml:space="preserve"> Rada Programu zapobiegania przestępczości oraz ochrony bezpieczeństwa ob</w:t>
      </w:r>
      <w:r w:rsidR="001F1EDF" w:rsidRPr="00563EF2">
        <w:rPr>
          <w:rFonts w:asciiTheme="minorHAnsi" w:eastAsia="Times New Roman" w:hAnsiTheme="minorHAnsi" w:cs="Times New Roman"/>
          <w:sz w:val="22"/>
          <w:lang w:eastAsia="pl-PL"/>
        </w:rPr>
        <w:t xml:space="preserve">ywateli i porządku publicznego </w:t>
      </w:r>
      <w:r w:rsidRPr="00563EF2">
        <w:rPr>
          <w:rFonts w:asciiTheme="minorHAnsi" w:eastAsia="Times New Roman" w:hAnsiTheme="minorHAnsi" w:cs="Times New Roman"/>
          <w:sz w:val="22"/>
          <w:lang w:eastAsia="pl-PL"/>
        </w:rPr>
        <w:t>„Porozumien</w:t>
      </w:r>
      <w:r w:rsidR="001F1EDF" w:rsidRPr="00563EF2">
        <w:rPr>
          <w:rFonts w:asciiTheme="minorHAnsi" w:eastAsia="Times New Roman" w:hAnsiTheme="minorHAnsi" w:cs="Times New Roman"/>
          <w:sz w:val="22"/>
          <w:lang w:eastAsia="pl-PL"/>
        </w:rPr>
        <w:t xml:space="preserve">ie dla bezpieczeństwa Legnicy”. </w:t>
      </w:r>
      <w:r w:rsidRPr="00563EF2">
        <w:rPr>
          <w:rFonts w:asciiTheme="minorHAnsi" w:eastAsia="Times New Roman" w:hAnsiTheme="minorHAnsi" w:cs="Times New Roman"/>
          <w:sz w:val="22"/>
          <w:lang w:eastAsia="pl-PL"/>
        </w:rPr>
        <w:t>Radę programu tworzą przedstawiciele organizacji i instytucji, które zadeklarowały udział w realizacji Pro</w:t>
      </w:r>
      <w:r w:rsidR="001F1EDF" w:rsidRPr="00563EF2">
        <w:rPr>
          <w:rFonts w:asciiTheme="minorHAnsi" w:eastAsia="Times New Roman" w:hAnsiTheme="minorHAnsi" w:cs="Times New Roman"/>
          <w:sz w:val="22"/>
          <w:lang w:eastAsia="pl-PL"/>
        </w:rPr>
        <w:t xml:space="preserve">gramu. W Radzie zasiada obecnie 31 członków. </w:t>
      </w:r>
      <w:r w:rsidRPr="00563EF2">
        <w:rPr>
          <w:rFonts w:asciiTheme="minorHAnsi" w:eastAsia="Times New Roman" w:hAnsiTheme="minorHAnsi" w:cs="Times New Roman"/>
          <w:sz w:val="22"/>
          <w:lang w:eastAsia="pl-PL"/>
        </w:rPr>
        <w:t>Program realizowany jest w pięciu podstawowych płaszczyznach problemowych:</w:t>
      </w:r>
    </w:p>
    <w:p w:rsidR="00F643A1" w:rsidRPr="00563EF2" w:rsidRDefault="00F643A1" w:rsidP="00FD7676">
      <w:pPr>
        <w:numPr>
          <w:ilvl w:val="0"/>
          <w:numId w:val="10"/>
        </w:numPr>
        <w:spacing w:before="100" w:beforeAutospacing="1" w:after="100" w:afterAutospacing="1"/>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zwiększenie bezpieczeństwa osób i mienia,</w:t>
      </w:r>
    </w:p>
    <w:p w:rsidR="00F643A1" w:rsidRPr="00563EF2" w:rsidRDefault="00F643A1" w:rsidP="00FD7676">
      <w:pPr>
        <w:numPr>
          <w:ilvl w:val="0"/>
          <w:numId w:val="10"/>
        </w:numPr>
        <w:spacing w:before="100" w:beforeAutospacing="1" w:after="100" w:afterAutospacing="1"/>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zapobieganie patologiom,</w:t>
      </w:r>
    </w:p>
    <w:p w:rsidR="00F643A1" w:rsidRPr="00563EF2" w:rsidRDefault="00EA5574" w:rsidP="00FD7676">
      <w:pPr>
        <w:numPr>
          <w:ilvl w:val="0"/>
          <w:numId w:val="10"/>
        </w:numPr>
        <w:spacing w:before="100" w:beforeAutospacing="1" w:after="100" w:afterAutospacing="1"/>
        <w:rPr>
          <w:rFonts w:asciiTheme="minorHAnsi" w:eastAsia="Times New Roman" w:hAnsiTheme="minorHAnsi" w:cs="Times New Roman"/>
          <w:sz w:val="22"/>
          <w:lang w:eastAsia="pl-PL"/>
        </w:rPr>
      </w:pPr>
      <w:r>
        <w:rPr>
          <w:rFonts w:asciiTheme="minorHAnsi" w:eastAsia="Times New Roman" w:hAnsiTheme="minorHAnsi" w:cs="Times New Roman"/>
          <w:sz w:val="22"/>
          <w:lang w:eastAsia="pl-PL"/>
        </w:rPr>
        <w:t>przeciwdziałanie</w:t>
      </w:r>
      <w:r w:rsidR="00F643A1" w:rsidRPr="00563EF2">
        <w:rPr>
          <w:rFonts w:asciiTheme="minorHAnsi" w:eastAsia="Times New Roman" w:hAnsiTheme="minorHAnsi" w:cs="Times New Roman"/>
          <w:sz w:val="22"/>
          <w:lang w:eastAsia="pl-PL"/>
        </w:rPr>
        <w:t xml:space="preserve"> przestępczości nieletnich,</w:t>
      </w:r>
    </w:p>
    <w:p w:rsidR="00F643A1" w:rsidRPr="00563EF2" w:rsidRDefault="00F643A1" w:rsidP="00FD7676">
      <w:pPr>
        <w:numPr>
          <w:ilvl w:val="0"/>
          <w:numId w:val="10"/>
        </w:numPr>
        <w:spacing w:before="100" w:beforeAutospacing="1" w:after="100" w:afterAutospacing="1"/>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tworzenie bezpiecznej infrastruktury,</w:t>
      </w:r>
    </w:p>
    <w:p w:rsidR="00F643A1" w:rsidRPr="00563EF2" w:rsidRDefault="00F643A1" w:rsidP="00FD7676">
      <w:pPr>
        <w:numPr>
          <w:ilvl w:val="0"/>
          <w:numId w:val="10"/>
        </w:numPr>
        <w:spacing w:before="100" w:beforeAutospacing="1" w:after="100" w:afterAutospacing="1"/>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promocja</w:t>
      </w:r>
      <w:r w:rsidR="00EA5574">
        <w:rPr>
          <w:rFonts w:asciiTheme="minorHAnsi" w:eastAsia="Times New Roman" w:hAnsiTheme="minorHAnsi" w:cs="Times New Roman"/>
          <w:sz w:val="22"/>
          <w:lang w:eastAsia="pl-PL"/>
        </w:rPr>
        <w:t xml:space="preserve"> i informacja</w:t>
      </w:r>
      <w:r w:rsidRPr="00563EF2">
        <w:rPr>
          <w:rFonts w:asciiTheme="minorHAnsi" w:eastAsia="Times New Roman" w:hAnsiTheme="minorHAnsi" w:cs="Times New Roman"/>
          <w:sz w:val="22"/>
          <w:lang w:eastAsia="pl-PL"/>
        </w:rPr>
        <w:t xml:space="preserve">. </w:t>
      </w:r>
    </w:p>
    <w:p w:rsidR="00F643A1" w:rsidRPr="00563EF2" w:rsidRDefault="00F643A1" w:rsidP="00FD7676">
      <w:pPr>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Obsługę administracyjno – biurową Rady prowadzi Wydział Zarządzania Kryzysowego i Obrony Cywilnej Urzędu Miasta.</w:t>
      </w:r>
      <w:r w:rsidR="001F1EDF" w:rsidRPr="00563EF2">
        <w:rPr>
          <w:rStyle w:val="Odwoanieprzypisudolnego"/>
          <w:rFonts w:asciiTheme="minorHAnsi" w:eastAsia="Times New Roman" w:hAnsiTheme="minorHAnsi" w:cs="Times New Roman"/>
          <w:sz w:val="22"/>
          <w:lang w:eastAsia="pl-PL"/>
        </w:rPr>
        <w:footnoteReference w:id="13"/>
      </w:r>
    </w:p>
    <w:p w:rsidR="00F266A4" w:rsidRPr="00563EF2" w:rsidRDefault="00F266A4" w:rsidP="00FD7676">
      <w:pPr>
        <w:rPr>
          <w:rFonts w:asciiTheme="minorHAnsi" w:eastAsia="Times New Roman" w:hAnsiTheme="minorHAnsi" w:cs="Times New Roman"/>
          <w:sz w:val="22"/>
          <w:lang w:eastAsia="pl-PL"/>
        </w:rPr>
      </w:pPr>
    </w:p>
    <w:p w:rsidR="001F1EDF" w:rsidRPr="00563EF2" w:rsidRDefault="00F266A4" w:rsidP="00FD7676">
      <w:pPr>
        <w:rPr>
          <w:rFonts w:asciiTheme="minorHAnsi" w:hAnsiTheme="minorHAnsi"/>
          <w:sz w:val="22"/>
        </w:rPr>
      </w:pPr>
      <w:r w:rsidRPr="00563EF2">
        <w:rPr>
          <w:rFonts w:asciiTheme="minorHAnsi" w:hAnsiTheme="minorHAnsi"/>
          <w:sz w:val="22"/>
        </w:rPr>
        <w:t>W latach 2007-2011 liczba pożarów nie wykazywała wyraźnej tendencji. Największą liczbę pożarów odnotowano w 2008 r. -790 przypadków, najniższą zaś w 2010 r. – 629 przypadków</w:t>
      </w:r>
      <w:r w:rsidR="001C3DB2" w:rsidRPr="00563EF2">
        <w:rPr>
          <w:rStyle w:val="Odwoanieprzypisudolnego"/>
          <w:rFonts w:asciiTheme="minorHAnsi" w:hAnsiTheme="minorHAnsi"/>
          <w:sz w:val="22"/>
        </w:rPr>
        <w:footnoteReference w:id="14"/>
      </w:r>
      <w:r w:rsidRPr="00563EF2">
        <w:rPr>
          <w:rFonts w:asciiTheme="minorHAnsi" w:hAnsiTheme="minorHAnsi"/>
          <w:sz w:val="22"/>
        </w:rPr>
        <w:t>.</w:t>
      </w:r>
      <w:r w:rsidR="001C3DB2" w:rsidRPr="00563EF2">
        <w:rPr>
          <w:rFonts w:asciiTheme="minorHAnsi" w:hAnsiTheme="minorHAnsi"/>
          <w:sz w:val="22"/>
        </w:rPr>
        <w:t xml:space="preserve"> </w:t>
      </w:r>
      <w:r w:rsidR="00D946B8" w:rsidRPr="00563EF2">
        <w:rPr>
          <w:rFonts w:asciiTheme="minorHAnsi" w:hAnsiTheme="minorHAnsi"/>
          <w:sz w:val="22"/>
        </w:rPr>
        <w:t>Wg dostępnych statystyk</w:t>
      </w:r>
      <w:r w:rsidR="00A41138">
        <w:rPr>
          <w:rFonts w:asciiTheme="minorHAnsi" w:hAnsiTheme="minorHAnsi"/>
          <w:sz w:val="22"/>
        </w:rPr>
        <w:t>,</w:t>
      </w:r>
      <w:r w:rsidR="00D946B8" w:rsidRPr="00563EF2">
        <w:rPr>
          <w:rFonts w:asciiTheme="minorHAnsi" w:hAnsiTheme="minorHAnsi"/>
          <w:sz w:val="22"/>
        </w:rPr>
        <w:t xml:space="preserve"> w okresie półrocza od 17.06.2013 r. do 12.01.2014 r. na terenie działalności Komendy Miejskiej Straży Pożarnej w Legnicy odnotowano 1 166 akcji pożarowo-gaśniczych, z tego</w:t>
      </w:r>
      <w:r w:rsidR="00D946B8" w:rsidRPr="00563EF2">
        <w:rPr>
          <w:rStyle w:val="Odwoanieprzypisudolnego"/>
          <w:rFonts w:asciiTheme="minorHAnsi" w:hAnsiTheme="minorHAnsi"/>
          <w:sz w:val="22"/>
        </w:rPr>
        <w:footnoteReference w:id="15"/>
      </w:r>
      <w:r w:rsidR="00D946B8" w:rsidRPr="00563EF2">
        <w:rPr>
          <w:rFonts w:asciiTheme="minorHAnsi" w:hAnsiTheme="minorHAnsi"/>
          <w:sz w:val="22"/>
        </w:rPr>
        <w:t>:</w:t>
      </w:r>
    </w:p>
    <w:p w:rsidR="00D946B8" w:rsidRPr="00563EF2" w:rsidRDefault="00D946B8" w:rsidP="00FD7676">
      <w:pPr>
        <w:pStyle w:val="Akapitzlist"/>
        <w:numPr>
          <w:ilvl w:val="0"/>
          <w:numId w:val="11"/>
        </w:numPr>
        <w:rPr>
          <w:rFonts w:asciiTheme="minorHAnsi" w:hAnsiTheme="minorHAnsi"/>
          <w:sz w:val="22"/>
        </w:rPr>
      </w:pPr>
      <w:r w:rsidRPr="00563EF2">
        <w:rPr>
          <w:rFonts w:asciiTheme="minorHAnsi" w:hAnsiTheme="minorHAnsi"/>
          <w:sz w:val="22"/>
        </w:rPr>
        <w:t>632 zagrożenia miejscowe,</w:t>
      </w:r>
    </w:p>
    <w:p w:rsidR="00D946B8" w:rsidRPr="00563EF2" w:rsidRDefault="00D946B8" w:rsidP="00FD7676">
      <w:pPr>
        <w:pStyle w:val="Akapitzlist"/>
        <w:numPr>
          <w:ilvl w:val="0"/>
          <w:numId w:val="11"/>
        </w:numPr>
        <w:rPr>
          <w:rFonts w:asciiTheme="minorHAnsi" w:hAnsiTheme="minorHAnsi"/>
          <w:sz w:val="22"/>
        </w:rPr>
      </w:pPr>
      <w:r w:rsidRPr="00563EF2">
        <w:rPr>
          <w:rFonts w:asciiTheme="minorHAnsi" w:hAnsiTheme="minorHAnsi"/>
          <w:sz w:val="22"/>
        </w:rPr>
        <w:t>428 pożarów,</w:t>
      </w:r>
    </w:p>
    <w:p w:rsidR="00D946B8" w:rsidRPr="00563EF2" w:rsidRDefault="00D946B8" w:rsidP="00FD7676">
      <w:pPr>
        <w:pStyle w:val="Akapitzlist"/>
        <w:numPr>
          <w:ilvl w:val="0"/>
          <w:numId w:val="11"/>
        </w:numPr>
        <w:rPr>
          <w:rFonts w:asciiTheme="minorHAnsi" w:hAnsiTheme="minorHAnsi"/>
          <w:sz w:val="22"/>
        </w:rPr>
      </w:pPr>
      <w:r w:rsidRPr="00563EF2">
        <w:rPr>
          <w:rFonts w:asciiTheme="minorHAnsi" w:hAnsiTheme="minorHAnsi"/>
          <w:sz w:val="22"/>
        </w:rPr>
        <w:t xml:space="preserve">106 fałszywych alarmów </w:t>
      </w:r>
    </w:p>
    <w:p w:rsidR="00F266A4" w:rsidRPr="00563EF2" w:rsidRDefault="00F266A4" w:rsidP="00FD7676">
      <w:pPr>
        <w:rPr>
          <w:rFonts w:asciiTheme="minorHAnsi" w:hAnsiTheme="minorHAnsi"/>
          <w:sz w:val="22"/>
        </w:rPr>
      </w:pPr>
    </w:p>
    <w:p w:rsidR="00F266A4" w:rsidRPr="00563EF2" w:rsidRDefault="00697413" w:rsidP="00FD7676">
      <w:pPr>
        <w:rPr>
          <w:rFonts w:asciiTheme="minorHAnsi" w:hAnsiTheme="minorHAnsi"/>
          <w:sz w:val="22"/>
        </w:rPr>
      </w:pPr>
      <w:r>
        <w:rPr>
          <w:rFonts w:asciiTheme="minorHAnsi" w:hAnsiTheme="minorHAnsi"/>
          <w:sz w:val="22"/>
        </w:rPr>
        <w:t>S</w:t>
      </w:r>
      <w:r w:rsidR="00F266A4" w:rsidRPr="00563EF2">
        <w:rPr>
          <w:rFonts w:asciiTheme="minorHAnsi" w:hAnsiTheme="minorHAnsi"/>
          <w:sz w:val="22"/>
        </w:rPr>
        <w:t>tatystyka stwierdzonych przestępstw</w:t>
      </w:r>
      <w:r>
        <w:rPr>
          <w:rFonts w:asciiTheme="minorHAnsi" w:hAnsiTheme="minorHAnsi"/>
          <w:sz w:val="22"/>
        </w:rPr>
        <w:t xml:space="preserve"> w Legnicy i powiecie legnickim w </w:t>
      </w:r>
      <w:r w:rsidR="003A2164">
        <w:rPr>
          <w:rFonts w:asciiTheme="minorHAnsi" w:hAnsiTheme="minorHAnsi"/>
          <w:sz w:val="22"/>
        </w:rPr>
        <w:t>latach 2008-2013</w:t>
      </w:r>
      <w:r>
        <w:rPr>
          <w:rFonts w:asciiTheme="minorHAnsi" w:hAnsiTheme="minorHAnsi"/>
          <w:sz w:val="22"/>
        </w:rPr>
        <w:t xml:space="preserve"> wzrosła</w:t>
      </w:r>
      <w:r w:rsidR="001C3DB2" w:rsidRPr="00563EF2">
        <w:rPr>
          <w:rFonts w:asciiTheme="minorHAnsi" w:hAnsiTheme="minorHAnsi"/>
          <w:sz w:val="22"/>
        </w:rPr>
        <w:t xml:space="preserve"> </w:t>
      </w:r>
      <w:r w:rsidR="00BA5B58">
        <w:rPr>
          <w:rFonts w:asciiTheme="minorHAnsi" w:hAnsiTheme="minorHAnsi"/>
          <w:sz w:val="22"/>
        </w:rPr>
        <w:t>o </w:t>
      </w:r>
      <w:r w:rsidR="001C3DB2" w:rsidRPr="00563EF2">
        <w:rPr>
          <w:rFonts w:asciiTheme="minorHAnsi" w:hAnsiTheme="minorHAnsi"/>
          <w:sz w:val="22"/>
        </w:rPr>
        <w:t>1</w:t>
      </w:r>
      <w:r>
        <w:rPr>
          <w:rFonts w:asciiTheme="minorHAnsi" w:hAnsiTheme="minorHAnsi"/>
          <w:sz w:val="22"/>
        </w:rPr>
        <w:t> </w:t>
      </w:r>
      <w:r w:rsidR="001C3DB2" w:rsidRPr="00563EF2">
        <w:rPr>
          <w:rFonts w:asciiTheme="minorHAnsi" w:hAnsiTheme="minorHAnsi"/>
          <w:sz w:val="22"/>
        </w:rPr>
        <w:t>835</w:t>
      </w:r>
      <w:r>
        <w:rPr>
          <w:rFonts w:asciiTheme="minorHAnsi" w:hAnsiTheme="minorHAnsi"/>
          <w:sz w:val="22"/>
        </w:rPr>
        <w:t xml:space="preserve"> stwierdzonych</w:t>
      </w:r>
      <w:r w:rsidR="00F266A4" w:rsidRPr="00563EF2">
        <w:rPr>
          <w:rFonts w:asciiTheme="minorHAnsi" w:hAnsiTheme="minorHAnsi"/>
          <w:sz w:val="22"/>
        </w:rPr>
        <w:t xml:space="preserve"> przestępstw</w:t>
      </w:r>
      <w:r w:rsidR="001C3DB2" w:rsidRPr="00563EF2">
        <w:rPr>
          <w:rFonts w:asciiTheme="minorHAnsi" w:hAnsiTheme="minorHAnsi"/>
          <w:sz w:val="22"/>
        </w:rPr>
        <w:t>.</w:t>
      </w:r>
      <w:r w:rsidR="003A2164">
        <w:rPr>
          <w:rFonts w:asciiTheme="minorHAnsi" w:hAnsiTheme="minorHAnsi"/>
          <w:sz w:val="22"/>
        </w:rPr>
        <w:t xml:space="preserve"> Najwyższy </w:t>
      </w:r>
      <w:r w:rsidR="00072082">
        <w:rPr>
          <w:rFonts w:asciiTheme="minorHAnsi" w:hAnsiTheme="minorHAnsi"/>
          <w:sz w:val="22"/>
        </w:rPr>
        <w:t>przyrost</w:t>
      </w:r>
      <w:r w:rsidR="003A2164">
        <w:rPr>
          <w:rFonts w:asciiTheme="minorHAnsi" w:hAnsiTheme="minorHAnsi"/>
          <w:sz w:val="22"/>
        </w:rPr>
        <w:t xml:space="preserve"> na przestrzeni tych 6 lat był udziałem przestępstw gospodarczych i wynosił aż 90%. </w:t>
      </w:r>
      <w:r w:rsidR="001C213A">
        <w:rPr>
          <w:rFonts w:asciiTheme="minorHAnsi" w:hAnsiTheme="minorHAnsi"/>
          <w:sz w:val="22"/>
        </w:rPr>
        <w:t xml:space="preserve">Tak </w:t>
      </w:r>
      <w:r w:rsidR="00F3134F">
        <w:rPr>
          <w:rFonts w:asciiTheme="minorHAnsi" w:hAnsiTheme="minorHAnsi"/>
          <w:sz w:val="22"/>
        </w:rPr>
        <w:t>gwałtowny</w:t>
      </w:r>
      <w:r w:rsidR="001C213A">
        <w:rPr>
          <w:rFonts w:asciiTheme="minorHAnsi" w:hAnsiTheme="minorHAnsi"/>
          <w:sz w:val="22"/>
        </w:rPr>
        <w:t xml:space="preserve"> przyrost oraz </w:t>
      </w:r>
      <w:r w:rsidR="009A4FD3">
        <w:rPr>
          <w:rFonts w:asciiTheme="minorHAnsi" w:hAnsiTheme="minorHAnsi"/>
          <w:sz w:val="22"/>
        </w:rPr>
        <w:t>specyfika</w:t>
      </w:r>
      <w:r w:rsidR="001C213A">
        <w:rPr>
          <w:rFonts w:asciiTheme="minorHAnsi" w:hAnsiTheme="minorHAnsi"/>
          <w:sz w:val="22"/>
        </w:rPr>
        <w:t xml:space="preserve"> przestępstw gospodarczych pozwala</w:t>
      </w:r>
      <w:r w:rsidR="00F3134F">
        <w:rPr>
          <w:rFonts w:asciiTheme="minorHAnsi" w:hAnsiTheme="minorHAnsi"/>
          <w:sz w:val="22"/>
        </w:rPr>
        <w:t>ją</w:t>
      </w:r>
      <w:r w:rsidR="001C213A">
        <w:rPr>
          <w:rFonts w:asciiTheme="minorHAnsi" w:hAnsiTheme="minorHAnsi"/>
          <w:sz w:val="22"/>
        </w:rPr>
        <w:t xml:space="preserve"> sądzić, iż </w:t>
      </w:r>
      <w:r w:rsidR="009A4FD3">
        <w:rPr>
          <w:rFonts w:asciiTheme="minorHAnsi" w:hAnsiTheme="minorHAnsi"/>
          <w:sz w:val="22"/>
        </w:rPr>
        <w:t xml:space="preserve">wzrost ich </w:t>
      </w:r>
      <w:r w:rsidR="00F3134F">
        <w:rPr>
          <w:rFonts w:asciiTheme="minorHAnsi" w:hAnsiTheme="minorHAnsi"/>
          <w:sz w:val="22"/>
        </w:rPr>
        <w:t>poziomu</w:t>
      </w:r>
      <w:r w:rsidR="009A4FD3">
        <w:rPr>
          <w:rFonts w:asciiTheme="minorHAnsi" w:hAnsiTheme="minorHAnsi"/>
          <w:sz w:val="22"/>
        </w:rPr>
        <w:t xml:space="preserve"> nie </w:t>
      </w:r>
      <w:r w:rsidR="00F3134F">
        <w:rPr>
          <w:rFonts w:asciiTheme="minorHAnsi" w:hAnsiTheme="minorHAnsi"/>
          <w:sz w:val="22"/>
        </w:rPr>
        <w:t>wynika</w:t>
      </w:r>
      <w:r w:rsidR="00BB0992">
        <w:rPr>
          <w:rFonts w:asciiTheme="minorHAnsi" w:hAnsiTheme="minorHAnsi"/>
          <w:sz w:val="22"/>
        </w:rPr>
        <w:t xml:space="preserve"> wprost</w:t>
      </w:r>
      <w:r w:rsidR="00F3134F">
        <w:rPr>
          <w:rFonts w:asciiTheme="minorHAnsi" w:hAnsiTheme="minorHAnsi"/>
          <w:sz w:val="22"/>
        </w:rPr>
        <w:t xml:space="preserve"> </w:t>
      </w:r>
      <w:r w:rsidR="005862EA">
        <w:rPr>
          <w:rFonts w:asciiTheme="minorHAnsi" w:hAnsiTheme="minorHAnsi"/>
          <w:sz w:val="22"/>
        </w:rPr>
        <w:t>z</w:t>
      </w:r>
      <w:r w:rsidR="00BB0992">
        <w:rPr>
          <w:rFonts w:asciiTheme="minorHAnsi" w:hAnsiTheme="minorHAnsi"/>
          <w:sz w:val="22"/>
        </w:rPr>
        <w:t xml:space="preserve"> nagłego</w:t>
      </w:r>
      <w:r w:rsidR="005862EA">
        <w:rPr>
          <w:rFonts w:asciiTheme="minorHAnsi" w:hAnsiTheme="minorHAnsi"/>
          <w:sz w:val="22"/>
        </w:rPr>
        <w:t xml:space="preserve"> wz</w:t>
      </w:r>
      <w:r w:rsidR="00BB0992">
        <w:rPr>
          <w:rFonts w:asciiTheme="minorHAnsi" w:hAnsiTheme="minorHAnsi"/>
          <w:sz w:val="22"/>
        </w:rPr>
        <w:t>możenia</w:t>
      </w:r>
      <w:r w:rsidR="00F3134F">
        <w:rPr>
          <w:rFonts w:asciiTheme="minorHAnsi" w:hAnsiTheme="minorHAnsi"/>
          <w:sz w:val="22"/>
        </w:rPr>
        <w:t xml:space="preserve"> </w:t>
      </w:r>
      <w:r w:rsidR="005862EA">
        <w:rPr>
          <w:rFonts w:asciiTheme="minorHAnsi" w:hAnsiTheme="minorHAnsi"/>
          <w:sz w:val="22"/>
        </w:rPr>
        <w:t>rzeczywistej przestępczości gospodarczej w ostatnich latach</w:t>
      </w:r>
      <w:r w:rsidR="00F3134F">
        <w:rPr>
          <w:rFonts w:asciiTheme="minorHAnsi" w:hAnsiTheme="minorHAnsi"/>
          <w:sz w:val="22"/>
        </w:rPr>
        <w:t xml:space="preserve">, lecz </w:t>
      </w:r>
      <w:r w:rsidR="005862EA">
        <w:rPr>
          <w:rFonts w:asciiTheme="minorHAnsi" w:hAnsiTheme="minorHAnsi"/>
          <w:sz w:val="22"/>
        </w:rPr>
        <w:t>z wyższej sprawności</w:t>
      </w:r>
      <w:r w:rsidR="001C213A">
        <w:rPr>
          <w:rFonts w:asciiTheme="minorHAnsi" w:hAnsiTheme="minorHAnsi"/>
          <w:sz w:val="22"/>
        </w:rPr>
        <w:t xml:space="preserve"> </w:t>
      </w:r>
      <w:r w:rsidR="009A4FD3">
        <w:rPr>
          <w:rFonts w:asciiTheme="minorHAnsi" w:hAnsiTheme="minorHAnsi"/>
          <w:sz w:val="22"/>
        </w:rPr>
        <w:t xml:space="preserve">organów śledczych w </w:t>
      </w:r>
      <w:r w:rsidR="00072082">
        <w:rPr>
          <w:rFonts w:asciiTheme="minorHAnsi" w:hAnsiTheme="minorHAnsi"/>
          <w:sz w:val="22"/>
        </w:rPr>
        <w:t xml:space="preserve">ich ujawnianiu. </w:t>
      </w:r>
      <w:r w:rsidR="005862EA">
        <w:rPr>
          <w:rFonts w:asciiTheme="minorHAnsi" w:hAnsiTheme="minorHAnsi"/>
          <w:sz w:val="22"/>
        </w:rPr>
        <w:t>P</w:t>
      </w:r>
      <w:r w:rsidR="00072082">
        <w:rPr>
          <w:rFonts w:asciiTheme="minorHAnsi" w:hAnsiTheme="minorHAnsi"/>
          <w:sz w:val="22"/>
        </w:rPr>
        <w:t xml:space="preserve">otwierdza </w:t>
      </w:r>
      <w:r w:rsidR="005862EA">
        <w:rPr>
          <w:rFonts w:asciiTheme="minorHAnsi" w:hAnsiTheme="minorHAnsi"/>
          <w:sz w:val="22"/>
        </w:rPr>
        <w:t>to</w:t>
      </w:r>
      <w:r w:rsidR="00BB0992">
        <w:rPr>
          <w:rFonts w:asciiTheme="minorHAnsi" w:hAnsiTheme="minorHAnsi"/>
          <w:sz w:val="22"/>
        </w:rPr>
        <w:t xml:space="preserve"> utrzymujący się</w:t>
      </w:r>
      <w:r w:rsidR="005862EA">
        <w:rPr>
          <w:rFonts w:asciiTheme="minorHAnsi" w:hAnsiTheme="minorHAnsi"/>
          <w:sz w:val="22"/>
        </w:rPr>
        <w:t xml:space="preserve"> </w:t>
      </w:r>
      <w:r w:rsidR="00072082">
        <w:rPr>
          <w:rFonts w:asciiTheme="minorHAnsi" w:hAnsiTheme="minorHAnsi"/>
          <w:sz w:val="22"/>
        </w:rPr>
        <w:t xml:space="preserve">wysoki </w:t>
      </w:r>
      <w:r w:rsidR="005862EA">
        <w:rPr>
          <w:rFonts w:asciiTheme="minorHAnsi" w:hAnsiTheme="minorHAnsi"/>
          <w:sz w:val="22"/>
        </w:rPr>
        <w:t>poziom wykrywalności, pokazujący, iż ponad 90</w:t>
      </w:r>
      <w:r w:rsidR="00BB0992">
        <w:rPr>
          <w:rFonts w:asciiTheme="minorHAnsi" w:hAnsiTheme="minorHAnsi"/>
          <w:sz w:val="22"/>
        </w:rPr>
        <w:t xml:space="preserve">% przestępstw gospodarczych stwierdzonych zostaje wykrytych. </w:t>
      </w:r>
    </w:p>
    <w:p w:rsidR="00147C14" w:rsidRPr="00563EF2" w:rsidRDefault="00147C14" w:rsidP="00FD7676">
      <w:pPr>
        <w:pStyle w:val="Legenda"/>
        <w:keepNext/>
        <w:spacing w:line="276" w:lineRule="auto"/>
        <w:rPr>
          <w:rFonts w:asciiTheme="minorHAnsi" w:hAnsiTheme="minorHAnsi"/>
          <w:sz w:val="22"/>
          <w:szCs w:val="22"/>
        </w:rPr>
      </w:pPr>
      <w:r w:rsidRPr="007F6382">
        <w:rPr>
          <w:rFonts w:asciiTheme="minorHAnsi" w:hAnsiTheme="minorHAnsi"/>
          <w:sz w:val="20"/>
          <w:szCs w:val="22"/>
        </w:rPr>
        <w:t xml:space="preserve">Wykres </w:t>
      </w:r>
      <w:r w:rsidR="005A0296" w:rsidRPr="007F6382">
        <w:rPr>
          <w:rFonts w:asciiTheme="minorHAnsi" w:hAnsiTheme="minorHAnsi"/>
          <w:sz w:val="20"/>
          <w:szCs w:val="22"/>
        </w:rPr>
        <w:fldChar w:fldCharType="begin"/>
      </w:r>
      <w:r w:rsidR="005A0296" w:rsidRPr="007F6382">
        <w:rPr>
          <w:rFonts w:asciiTheme="minorHAnsi" w:hAnsiTheme="minorHAnsi"/>
          <w:sz w:val="20"/>
          <w:szCs w:val="22"/>
        </w:rPr>
        <w:instrText xml:space="preserve"> SEQ Wykres \* ARABIC </w:instrText>
      </w:r>
      <w:r w:rsidR="005A0296" w:rsidRPr="007F6382">
        <w:rPr>
          <w:rFonts w:asciiTheme="minorHAnsi" w:hAnsiTheme="minorHAnsi"/>
          <w:sz w:val="20"/>
          <w:szCs w:val="22"/>
        </w:rPr>
        <w:fldChar w:fldCharType="separate"/>
      </w:r>
      <w:r w:rsidR="007B2916">
        <w:rPr>
          <w:rFonts w:asciiTheme="minorHAnsi" w:hAnsiTheme="minorHAnsi"/>
          <w:noProof/>
          <w:sz w:val="20"/>
          <w:szCs w:val="22"/>
        </w:rPr>
        <w:t>14</w:t>
      </w:r>
      <w:r w:rsidR="005A0296" w:rsidRPr="007F6382">
        <w:rPr>
          <w:rFonts w:asciiTheme="minorHAnsi" w:hAnsiTheme="minorHAnsi"/>
          <w:sz w:val="20"/>
          <w:szCs w:val="22"/>
        </w:rPr>
        <w:fldChar w:fldCharType="end"/>
      </w:r>
      <w:r w:rsidRPr="007F6382">
        <w:rPr>
          <w:rFonts w:asciiTheme="minorHAnsi" w:hAnsiTheme="minorHAnsi"/>
          <w:sz w:val="20"/>
          <w:szCs w:val="22"/>
        </w:rPr>
        <w:t>. Dane dotyczące liczby stwierdzonych przestępstw i ich wykrywalności w latach 2008-2013.</w:t>
      </w:r>
    </w:p>
    <w:p w:rsidR="00147C14" w:rsidRPr="00563EF2" w:rsidRDefault="00147C14" w:rsidP="00FD7676">
      <w:pPr>
        <w:rPr>
          <w:rFonts w:asciiTheme="minorHAnsi" w:hAnsiTheme="minorHAnsi"/>
          <w:sz w:val="22"/>
        </w:rPr>
      </w:pPr>
      <w:r w:rsidRPr="00563EF2">
        <w:rPr>
          <w:rFonts w:asciiTheme="minorHAnsi" w:hAnsiTheme="minorHAnsi"/>
          <w:noProof/>
          <w:sz w:val="22"/>
          <w:lang w:eastAsia="pl-PL"/>
        </w:rPr>
        <w:drawing>
          <wp:inline distT="0" distB="0" distL="0" distR="0" wp14:anchorId="7A643884" wp14:editId="71D90A0D">
            <wp:extent cx="5760720" cy="2819400"/>
            <wp:effectExtent l="0" t="0" r="11430" b="0"/>
            <wp:docPr id="3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7C14" w:rsidRDefault="00147C14"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Prezentacja roczna 2013 r.,</w:t>
      </w:r>
      <w:r w:rsidR="0033475A" w:rsidRPr="00A50D78">
        <w:rPr>
          <w:rFonts w:asciiTheme="minorHAnsi" w:hAnsiTheme="minorHAnsi"/>
          <w:sz w:val="20"/>
        </w:rPr>
        <w:t xml:space="preserve"> Komenda Miejska Policji w </w:t>
      </w:r>
      <w:r w:rsidR="008B3862">
        <w:rPr>
          <w:rFonts w:asciiTheme="minorHAnsi" w:hAnsiTheme="minorHAnsi"/>
          <w:sz w:val="20"/>
        </w:rPr>
        <w:t>Legnicy.</w:t>
      </w:r>
    </w:p>
    <w:p w:rsidR="008B3862" w:rsidRPr="008B3862" w:rsidRDefault="008B3862" w:rsidP="00FD7676">
      <w:pPr>
        <w:rPr>
          <w:rFonts w:asciiTheme="minorHAnsi" w:hAnsiTheme="minorHAnsi"/>
          <w:sz w:val="20"/>
        </w:rPr>
      </w:pPr>
    </w:p>
    <w:p w:rsidR="008B3862" w:rsidRDefault="00F3134F" w:rsidP="00FD7676">
      <w:pPr>
        <w:rPr>
          <w:rFonts w:asciiTheme="minorHAnsi" w:hAnsiTheme="minorHAnsi"/>
          <w:sz w:val="22"/>
        </w:rPr>
      </w:pPr>
      <w:r>
        <w:rPr>
          <w:rFonts w:asciiTheme="minorHAnsi" w:hAnsiTheme="minorHAnsi"/>
          <w:sz w:val="22"/>
        </w:rPr>
        <w:t>Liczb</w:t>
      </w:r>
      <w:r w:rsidR="00A41138">
        <w:rPr>
          <w:rFonts w:asciiTheme="minorHAnsi" w:hAnsiTheme="minorHAnsi"/>
          <w:sz w:val="22"/>
        </w:rPr>
        <w:t>a</w:t>
      </w:r>
      <w:r>
        <w:rPr>
          <w:rFonts w:asciiTheme="minorHAnsi" w:hAnsiTheme="minorHAnsi"/>
          <w:sz w:val="22"/>
        </w:rPr>
        <w:t xml:space="preserve"> stwierdzonych przestępstw kryminalnych w </w:t>
      </w:r>
      <w:r w:rsidR="00BB0992">
        <w:rPr>
          <w:rFonts w:asciiTheme="minorHAnsi" w:hAnsiTheme="minorHAnsi"/>
          <w:sz w:val="22"/>
        </w:rPr>
        <w:t>latach 2008-2013 wzrosła o 26%, a ich wykrywalność oscylowała wokół poziomu 62%.</w:t>
      </w:r>
      <w:r w:rsidR="00731D5A">
        <w:rPr>
          <w:rFonts w:asciiTheme="minorHAnsi" w:hAnsiTheme="minorHAnsi"/>
          <w:sz w:val="22"/>
        </w:rPr>
        <w:t xml:space="preserve"> W latach 2011-2013 p</w:t>
      </w:r>
      <w:r>
        <w:rPr>
          <w:rFonts w:asciiTheme="minorHAnsi" w:hAnsiTheme="minorHAnsi"/>
          <w:sz w:val="22"/>
        </w:rPr>
        <w:t>rzestępstwa wpływające na poczucie bezpieczeństwa mieszkańcó</w:t>
      </w:r>
      <w:r w:rsidR="00BB0992">
        <w:rPr>
          <w:rFonts w:asciiTheme="minorHAnsi" w:hAnsiTheme="minorHAnsi"/>
          <w:sz w:val="22"/>
        </w:rPr>
        <w:t>w tj. kradzieże oraz przestępstwa z </w:t>
      </w:r>
      <w:r>
        <w:rPr>
          <w:rFonts w:asciiTheme="minorHAnsi" w:hAnsiTheme="minorHAnsi"/>
          <w:sz w:val="22"/>
        </w:rPr>
        <w:t>użyciem przemocy fizycznej</w:t>
      </w:r>
      <w:r w:rsidR="00BB0992">
        <w:rPr>
          <w:rFonts w:asciiTheme="minorHAnsi" w:hAnsiTheme="minorHAnsi"/>
          <w:sz w:val="22"/>
        </w:rPr>
        <w:t xml:space="preserve"> (bó</w:t>
      </w:r>
      <w:r w:rsidR="00731D5A">
        <w:rPr>
          <w:rFonts w:asciiTheme="minorHAnsi" w:hAnsiTheme="minorHAnsi"/>
          <w:sz w:val="22"/>
        </w:rPr>
        <w:t>jki, pobicia, rozboje) nie wykazywały jednorodnego trendu: znacznie wzrosła liczba kradzieży</w:t>
      </w:r>
      <w:r w:rsidR="00524332" w:rsidRPr="00563EF2">
        <w:rPr>
          <w:rFonts w:asciiTheme="minorHAnsi" w:hAnsiTheme="minorHAnsi"/>
          <w:sz w:val="22"/>
        </w:rPr>
        <w:t xml:space="preserve">, </w:t>
      </w:r>
      <w:r w:rsidR="00731D5A">
        <w:rPr>
          <w:rFonts w:asciiTheme="minorHAnsi" w:hAnsiTheme="minorHAnsi"/>
          <w:sz w:val="22"/>
        </w:rPr>
        <w:t xml:space="preserve">z kolei liczba </w:t>
      </w:r>
      <w:r w:rsidR="00524332" w:rsidRPr="00563EF2">
        <w:rPr>
          <w:rFonts w:asciiTheme="minorHAnsi" w:hAnsiTheme="minorHAnsi"/>
          <w:sz w:val="22"/>
        </w:rPr>
        <w:t>przestępstw o ch</w:t>
      </w:r>
      <w:r w:rsidR="00731D5A">
        <w:rPr>
          <w:rFonts w:asciiTheme="minorHAnsi" w:hAnsiTheme="minorHAnsi"/>
          <w:sz w:val="22"/>
        </w:rPr>
        <w:t xml:space="preserve">arakterze rozbójniczym, bójek, </w:t>
      </w:r>
      <w:r w:rsidR="00524332" w:rsidRPr="00563EF2">
        <w:rPr>
          <w:rFonts w:asciiTheme="minorHAnsi" w:hAnsiTheme="minorHAnsi"/>
          <w:sz w:val="22"/>
        </w:rPr>
        <w:t>pobić oraz uszkodzeń mienia</w:t>
      </w:r>
      <w:r w:rsidR="00731D5A">
        <w:rPr>
          <w:rFonts w:asciiTheme="minorHAnsi" w:hAnsiTheme="minorHAnsi"/>
          <w:sz w:val="22"/>
        </w:rPr>
        <w:t xml:space="preserve"> spadła</w:t>
      </w:r>
      <w:r w:rsidR="00524332" w:rsidRPr="00563EF2">
        <w:rPr>
          <w:rFonts w:asciiTheme="minorHAnsi" w:hAnsiTheme="minorHAnsi"/>
          <w:sz w:val="22"/>
        </w:rPr>
        <w:t>. Liczba stwierdzonych przestępstw narkotykowych po początkowym spad</w:t>
      </w:r>
      <w:r w:rsidR="00D11B42">
        <w:rPr>
          <w:rFonts w:asciiTheme="minorHAnsi" w:hAnsiTheme="minorHAnsi"/>
          <w:sz w:val="22"/>
        </w:rPr>
        <w:t>ku w 2012 r. ponownie wzrosła w </w:t>
      </w:r>
      <w:r w:rsidR="00524332" w:rsidRPr="00563EF2">
        <w:rPr>
          <w:rFonts w:asciiTheme="minorHAnsi" w:hAnsiTheme="minorHAnsi"/>
          <w:sz w:val="22"/>
        </w:rPr>
        <w:t>roku 2013 do 329 przypadków.</w:t>
      </w:r>
    </w:p>
    <w:p w:rsidR="00731D5A" w:rsidRPr="00563EF2" w:rsidRDefault="00731D5A" w:rsidP="00FD7676">
      <w:pPr>
        <w:rPr>
          <w:rFonts w:asciiTheme="minorHAnsi" w:hAnsiTheme="minorHAnsi"/>
          <w:sz w:val="22"/>
        </w:rPr>
      </w:pPr>
    </w:p>
    <w:p w:rsidR="00524332" w:rsidRPr="007F6382" w:rsidRDefault="00524332" w:rsidP="00FD7676">
      <w:pPr>
        <w:pStyle w:val="Legenda"/>
        <w:keepNext/>
        <w:spacing w:line="276" w:lineRule="auto"/>
        <w:rPr>
          <w:rFonts w:asciiTheme="minorHAnsi" w:hAnsiTheme="minorHAnsi"/>
          <w:sz w:val="20"/>
        </w:rPr>
      </w:pPr>
      <w:r w:rsidRPr="007F6382">
        <w:rPr>
          <w:rFonts w:asciiTheme="minorHAnsi" w:hAnsiTheme="minorHAnsi"/>
          <w:sz w:val="20"/>
        </w:rPr>
        <w:t xml:space="preserve">Tabela </w:t>
      </w:r>
      <w:r w:rsidR="00017794" w:rsidRPr="007F6382">
        <w:rPr>
          <w:rFonts w:asciiTheme="minorHAnsi" w:hAnsiTheme="minorHAnsi"/>
          <w:sz w:val="20"/>
        </w:rPr>
        <w:fldChar w:fldCharType="begin"/>
      </w:r>
      <w:r w:rsidRPr="007F6382">
        <w:rPr>
          <w:rFonts w:asciiTheme="minorHAnsi" w:hAnsiTheme="minorHAnsi"/>
          <w:sz w:val="20"/>
        </w:rPr>
        <w:instrText xml:space="preserve"> SEQ Tabela \* ARABIC </w:instrText>
      </w:r>
      <w:r w:rsidR="00017794" w:rsidRPr="007F6382">
        <w:rPr>
          <w:rFonts w:asciiTheme="minorHAnsi" w:hAnsiTheme="minorHAnsi"/>
          <w:sz w:val="20"/>
        </w:rPr>
        <w:fldChar w:fldCharType="separate"/>
      </w:r>
      <w:r w:rsidR="007B2916">
        <w:rPr>
          <w:rFonts w:asciiTheme="minorHAnsi" w:hAnsiTheme="minorHAnsi"/>
          <w:noProof/>
          <w:sz w:val="20"/>
        </w:rPr>
        <w:t>21</w:t>
      </w:r>
      <w:r w:rsidR="00017794" w:rsidRPr="007F6382">
        <w:rPr>
          <w:rFonts w:asciiTheme="minorHAnsi" w:hAnsiTheme="minorHAnsi"/>
          <w:sz w:val="20"/>
        </w:rPr>
        <w:fldChar w:fldCharType="end"/>
      </w:r>
      <w:r w:rsidRPr="007F6382">
        <w:rPr>
          <w:rFonts w:asciiTheme="minorHAnsi" w:hAnsiTheme="minorHAnsi"/>
          <w:sz w:val="20"/>
        </w:rPr>
        <w:t>. Popełnione przestępstwa i wykrywalność wg typów</w:t>
      </w:r>
      <w:r w:rsidRPr="007F6382">
        <w:rPr>
          <w:rFonts w:asciiTheme="minorHAnsi" w:hAnsiTheme="minorHAnsi"/>
          <w:noProof/>
          <w:sz w:val="20"/>
        </w:rPr>
        <w:t xml:space="preserve"> w latach 2011-2013</w:t>
      </w:r>
    </w:p>
    <w:tbl>
      <w:tblPr>
        <w:tblW w:w="8440" w:type="dxa"/>
        <w:tblCellMar>
          <w:left w:w="0" w:type="dxa"/>
          <w:right w:w="0" w:type="dxa"/>
        </w:tblCellMar>
        <w:tblLook w:val="04A0" w:firstRow="1" w:lastRow="0" w:firstColumn="1" w:lastColumn="0" w:noHBand="0" w:noVBand="1"/>
      </w:tblPr>
      <w:tblGrid>
        <w:gridCol w:w="2507"/>
        <w:gridCol w:w="983"/>
        <w:gridCol w:w="982"/>
        <w:gridCol w:w="1002"/>
        <w:gridCol w:w="982"/>
        <w:gridCol w:w="982"/>
        <w:gridCol w:w="1002"/>
      </w:tblGrid>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147C14" w:rsidRPr="00C640C5" w:rsidRDefault="00147C14" w:rsidP="00FD7676">
            <w:pPr>
              <w:rPr>
                <w:rFonts w:asciiTheme="minorHAnsi" w:hAnsiTheme="minorHAnsi"/>
                <w:sz w:val="20"/>
              </w:rPr>
            </w:pPr>
          </w:p>
        </w:tc>
        <w:tc>
          <w:tcPr>
            <w:tcW w:w="2967" w:type="dxa"/>
            <w:gridSpan w:val="3"/>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Stwierdzone </w:t>
            </w:r>
          </w:p>
        </w:tc>
        <w:tc>
          <w:tcPr>
            <w:tcW w:w="2966" w:type="dxa"/>
            <w:gridSpan w:val="3"/>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Wykrywalność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Typ przestępstwa </w:t>
            </w:r>
          </w:p>
        </w:tc>
        <w:tc>
          <w:tcPr>
            <w:tcW w:w="983"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2011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2012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2013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2011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2012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2013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Kradzież mienia </w:t>
            </w:r>
          </w:p>
        </w:tc>
        <w:tc>
          <w:tcPr>
            <w:tcW w:w="983"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1 636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2 212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1 905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43,8%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50,7%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47,9%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Kradzież z włamaniem </w:t>
            </w:r>
          </w:p>
        </w:tc>
        <w:tc>
          <w:tcPr>
            <w:tcW w:w="983"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1 132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1 371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1 679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40,1%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43,3%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54,1%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Kradzież samochodu </w:t>
            </w:r>
          </w:p>
        </w:tc>
        <w:tc>
          <w:tcPr>
            <w:tcW w:w="983"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72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82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103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13,7%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16,5%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22,3%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Rozbój; wymuszenie rozbójnicze </w:t>
            </w:r>
          </w:p>
        </w:tc>
        <w:tc>
          <w:tcPr>
            <w:tcW w:w="983"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273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307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262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80,3%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87,1%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85,2%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Bójki i pobicia </w:t>
            </w:r>
          </w:p>
        </w:tc>
        <w:tc>
          <w:tcPr>
            <w:tcW w:w="983"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53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41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27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84,9%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80,5%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78,6%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Uszkodzenia mienia </w:t>
            </w:r>
          </w:p>
        </w:tc>
        <w:tc>
          <w:tcPr>
            <w:tcW w:w="983"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466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458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416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40,3% </w:t>
            </w:r>
          </w:p>
        </w:tc>
        <w:tc>
          <w:tcPr>
            <w:tcW w:w="98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29,3% </w:t>
            </w:r>
          </w:p>
        </w:tc>
        <w:tc>
          <w:tcPr>
            <w:tcW w:w="1002"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38,7% </w:t>
            </w:r>
          </w:p>
        </w:tc>
      </w:tr>
      <w:tr w:rsidR="00147C14" w:rsidRPr="00C640C5" w:rsidTr="00524332">
        <w:trPr>
          <w:trHeight w:val="255"/>
        </w:trPr>
        <w:tc>
          <w:tcPr>
            <w:tcW w:w="2507"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Przestępczość narkotykowa </w:t>
            </w:r>
          </w:p>
        </w:tc>
        <w:tc>
          <w:tcPr>
            <w:tcW w:w="983"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341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301 </w:t>
            </w: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329 </w:t>
            </w: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147C14" w:rsidRPr="00C640C5" w:rsidRDefault="00147C14" w:rsidP="00FD7676">
            <w:pPr>
              <w:rPr>
                <w:rFonts w:asciiTheme="minorHAnsi" w:hAnsiTheme="minorHAnsi"/>
                <w:sz w:val="20"/>
              </w:rPr>
            </w:pPr>
          </w:p>
        </w:tc>
        <w:tc>
          <w:tcPr>
            <w:tcW w:w="98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147C14" w:rsidRPr="00C640C5" w:rsidRDefault="00147C14" w:rsidP="00FD7676">
            <w:pPr>
              <w:rPr>
                <w:rFonts w:asciiTheme="minorHAnsi" w:hAnsiTheme="minorHAnsi"/>
                <w:sz w:val="20"/>
              </w:rPr>
            </w:pPr>
          </w:p>
        </w:tc>
        <w:tc>
          <w:tcPr>
            <w:tcW w:w="1002"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147C14" w:rsidRPr="00C640C5" w:rsidRDefault="00147C14" w:rsidP="00FD7676">
            <w:pPr>
              <w:rPr>
                <w:rFonts w:asciiTheme="minorHAnsi" w:hAnsiTheme="minorHAnsi"/>
                <w:sz w:val="20"/>
              </w:rPr>
            </w:pPr>
          </w:p>
        </w:tc>
      </w:tr>
    </w:tbl>
    <w:p w:rsidR="00524332" w:rsidRDefault="00524332"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Prezentacja roczna 2013 r.,</w:t>
      </w:r>
      <w:r w:rsidRPr="00A50D78">
        <w:rPr>
          <w:rFonts w:asciiTheme="minorHAnsi" w:hAnsiTheme="minorHAnsi"/>
          <w:sz w:val="20"/>
        </w:rPr>
        <w:t xml:space="preserve"> Komenda Miejska Pol</w:t>
      </w:r>
      <w:r w:rsidR="0033475A" w:rsidRPr="00A50D78">
        <w:rPr>
          <w:rFonts w:asciiTheme="minorHAnsi" w:hAnsiTheme="minorHAnsi"/>
          <w:sz w:val="20"/>
        </w:rPr>
        <w:t>icji w </w:t>
      </w:r>
      <w:r w:rsidR="008B3862">
        <w:rPr>
          <w:rFonts w:asciiTheme="minorHAnsi" w:hAnsiTheme="minorHAnsi"/>
          <w:sz w:val="20"/>
        </w:rPr>
        <w:t>Legnicy.</w:t>
      </w:r>
    </w:p>
    <w:p w:rsidR="00D76525" w:rsidRPr="00A50D78" w:rsidRDefault="00D76525" w:rsidP="00FD7676">
      <w:pPr>
        <w:rPr>
          <w:rFonts w:asciiTheme="minorHAnsi" w:hAnsiTheme="minorHAnsi"/>
          <w:sz w:val="20"/>
        </w:rPr>
      </w:pPr>
    </w:p>
    <w:p w:rsidR="00E761A3" w:rsidRDefault="00D76525" w:rsidP="00E761A3">
      <w:pPr>
        <w:rPr>
          <w:rFonts w:asciiTheme="minorHAnsi" w:hAnsiTheme="minorHAnsi"/>
          <w:sz w:val="20"/>
        </w:rPr>
      </w:pPr>
      <w:r>
        <w:rPr>
          <w:rFonts w:asciiTheme="minorHAnsi" w:hAnsiTheme="minorHAnsi"/>
          <w:sz w:val="22"/>
        </w:rPr>
        <w:t>Z</w:t>
      </w:r>
      <w:r w:rsidR="00524332" w:rsidRPr="00563EF2">
        <w:rPr>
          <w:rFonts w:asciiTheme="minorHAnsi" w:hAnsiTheme="minorHAnsi"/>
          <w:sz w:val="22"/>
        </w:rPr>
        <w:t>nacznie wzrosła liczb</w:t>
      </w:r>
      <w:r w:rsidR="00876146">
        <w:rPr>
          <w:rFonts w:asciiTheme="minorHAnsi" w:hAnsiTheme="minorHAnsi"/>
          <w:sz w:val="22"/>
        </w:rPr>
        <w:t>a</w:t>
      </w:r>
      <w:r w:rsidR="00524332" w:rsidRPr="00563EF2">
        <w:rPr>
          <w:rFonts w:asciiTheme="minorHAnsi" w:hAnsiTheme="minorHAnsi"/>
          <w:sz w:val="22"/>
        </w:rPr>
        <w:t xml:space="preserve"> przestępstw popełnianych przez nieletnich</w:t>
      </w:r>
      <w:r w:rsidR="00227C43" w:rsidRPr="00563EF2">
        <w:rPr>
          <w:rFonts w:asciiTheme="minorHAnsi" w:hAnsiTheme="minorHAnsi"/>
          <w:sz w:val="22"/>
        </w:rPr>
        <w:t>.</w:t>
      </w:r>
      <w:r w:rsidR="00524332" w:rsidRPr="00563EF2">
        <w:rPr>
          <w:rFonts w:asciiTheme="minorHAnsi" w:hAnsiTheme="minorHAnsi"/>
          <w:sz w:val="22"/>
        </w:rPr>
        <w:t xml:space="preserve"> Pomiędzy rokiem </w:t>
      </w:r>
      <w:r w:rsidR="00227C43" w:rsidRPr="00563EF2">
        <w:rPr>
          <w:rFonts w:asciiTheme="minorHAnsi" w:hAnsiTheme="minorHAnsi"/>
          <w:sz w:val="22"/>
        </w:rPr>
        <w:t>2011, a 2013</w:t>
      </w:r>
      <w:r w:rsidR="00524332" w:rsidRPr="00563EF2">
        <w:rPr>
          <w:rFonts w:asciiTheme="minorHAnsi" w:hAnsiTheme="minorHAnsi"/>
          <w:sz w:val="22"/>
        </w:rPr>
        <w:t xml:space="preserve"> liczba kradzieży z włamaniem </w:t>
      </w:r>
      <w:r w:rsidR="00227C43" w:rsidRPr="00563EF2">
        <w:rPr>
          <w:rFonts w:asciiTheme="minorHAnsi" w:hAnsiTheme="minorHAnsi"/>
          <w:sz w:val="22"/>
        </w:rPr>
        <w:t>oraz przestępstw narkotykowych dokonanych przez osoby nieletnie</w:t>
      </w:r>
      <w:r w:rsidR="00524332" w:rsidRPr="00563EF2">
        <w:rPr>
          <w:rFonts w:asciiTheme="minorHAnsi" w:hAnsiTheme="minorHAnsi"/>
          <w:sz w:val="22"/>
        </w:rPr>
        <w:t xml:space="preserve"> wzrosła niemal dwukrotnie</w:t>
      </w:r>
      <w:r w:rsidR="00227C43" w:rsidRPr="00563EF2">
        <w:rPr>
          <w:rFonts w:asciiTheme="minorHAnsi" w:hAnsiTheme="minorHAnsi"/>
          <w:sz w:val="22"/>
        </w:rPr>
        <w:t>.</w:t>
      </w:r>
      <w:r w:rsidR="00BA5B58">
        <w:rPr>
          <w:rFonts w:asciiTheme="minorHAnsi" w:hAnsiTheme="minorHAnsi"/>
          <w:sz w:val="22"/>
        </w:rPr>
        <w:t xml:space="preserve"> Wpływ na wzrost liczby stwierdzonych przestępstw wśród nieletnich ma rozbudowa systemu m</w:t>
      </w:r>
      <w:r w:rsidR="00DC0169">
        <w:rPr>
          <w:rFonts w:asciiTheme="minorHAnsi" w:hAnsiTheme="minorHAnsi"/>
          <w:sz w:val="22"/>
        </w:rPr>
        <w:t>onitoringu wizyjnego w szkołach, a także</w:t>
      </w:r>
      <w:r w:rsidR="00BA5B58">
        <w:rPr>
          <w:rFonts w:asciiTheme="minorHAnsi" w:hAnsiTheme="minorHAnsi"/>
          <w:sz w:val="22"/>
        </w:rPr>
        <w:t xml:space="preserve"> rozwijająca się współpraca pomiędzy szkołami i placówkami wychowawczymi, a Policją i Strażą M</w:t>
      </w:r>
      <w:r w:rsidR="00DC0169">
        <w:rPr>
          <w:rFonts w:asciiTheme="minorHAnsi" w:hAnsiTheme="minorHAnsi"/>
          <w:sz w:val="22"/>
        </w:rPr>
        <w:t>iejską, zapobiegająca powstawaniu patologii wśród młodzieży szkolnej.</w:t>
      </w:r>
      <w:r w:rsidR="00227C43" w:rsidRPr="00563EF2">
        <w:rPr>
          <w:rFonts w:asciiTheme="minorHAnsi" w:hAnsiTheme="minorHAnsi"/>
          <w:sz w:val="22"/>
        </w:rPr>
        <w:t xml:space="preserve"> </w:t>
      </w:r>
      <w:r w:rsidR="00E761A3">
        <w:rPr>
          <w:rFonts w:asciiTheme="minorHAnsi" w:hAnsiTheme="minorHAnsi"/>
          <w:sz w:val="22"/>
        </w:rPr>
        <w:t>L</w:t>
      </w:r>
      <w:r w:rsidR="00227C43" w:rsidRPr="00563EF2">
        <w:rPr>
          <w:rFonts w:asciiTheme="minorHAnsi" w:hAnsiTheme="minorHAnsi"/>
          <w:sz w:val="22"/>
        </w:rPr>
        <w:t>iczba popełnianych rozbojów i wymuszeń</w:t>
      </w:r>
      <w:r w:rsidR="00E761A3">
        <w:rPr>
          <w:rFonts w:asciiTheme="minorHAnsi" w:hAnsiTheme="minorHAnsi"/>
          <w:sz w:val="22"/>
        </w:rPr>
        <w:t xml:space="preserve"> po sporym wzroście w 2012 r. (228 przypadków) w 2013 r. osiągnęła poziom zbliżony do 2011 r. wynosząc 185. </w:t>
      </w:r>
      <w:r w:rsidR="00227C43" w:rsidRPr="00563EF2">
        <w:rPr>
          <w:rFonts w:asciiTheme="minorHAnsi" w:hAnsiTheme="minorHAnsi"/>
          <w:sz w:val="22"/>
        </w:rPr>
        <w:t xml:space="preserve"> </w:t>
      </w:r>
      <w:r w:rsidR="00E761A3">
        <w:rPr>
          <w:rFonts w:asciiTheme="minorHAnsi" w:hAnsiTheme="minorHAnsi"/>
          <w:sz w:val="22"/>
        </w:rPr>
        <w:t xml:space="preserve">W ostatnich latach odnotowano także </w:t>
      </w:r>
      <w:r w:rsidR="00E761A3" w:rsidRPr="00E761A3">
        <w:rPr>
          <w:rFonts w:asciiTheme="minorHAnsi" w:hAnsiTheme="minorHAnsi"/>
          <w:sz w:val="22"/>
        </w:rPr>
        <w:t xml:space="preserve">spadek </w:t>
      </w:r>
      <w:r w:rsidR="00E761A3">
        <w:rPr>
          <w:rFonts w:asciiTheme="minorHAnsi" w:hAnsiTheme="minorHAnsi"/>
          <w:sz w:val="22"/>
        </w:rPr>
        <w:t>przestępstw popełnianych przez nieletnich z tytułu pobić i bójek.</w:t>
      </w:r>
    </w:p>
    <w:p w:rsidR="00731D5A" w:rsidRDefault="00731D5A" w:rsidP="00E761A3">
      <w:pPr>
        <w:rPr>
          <w:rFonts w:asciiTheme="minorHAnsi" w:hAnsiTheme="minorHAnsi"/>
          <w:sz w:val="20"/>
        </w:rPr>
      </w:pPr>
    </w:p>
    <w:p w:rsidR="00524332" w:rsidRPr="00E761A3" w:rsidRDefault="00524332" w:rsidP="00E761A3">
      <w:pPr>
        <w:rPr>
          <w:rFonts w:asciiTheme="minorHAnsi" w:hAnsiTheme="minorHAnsi"/>
          <w:i/>
          <w:iCs/>
          <w:color w:val="44546A" w:themeColor="text2"/>
          <w:sz w:val="20"/>
          <w:szCs w:val="18"/>
        </w:rPr>
      </w:pPr>
      <w:r w:rsidRPr="00E761A3">
        <w:rPr>
          <w:rFonts w:asciiTheme="minorHAnsi" w:hAnsiTheme="minorHAnsi"/>
          <w:i/>
          <w:iCs/>
          <w:color w:val="44546A" w:themeColor="text2"/>
          <w:sz w:val="20"/>
          <w:szCs w:val="18"/>
        </w:rPr>
        <w:t xml:space="preserve">Tabela </w:t>
      </w:r>
      <w:r w:rsidR="00017794" w:rsidRPr="00E761A3">
        <w:rPr>
          <w:rFonts w:asciiTheme="minorHAnsi" w:hAnsiTheme="minorHAnsi"/>
          <w:i/>
          <w:iCs/>
          <w:color w:val="44546A" w:themeColor="text2"/>
          <w:sz w:val="20"/>
          <w:szCs w:val="18"/>
        </w:rPr>
        <w:fldChar w:fldCharType="begin"/>
      </w:r>
      <w:r w:rsidRPr="00E761A3">
        <w:rPr>
          <w:rFonts w:asciiTheme="minorHAnsi" w:hAnsiTheme="minorHAnsi"/>
          <w:i/>
          <w:iCs/>
          <w:color w:val="44546A" w:themeColor="text2"/>
          <w:sz w:val="20"/>
          <w:szCs w:val="18"/>
        </w:rPr>
        <w:instrText xml:space="preserve"> SEQ Tabela \* ARABIC </w:instrText>
      </w:r>
      <w:r w:rsidR="00017794" w:rsidRPr="00E761A3">
        <w:rPr>
          <w:rFonts w:asciiTheme="minorHAnsi" w:hAnsiTheme="minorHAnsi"/>
          <w:i/>
          <w:iCs/>
          <w:color w:val="44546A" w:themeColor="text2"/>
          <w:sz w:val="20"/>
          <w:szCs w:val="18"/>
        </w:rPr>
        <w:fldChar w:fldCharType="separate"/>
      </w:r>
      <w:r w:rsidR="007B2916">
        <w:rPr>
          <w:rFonts w:asciiTheme="minorHAnsi" w:hAnsiTheme="minorHAnsi"/>
          <w:i/>
          <w:iCs/>
          <w:noProof/>
          <w:color w:val="44546A" w:themeColor="text2"/>
          <w:sz w:val="20"/>
          <w:szCs w:val="18"/>
        </w:rPr>
        <w:t>22</w:t>
      </w:r>
      <w:r w:rsidR="00017794" w:rsidRPr="00E761A3">
        <w:rPr>
          <w:rFonts w:asciiTheme="minorHAnsi" w:hAnsiTheme="minorHAnsi"/>
          <w:i/>
          <w:iCs/>
          <w:color w:val="44546A" w:themeColor="text2"/>
          <w:sz w:val="20"/>
          <w:szCs w:val="18"/>
        </w:rPr>
        <w:fldChar w:fldCharType="end"/>
      </w:r>
      <w:r w:rsidRPr="00E761A3">
        <w:rPr>
          <w:rFonts w:asciiTheme="minorHAnsi" w:hAnsiTheme="minorHAnsi"/>
          <w:i/>
          <w:iCs/>
          <w:color w:val="44546A" w:themeColor="text2"/>
          <w:sz w:val="20"/>
          <w:szCs w:val="18"/>
        </w:rPr>
        <w:t>. Popełnione przestępstwa przez nieletnich w latach 2011-2013.</w:t>
      </w:r>
    </w:p>
    <w:tbl>
      <w:tblPr>
        <w:tblW w:w="4960" w:type="dxa"/>
        <w:tblCellMar>
          <w:left w:w="0" w:type="dxa"/>
          <w:right w:w="0" w:type="dxa"/>
        </w:tblCellMar>
        <w:tblLook w:val="04A0" w:firstRow="1" w:lastRow="0" w:firstColumn="1" w:lastColumn="0" w:noHBand="0" w:noVBand="1"/>
      </w:tblPr>
      <w:tblGrid>
        <w:gridCol w:w="1880"/>
        <w:gridCol w:w="880"/>
        <w:gridCol w:w="1120"/>
        <w:gridCol w:w="1080"/>
      </w:tblGrid>
      <w:tr w:rsidR="00147C14" w:rsidRPr="00C640C5" w:rsidTr="00147C14">
        <w:trPr>
          <w:trHeight w:val="255"/>
        </w:trPr>
        <w:tc>
          <w:tcPr>
            <w:tcW w:w="1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Typ przestępstwa </w:t>
            </w:r>
          </w:p>
        </w:tc>
        <w:tc>
          <w:tcPr>
            <w:tcW w:w="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2011 </w:t>
            </w:r>
          </w:p>
        </w:tc>
        <w:tc>
          <w:tcPr>
            <w:tcW w:w="112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2012 </w:t>
            </w:r>
          </w:p>
        </w:tc>
        <w:tc>
          <w:tcPr>
            <w:tcW w:w="10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2013 </w:t>
            </w:r>
          </w:p>
        </w:tc>
      </w:tr>
      <w:tr w:rsidR="00147C14" w:rsidRPr="00C640C5" w:rsidTr="00147C14">
        <w:trPr>
          <w:trHeight w:val="255"/>
        </w:trPr>
        <w:tc>
          <w:tcPr>
            <w:tcW w:w="18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Kradzież z włamaniem </w:t>
            </w:r>
          </w:p>
        </w:tc>
        <w:tc>
          <w:tcPr>
            <w:tcW w:w="8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543 </w:t>
            </w:r>
          </w:p>
        </w:tc>
        <w:tc>
          <w:tcPr>
            <w:tcW w:w="112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1 026 </w:t>
            </w:r>
          </w:p>
        </w:tc>
        <w:tc>
          <w:tcPr>
            <w:tcW w:w="10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1 043 </w:t>
            </w:r>
          </w:p>
        </w:tc>
      </w:tr>
      <w:tr w:rsidR="00147C14" w:rsidRPr="00C640C5" w:rsidTr="00147C14">
        <w:trPr>
          <w:trHeight w:val="255"/>
        </w:trPr>
        <w:tc>
          <w:tcPr>
            <w:tcW w:w="1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Rozbój, wymuszenie rozbójnicze </w:t>
            </w:r>
          </w:p>
        </w:tc>
        <w:tc>
          <w:tcPr>
            <w:tcW w:w="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172 </w:t>
            </w:r>
          </w:p>
        </w:tc>
        <w:tc>
          <w:tcPr>
            <w:tcW w:w="112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228 </w:t>
            </w:r>
          </w:p>
        </w:tc>
        <w:tc>
          <w:tcPr>
            <w:tcW w:w="10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185 </w:t>
            </w:r>
          </w:p>
        </w:tc>
      </w:tr>
      <w:tr w:rsidR="00147C14" w:rsidRPr="00C640C5" w:rsidTr="00147C14">
        <w:trPr>
          <w:trHeight w:val="255"/>
        </w:trPr>
        <w:tc>
          <w:tcPr>
            <w:tcW w:w="18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Przestępstwa narkotykowe </w:t>
            </w:r>
          </w:p>
        </w:tc>
        <w:tc>
          <w:tcPr>
            <w:tcW w:w="8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63 </w:t>
            </w:r>
          </w:p>
        </w:tc>
        <w:tc>
          <w:tcPr>
            <w:tcW w:w="112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62 </w:t>
            </w:r>
          </w:p>
        </w:tc>
        <w:tc>
          <w:tcPr>
            <w:tcW w:w="1080" w:type="dxa"/>
            <w:tcBorders>
              <w:top w:val="single" w:sz="8" w:space="0" w:color="4F81BD"/>
              <w:left w:val="single" w:sz="8" w:space="0" w:color="4F81BD"/>
              <w:bottom w:val="single" w:sz="8" w:space="0" w:color="4F81BD"/>
              <w:right w:val="single" w:sz="8" w:space="0" w:color="4F81BD"/>
            </w:tcBorders>
            <w:shd w:val="clear" w:color="auto" w:fill="auto"/>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128 </w:t>
            </w:r>
          </w:p>
        </w:tc>
      </w:tr>
      <w:tr w:rsidR="00147C14" w:rsidRPr="00C640C5" w:rsidTr="00147C14">
        <w:trPr>
          <w:trHeight w:val="255"/>
        </w:trPr>
        <w:tc>
          <w:tcPr>
            <w:tcW w:w="1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b/>
                <w:bCs/>
                <w:sz w:val="20"/>
              </w:rPr>
              <w:t xml:space="preserve">Bójki i pobicia </w:t>
            </w:r>
          </w:p>
        </w:tc>
        <w:tc>
          <w:tcPr>
            <w:tcW w:w="8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24 </w:t>
            </w:r>
          </w:p>
        </w:tc>
        <w:tc>
          <w:tcPr>
            <w:tcW w:w="112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18 </w:t>
            </w:r>
          </w:p>
        </w:tc>
        <w:tc>
          <w:tcPr>
            <w:tcW w:w="1080" w:type="dxa"/>
            <w:tcBorders>
              <w:top w:val="single" w:sz="8" w:space="0" w:color="4F81BD"/>
              <w:left w:val="single" w:sz="8" w:space="0" w:color="4F81BD"/>
              <w:bottom w:val="single" w:sz="8" w:space="0" w:color="4F81BD"/>
              <w:right w:val="single" w:sz="8" w:space="0" w:color="4F81BD"/>
            </w:tcBorders>
            <w:shd w:val="clear" w:color="auto" w:fill="E9EDF4"/>
            <w:tcMar>
              <w:top w:w="19" w:type="dxa"/>
              <w:left w:w="19" w:type="dxa"/>
              <w:bottom w:w="0" w:type="dxa"/>
              <w:right w:w="19" w:type="dxa"/>
            </w:tcMar>
            <w:vAlign w:val="bottom"/>
            <w:hideMark/>
          </w:tcPr>
          <w:p w:rsidR="00DB0721" w:rsidRPr="00C640C5" w:rsidRDefault="00147C14" w:rsidP="00FD7676">
            <w:pPr>
              <w:rPr>
                <w:rFonts w:asciiTheme="minorHAnsi" w:hAnsiTheme="minorHAnsi"/>
                <w:sz w:val="20"/>
              </w:rPr>
            </w:pPr>
            <w:r w:rsidRPr="00C640C5">
              <w:rPr>
                <w:rFonts w:asciiTheme="minorHAnsi" w:hAnsiTheme="minorHAnsi"/>
                <w:sz w:val="20"/>
              </w:rPr>
              <w:t xml:space="preserve">4 </w:t>
            </w:r>
          </w:p>
        </w:tc>
      </w:tr>
    </w:tbl>
    <w:p w:rsidR="00147C14" w:rsidRPr="00A50D78" w:rsidRDefault="00524332"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Prezentacja roczna 2013 r.,</w:t>
      </w:r>
      <w:r w:rsidR="00BC5391" w:rsidRPr="00A50D78">
        <w:rPr>
          <w:rFonts w:asciiTheme="minorHAnsi" w:hAnsiTheme="minorHAnsi"/>
          <w:sz w:val="20"/>
        </w:rPr>
        <w:t xml:space="preserve"> Komenda Miejska Policji w </w:t>
      </w:r>
      <w:r w:rsidR="008B3862">
        <w:rPr>
          <w:rFonts w:asciiTheme="minorHAnsi" w:hAnsiTheme="minorHAnsi"/>
          <w:sz w:val="20"/>
        </w:rPr>
        <w:t>Legnicy.</w:t>
      </w:r>
    </w:p>
    <w:p w:rsidR="00D946B8" w:rsidRDefault="00D946B8" w:rsidP="00FD7676">
      <w:pPr>
        <w:rPr>
          <w:rFonts w:asciiTheme="minorHAnsi" w:hAnsiTheme="minorHAnsi"/>
          <w:sz w:val="22"/>
        </w:rPr>
      </w:pPr>
      <w:r w:rsidRPr="00563EF2">
        <w:rPr>
          <w:rFonts w:asciiTheme="minorHAnsi" w:hAnsiTheme="minorHAnsi"/>
          <w:sz w:val="22"/>
        </w:rPr>
        <w:t>Analiza zdarzeń drogowych w latach 2007-2012 pokazuje, iż na terenie działalności Komendy Miejskiej</w:t>
      </w:r>
      <w:r w:rsidR="004F194C" w:rsidRPr="00563EF2">
        <w:rPr>
          <w:rFonts w:asciiTheme="minorHAnsi" w:hAnsiTheme="minorHAnsi"/>
          <w:sz w:val="22"/>
        </w:rPr>
        <w:t xml:space="preserve"> Policji</w:t>
      </w:r>
      <w:r w:rsidRPr="00563EF2">
        <w:rPr>
          <w:rFonts w:asciiTheme="minorHAnsi" w:hAnsiTheme="minorHAnsi"/>
          <w:sz w:val="22"/>
        </w:rPr>
        <w:t xml:space="preserve"> w Legnicy</w:t>
      </w:r>
      <w:r w:rsidR="00A41138">
        <w:rPr>
          <w:rFonts w:asciiTheme="minorHAnsi" w:hAnsiTheme="minorHAnsi"/>
          <w:sz w:val="22"/>
        </w:rPr>
        <w:t>,</w:t>
      </w:r>
      <w:r w:rsidR="004F194C" w:rsidRPr="00563EF2">
        <w:rPr>
          <w:rFonts w:asciiTheme="minorHAnsi" w:hAnsiTheme="minorHAnsi"/>
          <w:sz w:val="22"/>
        </w:rPr>
        <w:t xml:space="preserve"> po okresie wzrostu liczby zdarzeń drogowych do roku 2010 (2</w:t>
      </w:r>
      <w:r w:rsidR="005A2ECE" w:rsidRPr="00563EF2">
        <w:rPr>
          <w:rFonts w:asciiTheme="minorHAnsi" w:hAnsiTheme="minorHAnsi"/>
          <w:sz w:val="22"/>
        </w:rPr>
        <w:t xml:space="preserve"> </w:t>
      </w:r>
      <w:r w:rsidR="004F194C" w:rsidRPr="00563EF2">
        <w:rPr>
          <w:rFonts w:asciiTheme="minorHAnsi" w:hAnsiTheme="minorHAnsi"/>
          <w:sz w:val="22"/>
        </w:rPr>
        <w:t>189 zdarzeń) nastąpił spadek zdarzeń drogowych do poziomu 1</w:t>
      </w:r>
      <w:r w:rsidR="005A2ECE" w:rsidRPr="00563EF2">
        <w:rPr>
          <w:rFonts w:asciiTheme="minorHAnsi" w:hAnsiTheme="minorHAnsi"/>
          <w:sz w:val="22"/>
        </w:rPr>
        <w:t xml:space="preserve"> </w:t>
      </w:r>
      <w:r w:rsidR="004F194C" w:rsidRPr="00563EF2">
        <w:rPr>
          <w:rFonts w:asciiTheme="minorHAnsi" w:hAnsiTheme="minorHAnsi"/>
          <w:sz w:val="22"/>
        </w:rPr>
        <w:t>848  w 2012 r</w:t>
      </w:r>
      <w:r w:rsidR="00876146">
        <w:rPr>
          <w:rFonts w:asciiTheme="minorHAnsi" w:hAnsiTheme="minorHAnsi"/>
          <w:sz w:val="22"/>
        </w:rPr>
        <w:t xml:space="preserve">. </w:t>
      </w:r>
      <w:r w:rsidR="004F194C" w:rsidRPr="00563EF2">
        <w:rPr>
          <w:rFonts w:asciiTheme="minorHAnsi" w:hAnsiTheme="minorHAnsi"/>
          <w:sz w:val="22"/>
        </w:rPr>
        <w:t xml:space="preserve"> </w:t>
      </w:r>
      <w:r w:rsidR="00876146">
        <w:rPr>
          <w:rFonts w:asciiTheme="minorHAnsi" w:hAnsiTheme="minorHAnsi"/>
          <w:sz w:val="22"/>
        </w:rPr>
        <w:t>Niestety, równocześnie od roku 2010 odnotowano wzrost</w:t>
      </w:r>
      <w:r w:rsidR="004F194C" w:rsidRPr="00563EF2">
        <w:rPr>
          <w:rFonts w:asciiTheme="minorHAnsi" w:hAnsiTheme="minorHAnsi"/>
          <w:sz w:val="22"/>
        </w:rPr>
        <w:t xml:space="preserve"> udziału wypadków w ogólnej liczbie zdarzeń. </w:t>
      </w:r>
      <w:r w:rsidR="00876146">
        <w:rPr>
          <w:rFonts w:asciiTheme="minorHAnsi" w:hAnsiTheme="minorHAnsi"/>
          <w:sz w:val="22"/>
        </w:rPr>
        <w:t>Pozytywną tendencją zaobserwowaną na przestrzeni lat 2007-2012 był spadek udziału</w:t>
      </w:r>
      <w:r w:rsidR="004F194C" w:rsidRPr="00563EF2">
        <w:rPr>
          <w:rFonts w:asciiTheme="minorHAnsi" w:hAnsiTheme="minorHAnsi"/>
          <w:sz w:val="22"/>
        </w:rPr>
        <w:t xml:space="preserve"> wypadków ze skutkiem śmiertelnym w ogólnej liczbie wypadków. </w:t>
      </w:r>
    </w:p>
    <w:p w:rsidR="003157A9" w:rsidRPr="007F6382" w:rsidRDefault="003157A9"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997C36"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23</w:t>
      </w:r>
      <w:r w:rsidR="00017794" w:rsidRPr="007F6382">
        <w:rPr>
          <w:rFonts w:asciiTheme="minorHAnsi" w:hAnsiTheme="minorHAnsi"/>
          <w:sz w:val="20"/>
          <w:szCs w:val="22"/>
        </w:rPr>
        <w:fldChar w:fldCharType="end"/>
      </w:r>
      <w:r w:rsidRPr="007F6382">
        <w:rPr>
          <w:rFonts w:asciiTheme="minorHAnsi" w:hAnsiTheme="minorHAnsi"/>
          <w:sz w:val="20"/>
          <w:szCs w:val="22"/>
        </w:rPr>
        <w:t>. Analiza zdarzeń drogowych na terenie działalności Komendy Miejskiej Policji w Legnicy w latach 2007-2012</w:t>
      </w:r>
    </w:p>
    <w:p w:rsidR="001F1EDF" w:rsidRPr="00563EF2" w:rsidRDefault="001F1EDF" w:rsidP="00FD7676">
      <w:pPr>
        <w:rPr>
          <w:rFonts w:asciiTheme="minorHAnsi" w:hAnsiTheme="minorHAnsi"/>
          <w:sz w:val="22"/>
        </w:rPr>
      </w:pPr>
      <w:r w:rsidRPr="00563EF2">
        <w:rPr>
          <w:rFonts w:asciiTheme="minorHAnsi" w:hAnsiTheme="minorHAnsi"/>
          <w:noProof/>
          <w:sz w:val="22"/>
          <w:lang w:eastAsia="pl-PL"/>
        </w:rPr>
        <w:drawing>
          <wp:inline distT="0" distB="0" distL="0" distR="0" wp14:anchorId="2E63765B" wp14:editId="38C04E9C">
            <wp:extent cx="4572000" cy="2743200"/>
            <wp:effectExtent l="19050" t="0" r="19050" b="0"/>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57A9" w:rsidRPr="00A50D78" w:rsidRDefault="003157A9" w:rsidP="00FD7676">
      <w:pPr>
        <w:rPr>
          <w:rFonts w:asciiTheme="minorHAnsi" w:hAnsiTheme="minorHAnsi"/>
          <w:sz w:val="20"/>
        </w:rPr>
      </w:pPr>
      <w:r w:rsidRPr="00A50D78">
        <w:rPr>
          <w:rFonts w:asciiTheme="minorHAnsi" w:hAnsiTheme="minorHAnsi"/>
          <w:sz w:val="20"/>
        </w:rPr>
        <w:t>Źródło: Opracowanie własne na podstawie: http://www.legnica.policja.gov.pl/analiza2012.php</w:t>
      </w:r>
    </w:p>
    <w:p w:rsidR="00227C43" w:rsidRPr="00563EF2" w:rsidRDefault="00227C43" w:rsidP="00FD7676">
      <w:pPr>
        <w:rPr>
          <w:rFonts w:asciiTheme="minorHAnsi" w:hAnsiTheme="minorHAnsi"/>
          <w:sz w:val="22"/>
        </w:rPr>
      </w:pPr>
      <w:r w:rsidRPr="00563EF2">
        <w:rPr>
          <w:rFonts w:asciiTheme="minorHAnsi" w:hAnsiTheme="minorHAnsi"/>
          <w:sz w:val="22"/>
        </w:rPr>
        <w:t>Wzrost przestępczości, zwłaszcza wśród nieletnich, jest zjawiskiem wysoce niekorzystnym. Wpływ na to ma rozwarstwienie dochodów i wykluczenie społeczne części mieszkańców. Stanowi to poważny problem dla polityki miasta. Realizowane inwestycje w monitoring wizyjny (system 40 cyfrowych kamer nowej generacji, umieszczonych w różnych punktach Legnicy; kos</w:t>
      </w:r>
      <w:r w:rsidR="00876146">
        <w:rPr>
          <w:rFonts w:asciiTheme="minorHAnsi" w:hAnsiTheme="minorHAnsi"/>
          <w:sz w:val="22"/>
        </w:rPr>
        <w:t>zt realizacji sięga ok. 3,5 mln </w:t>
      </w:r>
      <w:r w:rsidRPr="00563EF2">
        <w:rPr>
          <w:rFonts w:asciiTheme="minorHAnsi" w:hAnsiTheme="minorHAnsi"/>
          <w:sz w:val="22"/>
        </w:rPr>
        <w:t>zł</w:t>
      </w:r>
      <w:r w:rsidR="00876146">
        <w:rPr>
          <w:rFonts w:asciiTheme="minorHAnsi" w:hAnsiTheme="minorHAnsi"/>
          <w:sz w:val="22"/>
        </w:rPr>
        <w:t>,</w:t>
      </w:r>
      <w:r w:rsidRPr="00563EF2">
        <w:rPr>
          <w:rFonts w:asciiTheme="minorHAnsi" w:hAnsiTheme="minorHAnsi"/>
          <w:sz w:val="22"/>
        </w:rPr>
        <w:t xml:space="preserve"> Miasto uzyskało dofinansowanie w wysokości 70 proc. ze środków UE) i doposażenie służb bezpieczeństwa: Policji i Straży Miejskiej mogą przyczynić się do zwiększenia bezpieczeństwa na ulicach miasta, o ile zostaną wsparte szeroką polityką społeczną ski</w:t>
      </w:r>
      <w:r w:rsidR="0033475A">
        <w:rPr>
          <w:rFonts w:asciiTheme="minorHAnsi" w:hAnsiTheme="minorHAnsi"/>
          <w:sz w:val="22"/>
        </w:rPr>
        <w:t>erowaną do osób wykluczonych, a </w:t>
      </w:r>
      <w:r w:rsidRPr="00563EF2">
        <w:rPr>
          <w:rFonts w:asciiTheme="minorHAnsi" w:hAnsiTheme="minorHAnsi"/>
          <w:sz w:val="22"/>
        </w:rPr>
        <w:t xml:space="preserve">zwłaszcza aktywizującą młodzież.  </w:t>
      </w:r>
    </w:p>
    <w:p w:rsidR="00147C14" w:rsidRPr="00563EF2" w:rsidRDefault="00147C14" w:rsidP="00EC5484">
      <w:pPr>
        <w:pStyle w:val="Nagwek3"/>
        <w:rPr>
          <w:b w:val="0"/>
        </w:rPr>
      </w:pPr>
      <w:bookmarkStart w:id="31" w:name="_Toc399756318"/>
      <w:r w:rsidRPr="00563EF2">
        <w:rPr>
          <w:b w:val="0"/>
        </w:rPr>
        <w:t>Mieszkalnictwo</w:t>
      </w:r>
      <w:bookmarkEnd w:id="31"/>
    </w:p>
    <w:p w:rsidR="00CE6D05" w:rsidRPr="00563EF2" w:rsidRDefault="00CE6D05" w:rsidP="00FD7676">
      <w:pPr>
        <w:rPr>
          <w:rFonts w:asciiTheme="minorHAnsi" w:hAnsiTheme="minorHAnsi"/>
          <w:b/>
          <w:sz w:val="22"/>
        </w:rPr>
      </w:pPr>
    </w:p>
    <w:p w:rsidR="00CE6D05" w:rsidRPr="00563EF2" w:rsidRDefault="00CE6D05" w:rsidP="00CE6D05">
      <w:pPr>
        <w:rPr>
          <w:rFonts w:asciiTheme="minorHAnsi" w:hAnsiTheme="minorHAnsi"/>
          <w:sz w:val="22"/>
        </w:rPr>
      </w:pPr>
      <w:r w:rsidRPr="00563EF2">
        <w:rPr>
          <w:rFonts w:asciiTheme="minorHAnsi" w:hAnsiTheme="minorHAnsi"/>
          <w:sz w:val="22"/>
        </w:rPr>
        <w:t>W latach</w:t>
      </w:r>
      <w:r w:rsidR="00EA416B" w:rsidRPr="00563EF2">
        <w:rPr>
          <w:rFonts w:asciiTheme="minorHAnsi" w:hAnsiTheme="minorHAnsi"/>
          <w:sz w:val="22"/>
        </w:rPr>
        <w:t xml:space="preserve"> 2004-2012 oddano do użytku 1 82</w:t>
      </w:r>
      <w:r w:rsidRPr="00563EF2">
        <w:rPr>
          <w:rFonts w:asciiTheme="minorHAnsi" w:hAnsiTheme="minorHAnsi"/>
          <w:sz w:val="22"/>
        </w:rPr>
        <w:t xml:space="preserve">9 mieszkań w budynkach wielorodzinnych – adaptowanych koszarowcach i innych obiektach przejętych od JAR oraz w nowopowstałych budynkach. </w:t>
      </w:r>
      <w:r w:rsidR="00EA416B" w:rsidRPr="00563EF2">
        <w:rPr>
          <w:rFonts w:asciiTheme="minorHAnsi" w:hAnsiTheme="minorHAnsi"/>
          <w:sz w:val="22"/>
        </w:rPr>
        <w:t xml:space="preserve">Przeciętna ilość izb w mieszkaniu wynosi 3,51, a przeciętna powierzchnia mieszkania 62,9 m². </w:t>
      </w:r>
      <w:r w:rsidRPr="00563EF2">
        <w:rPr>
          <w:rFonts w:asciiTheme="minorHAnsi" w:hAnsiTheme="minorHAnsi"/>
          <w:sz w:val="22"/>
        </w:rPr>
        <w:t xml:space="preserve"> </w:t>
      </w:r>
    </w:p>
    <w:p w:rsidR="00CE6D05" w:rsidRPr="00563EF2" w:rsidRDefault="00CE6D05" w:rsidP="00FD7676">
      <w:pPr>
        <w:rPr>
          <w:rFonts w:asciiTheme="minorHAnsi" w:hAnsiTheme="minorHAnsi"/>
          <w:b/>
          <w:sz w:val="22"/>
        </w:rPr>
      </w:pPr>
    </w:p>
    <w:p w:rsidR="000C671E" w:rsidRPr="007F6382" w:rsidRDefault="000C671E" w:rsidP="000C671E">
      <w:pPr>
        <w:pStyle w:val="Legenda"/>
        <w:keepNext/>
        <w:rPr>
          <w:rFonts w:asciiTheme="minorHAnsi" w:hAnsiTheme="minorHAnsi"/>
          <w:sz w:val="20"/>
        </w:rPr>
      </w:pPr>
      <w:r w:rsidRPr="007F6382">
        <w:rPr>
          <w:rFonts w:asciiTheme="minorHAnsi" w:hAnsiTheme="minorHAnsi"/>
          <w:sz w:val="20"/>
        </w:rPr>
        <w:t xml:space="preserve">Tabela </w:t>
      </w:r>
      <w:r w:rsidR="00017794" w:rsidRPr="007F6382">
        <w:rPr>
          <w:rFonts w:asciiTheme="minorHAnsi" w:hAnsiTheme="minorHAnsi"/>
          <w:sz w:val="20"/>
        </w:rPr>
        <w:fldChar w:fldCharType="begin"/>
      </w:r>
      <w:r w:rsidRPr="007F6382">
        <w:rPr>
          <w:rFonts w:asciiTheme="minorHAnsi" w:hAnsiTheme="minorHAnsi"/>
          <w:sz w:val="20"/>
        </w:rPr>
        <w:instrText xml:space="preserve"> SEQ Tabela \* ARABIC </w:instrText>
      </w:r>
      <w:r w:rsidR="00017794" w:rsidRPr="007F6382">
        <w:rPr>
          <w:rFonts w:asciiTheme="minorHAnsi" w:hAnsiTheme="minorHAnsi"/>
          <w:sz w:val="20"/>
        </w:rPr>
        <w:fldChar w:fldCharType="separate"/>
      </w:r>
      <w:r w:rsidR="007B2916">
        <w:rPr>
          <w:rFonts w:asciiTheme="minorHAnsi" w:hAnsiTheme="minorHAnsi"/>
          <w:noProof/>
          <w:sz w:val="20"/>
        </w:rPr>
        <w:t>24</w:t>
      </w:r>
      <w:r w:rsidR="00017794" w:rsidRPr="007F6382">
        <w:rPr>
          <w:rFonts w:asciiTheme="minorHAnsi" w:hAnsiTheme="minorHAnsi"/>
          <w:sz w:val="20"/>
        </w:rPr>
        <w:fldChar w:fldCharType="end"/>
      </w:r>
      <w:r w:rsidRPr="007F6382">
        <w:rPr>
          <w:rFonts w:asciiTheme="minorHAnsi" w:hAnsiTheme="minorHAnsi"/>
          <w:sz w:val="20"/>
        </w:rPr>
        <w:t>. Zasób mieszkaniowy wybranych miast woj. dolnośląsk</w:t>
      </w:r>
      <w:r w:rsidR="00A41138">
        <w:rPr>
          <w:rFonts w:asciiTheme="minorHAnsi" w:hAnsiTheme="minorHAnsi"/>
          <w:sz w:val="20"/>
        </w:rPr>
        <w:t>iego w latach 2008, 2010, 2012.</w:t>
      </w:r>
    </w:p>
    <w:tbl>
      <w:tblPr>
        <w:tblStyle w:val="Jasnasiatkaakcent11"/>
        <w:tblW w:w="0" w:type="auto"/>
        <w:tblLayout w:type="fixed"/>
        <w:tblLook w:val="04A0" w:firstRow="1" w:lastRow="0" w:firstColumn="1" w:lastColumn="0" w:noHBand="0" w:noVBand="1"/>
      </w:tblPr>
      <w:tblGrid>
        <w:gridCol w:w="1526"/>
        <w:gridCol w:w="850"/>
        <w:gridCol w:w="850"/>
        <w:gridCol w:w="851"/>
        <w:gridCol w:w="850"/>
        <w:gridCol w:w="851"/>
        <w:gridCol w:w="851"/>
        <w:gridCol w:w="886"/>
        <w:gridCol w:w="886"/>
        <w:gridCol w:w="887"/>
      </w:tblGrid>
      <w:tr w:rsidR="00CE6D05" w:rsidRPr="00563EF2" w:rsidTr="00CE6D0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p>
        </w:tc>
        <w:tc>
          <w:tcPr>
            <w:tcW w:w="2551" w:type="dxa"/>
            <w:gridSpan w:val="3"/>
            <w:noWrap/>
            <w:hideMark/>
          </w:tcPr>
          <w:p w:rsidR="00CE6D05" w:rsidRPr="00563EF2" w:rsidRDefault="00CE6D05" w:rsidP="00CE6D05">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Liczba mieszkań</w:t>
            </w:r>
          </w:p>
        </w:tc>
        <w:tc>
          <w:tcPr>
            <w:tcW w:w="2552" w:type="dxa"/>
            <w:gridSpan w:val="3"/>
            <w:noWrap/>
            <w:hideMark/>
          </w:tcPr>
          <w:p w:rsidR="00CE6D05" w:rsidRPr="00563EF2" w:rsidRDefault="00CE6D05" w:rsidP="00CE6D05">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Przeciętna liczba izb w mieszkaniu</w:t>
            </w:r>
          </w:p>
        </w:tc>
        <w:tc>
          <w:tcPr>
            <w:tcW w:w="2659" w:type="dxa"/>
            <w:gridSpan w:val="3"/>
            <w:noWrap/>
            <w:hideMark/>
          </w:tcPr>
          <w:p w:rsidR="00CE6D05" w:rsidRPr="00563EF2" w:rsidRDefault="00CE6D05" w:rsidP="00CE6D05">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Przeciętna powierzchnia mieszkania</w:t>
            </w:r>
          </w:p>
        </w:tc>
      </w:tr>
      <w:tr w:rsidR="00CE6D05" w:rsidRPr="00563EF2" w:rsidTr="00CE6D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2004</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2008</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2012</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2004</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2008</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2012</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2004</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2008</w:t>
            </w:r>
          </w:p>
        </w:tc>
        <w:tc>
          <w:tcPr>
            <w:tcW w:w="887"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eastAsia="pl-PL"/>
              </w:rPr>
            </w:pPr>
            <w:r w:rsidRPr="00563EF2">
              <w:rPr>
                <w:rFonts w:asciiTheme="minorHAnsi" w:eastAsia="Times New Roman" w:hAnsiTheme="minorHAnsi" w:cs="Arial"/>
                <w:b/>
                <w:sz w:val="20"/>
                <w:szCs w:val="20"/>
                <w:lang w:eastAsia="pl-PL"/>
              </w:rPr>
              <w:t>2012</w:t>
            </w:r>
          </w:p>
        </w:tc>
      </w:tr>
      <w:tr w:rsidR="00CE6D05" w:rsidRPr="00563EF2" w:rsidTr="00CE6D0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Woj. dolnośląskie</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1004529</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1039800</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1095568</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3,48</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3,61</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3,85</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65,87</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66,79</w:t>
            </w:r>
          </w:p>
        </w:tc>
        <w:tc>
          <w:tcPr>
            <w:tcW w:w="887"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71,87</w:t>
            </w:r>
          </w:p>
        </w:tc>
      </w:tr>
      <w:tr w:rsidR="00CE6D05" w:rsidRPr="00563EF2" w:rsidTr="00CE6D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Jelenia Góra </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32899</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34004</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34784</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3,41</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3,52</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3,55</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62,85</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63,38</w:t>
            </w:r>
          </w:p>
        </w:tc>
        <w:tc>
          <w:tcPr>
            <w:tcW w:w="887"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64,34</w:t>
            </w:r>
          </w:p>
        </w:tc>
      </w:tr>
      <w:tr w:rsidR="00CE6D05" w:rsidRPr="00563EF2" w:rsidTr="00CE6D0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Legnica </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39409</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40545</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41238</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3,41</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3,51</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3,51</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62,37</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62,81</w:t>
            </w:r>
          </w:p>
        </w:tc>
        <w:tc>
          <w:tcPr>
            <w:tcW w:w="887"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62,90</w:t>
            </w:r>
          </w:p>
        </w:tc>
      </w:tr>
      <w:tr w:rsidR="00CE6D05" w:rsidRPr="00563EF2" w:rsidTr="00CE6D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Wałbrzych </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49951</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50053</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50591</w:t>
            </w:r>
          </w:p>
        </w:tc>
        <w:tc>
          <w:tcPr>
            <w:tcW w:w="850"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3,06</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3,07</w:t>
            </w:r>
          </w:p>
        </w:tc>
        <w:tc>
          <w:tcPr>
            <w:tcW w:w="851"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3,10</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53,26</w:t>
            </w:r>
          </w:p>
        </w:tc>
        <w:tc>
          <w:tcPr>
            <w:tcW w:w="886"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53,48</w:t>
            </w:r>
          </w:p>
        </w:tc>
        <w:tc>
          <w:tcPr>
            <w:tcW w:w="887" w:type="dxa"/>
            <w:noWrap/>
            <w:hideMark/>
          </w:tcPr>
          <w:p w:rsidR="00CE6D05" w:rsidRPr="00563EF2" w:rsidRDefault="00CE6D05" w:rsidP="00CE6D05">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53,91</w:t>
            </w:r>
          </w:p>
        </w:tc>
      </w:tr>
      <w:tr w:rsidR="00CE6D05" w:rsidRPr="00563EF2" w:rsidTr="00CE6D0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rsidR="00CE6D05" w:rsidRPr="00563EF2" w:rsidRDefault="00CE6D05" w:rsidP="00CE6D05">
            <w:pPr>
              <w:spacing w:line="240" w:lineRule="auto"/>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 xml:space="preserve">Wrocław </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244569</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258877</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282538</w:t>
            </w:r>
          </w:p>
        </w:tc>
        <w:tc>
          <w:tcPr>
            <w:tcW w:w="850"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3,18</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3,34</w:t>
            </w:r>
          </w:p>
        </w:tc>
        <w:tc>
          <w:tcPr>
            <w:tcW w:w="851"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3,94</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59,80</w:t>
            </w:r>
          </w:p>
        </w:tc>
        <w:tc>
          <w:tcPr>
            <w:tcW w:w="886"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60,12</w:t>
            </w:r>
          </w:p>
        </w:tc>
        <w:tc>
          <w:tcPr>
            <w:tcW w:w="887" w:type="dxa"/>
            <w:noWrap/>
            <w:hideMark/>
          </w:tcPr>
          <w:p w:rsidR="00CE6D05" w:rsidRPr="00563EF2" w:rsidRDefault="00CE6D05" w:rsidP="00CE6D05">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71,12</w:t>
            </w:r>
          </w:p>
        </w:tc>
      </w:tr>
    </w:tbl>
    <w:p w:rsidR="000C671E" w:rsidRPr="00A50D78" w:rsidRDefault="000C671E"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00A50D78">
        <w:rPr>
          <w:rFonts w:asciiTheme="minorHAnsi" w:hAnsiTheme="minorHAnsi"/>
          <w:sz w:val="20"/>
        </w:rPr>
        <w:t>, GUS</w:t>
      </w:r>
      <w:r w:rsidR="008B3862">
        <w:rPr>
          <w:rFonts w:asciiTheme="minorHAnsi" w:hAnsiTheme="minorHAnsi"/>
          <w:sz w:val="20"/>
        </w:rPr>
        <w:t>.</w:t>
      </w:r>
    </w:p>
    <w:p w:rsidR="00EA416B" w:rsidRPr="00563EF2" w:rsidRDefault="00EA416B" w:rsidP="00FD7676">
      <w:pPr>
        <w:rPr>
          <w:rFonts w:asciiTheme="minorHAnsi" w:hAnsiTheme="minorHAnsi"/>
          <w:sz w:val="22"/>
        </w:rPr>
      </w:pPr>
    </w:p>
    <w:p w:rsidR="00147C14" w:rsidRPr="00563EF2" w:rsidRDefault="00EA416B" w:rsidP="00FD7676">
      <w:pPr>
        <w:rPr>
          <w:rFonts w:asciiTheme="minorHAnsi" w:hAnsiTheme="minorHAnsi"/>
          <w:sz w:val="22"/>
        </w:rPr>
      </w:pPr>
      <w:r w:rsidRPr="00563EF2">
        <w:rPr>
          <w:rFonts w:asciiTheme="minorHAnsi" w:hAnsiTheme="minorHAnsi"/>
          <w:sz w:val="22"/>
        </w:rPr>
        <w:t>Ceny mieszkań w Legnicy są wyraźnie konkurencyjne w stosunku do Wrocławia. Niższe ceny powodują większe zainteresowanie mieszkaniami o dużej powierzchni użytkowej, co ma odzwierciedlenie we wskaźniku średniej powierzchni kupowanych w Legnicy mieszkań, któ</w:t>
      </w:r>
      <w:r w:rsidR="00BC5391">
        <w:rPr>
          <w:rFonts w:asciiTheme="minorHAnsi" w:hAnsiTheme="minorHAnsi"/>
          <w:sz w:val="22"/>
        </w:rPr>
        <w:t>re dla popularnych mieszkań 3 i </w:t>
      </w:r>
      <w:r w:rsidRPr="00563EF2">
        <w:rPr>
          <w:rFonts w:asciiTheme="minorHAnsi" w:hAnsiTheme="minorHAnsi"/>
          <w:sz w:val="22"/>
        </w:rPr>
        <w:t>4 pokojowych są wyższe</w:t>
      </w:r>
      <w:r w:rsidR="00A41138">
        <w:rPr>
          <w:rFonts w:asciiTheme="minorHAnsi" w:hAnsiTheme="minorHAnsi"/>
          <w:sz w:val="22"/>
        </w:rPr>
        <w:t>,</w:t>
      </w:r>
      <w:r w:rsidRPr="00563EF2">
        <w:rPr>
          <w:rFonts w:asciiTheme="minorHAnsi" w:hAnsiTheme="minorHAnsi"/>
          <w:sz w:val="22"/>
        </w:rPr>
        <w:t xml:space="preserve"> aniżeli we Wrocławiu i Wałbrzychu.</w:t>
      </w:r>
    </w:p>
    <w:p w:rsidR="00EA416B" w:rsidRPr="00563EF2" w:rsidRDefault="00EA416B" w:rsidP="00FD7676">
      <w:pPr>
        <w:rPr>
          <w:rFonts w:asciiTheme="minorHAnsi" w:hAnsiTheme="minorHAnsi"/>
          <w:sz w:val="22"/>
        </w:rPr>
      </w:pPr>
    </w:p>
    <w:p w:rsidR="006A7975" w:rsidRPr="00EA4219" w:rsidRDefault="006A7975" w:rsidP="006A7975">
      <w:pPr>
        <w:pStyle w:val="Legenda"/>
        <w:keepNext/>
        <w:rPr>
          <w:rFonts w:asciiTheme="minorHAnsi" w:hAnsiTheme="minorHAnsi"/>
          <w:sz w:val="20"/>
        </w:rPr>
      </w:pPr>
      <w:r w:rsidRPr="00EA4219">
        <w:rPr>
          <w:rFonts w:asciiTheme="minorHAnsi" w:hAnsiTheme="minorHAnsi"/>
          <w:sz w:val="20"/>
        </w:rPr>
        <w:t xml:space="preserve">Tabela </w:t>
      </w:r>
      <w:r w:rsidR="00017794" w:rsidRPr="00EA4219">
        <w:rPr>
          <w:rFonts w:asciiTheme="minorHAnsi" w:hAnsiTheme="minorHAnsi"/>
          <w:sz w:val="20"/>
        </w:rPr>
        <w:fldChar w:fldCharType="begin"/>
      </w:r>
      <w:r w:rsidRPr="00EA4219">
        <w:rPr>
          <w:rFonts w:asciiTheme="minorHAnsi" w:hAnsiTheme="minorHAnsi"/>
          <w:sz w:val="20"/>
        </w:rPr>
        <w:instrText xml:space="preserve"> SEQ Tabela \* ARABIC </w:instrText>
      </w:r>
      <w:r w:rsidR="00017794" w:rsidRPr="00EA4219">
        <w:rPr>
          <w:rFonts w:asciiTheme="minorHAnsi" w:hAnsiTheme="minorHAnsi"/>
          <w:sz w:val="20"/>
        </w:rPr>
        <w:fldChar w:fldCharType="separate"/>
      </w:r>
      <w:r w:rsidR="007B2916">
        <w:rPr>
          <w:rFonts w:asciiTheme="minorHAnsi" w:hAnsiTheme="minorHAnsi"/>
          <w:noProof/>
          <w:sz w:val="20"/>
        </w:rPr>
        <w:t>25</w:t>
      </w:r>
      <w:r w:rsidR="00017794" w:rsidRPr="00EA4219">
        <w:rPr>
          <w:rFonts w:asciiTheme="minorHAnsi" w:hAnsiTheme="minorHAnsi"/>
          <w:sz w:val="20"/>
        </w:rPr>
        <w:fldChar w:fldCharType="end"/>
      </w:r>
      <w:r w:rsidRPr="00EA4219">
        <w:rPr>
          <w:rFonts w:asciiTheme="minorHAnsi" w:hAnsiTheme="minorHAnsi"/>
          <w:sz w:val="20"/>
        </w:rPr>
        <w:t>. Ceny</w:t>
      </w:r>
      <w:r w:rsidRPr="00EA4219">
        <w:rPr>
          <w:rFonts w:asciiTheme="minorHAnsi" w:hAnsiTheme="minorHAnsi"/>
          <w:noProof/>
          <w:sz w:val="20"/>
        </w:rPr>
        <w:t xml:space="preserve"> i średnia powierzchnia mieszkań na rynku mieszkaniowym w wybranych miastach woj. dolnośląskiego</w:t>
      </w:r>
      <w:r w:rsidR="00EA416B" w:rsidRPr="00EA4219">
        <w:rPr>
          <w:rFonts w:asciiTheme="minorHAnsi" w:hAnsiTheme="minorHAnsi"/>
          <w:noProof/>
          <w:sz w:val="20"/>
        </w:rPr>
        <w:t xml:space="preserve"> (stan na styczeń 2014)</w:t>
      </w:r>
      <w:r w:rsidRPr="00EA4219">
        <w:rPr>
          <w:rFonts w:asciiTheme="minorHAnsi" w:hAnsiTheme="minorHAnsi"/>
          <w:noProof/>
          <w:sz w:val="20"/>
        </w:rPr>
        <w:t>.</w:t>
      </w:r>
    </w:p>
    <w:tbl>
      <w:tblPr>
        <w:tblStyle w:val="Jasnasiatkaakcent11"/>
        <w:tblW w:w="9113" w:type="dxa"/>
        <w:tblLook w:val="04A0" w:firstRow="1" w:lastRow="0" w:firstColumn="1" w:lastColumn="0" w:noHBand="0" w:noVBand="1"/>
      </w:tblPr>
      <w:tblGrid>
        <w:gridCol w:w="1300"/>
        <w:gridCol w:w="1327"/>
        <w:gridCol w:w="1297"/>
        <w:gridCol w:w="1297"/>
        <w:gridCol w:w="1297"/>
        <w:gridCol w:w="1297"/>
        <w:gridCol w:w="1298"/>
      </w:tblGrid>
      <w:tr w:rsidR="00147C14" w:rsidRPr="00EA4219" w:rsidTr="00EA421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603" w:type="dxa"/>
            <w:gridSpan w:val="2"/>
            <w:hideMark/>
          </w:tcPr>
          <w:p w:rsidR="00DB0721" w:rsidRPr="00EA4219" w:rsidRDefault="00147C14" w:rsidP="00FD7676">
            <w:pPr>
              <w:rPr>
                <w:rFonts w:asciiTheme="minorHAnsi" w:hAnsiTheme="minorHAnsi"/>
                <w:sz w:val="20"/>
              </w:rPr>
            </w:pPr>
            <w:r w:rsidRPr="00EA4219">
              <w:rPr>
                <w:rFonts w:asciiTheme="minorHAnsi" w:hAnsiTheme="minorHAnsi"/>
                <w:bCs w:val="0"/>
                <w:sz w:val="20"/>
              </w:rPr>
              <w:t xml:space="preserve">Liczba pokoi: </w:t>
            </w:r>
          </w:p>
        </w:tc>
        <w:tc>
          <w:tcPr>
            <w:tcW w:w="1302" w:type="dxa"/>
            <w:hideMark/>
          </w:tcPr>
          <w:p w:rsidR="00DB0721" w:rsidRPr="00EA4219" w:rsidRDefault="00147C14"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A4219">
              <w:rPr>
                <w:rFonts w:asciiTheme="minorHAnsi" w:hAnsiTheme="minorHAnsi"/>
                <w:bCs w:val="0"/>
                <w:sz w:val="20"/>
              </w:rPr>
              <w:t xml:space="preserve">1 </w:t>
            </w:r>
          </w:p>
        </w:tc>
        <w:tc>
          <w:tcPr>
            <w:tcW w:w="1302" w:type="dxa"/>
            <w:hideMark/>
          </w:tcPr>
          <w:p w:rsidR="00DB0721" w:rsidRPr="00EA4219" w:rsidRDefault="00147C14"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A4219">
              <w:rPr>
                <w:rFonts w:asciiTheme="minorHAnsi" w:hAnsiTheme="minorHAnsi"/>
                <w:bCs w:val="0"/>
                <w:sz w:val="20"/>
              </w:rPr>
              <w:t xml:space="preserve">2 </w:t>
            </w:r>
          </w:p>
        </w:tc>
        <w:tc>
          <w:tcPr>
            <w:tcW w:w="1302" w:type="dxa"/>
            <w:hideMark/>
          </w:tcPr>
          <w:p w:rsidR="00DB0721" w:rsidRPr="00EA4219" w:rsidRDefault="00147C14"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A4219">
              <w:rPr>
                <w:rFonts w:asciiTheme="minorHAnsi" w:hAnsiTheme="minorHAnsi"/>
                <w:bCs w:val="0"/>
                <w:sz w:val="20"/>
              </w:rPr>
              <w:t xml:space="preserve">3 </w:t>
            </w:r>
          </w:p>
        </w:tc>
        <w:tc>
          <w:tcPr>
            <w:tcW w:w="1302" w:type="dxa"/>
            <w:hideMark/>
          </w:tcPr>
          <w:p w:rsidR="00DB0721" w:rsidRPr="00EA4219" w:rsidRDefault="00147C14"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A4219">
              <w:rPr>
                <w:rFonts w:asciiTheme="minorHAnsi" w:hAnsiTheme="minorHAnsi"/>
                <w:bCs w:val="0"/>
                <w:sz w:val="20"/>
              </w:rPr>
              <w:t xml:space="preserve">4 </w:t>
            </w:r>
          </w:p>
        </w:tc>
        <w:tc>
          <w:tcPr>
            <w:tcW w:w="1302" w:type="dxa"/>
            <w:hideMark/>
          </w:tcPr>
          <w:p w:rsidR="00DB0721" w:rsidRPr="00EA4219" w:rsidRDefault="00147C14"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A4219">
              <w:rPr>
                <w:rFonts w:asciiTheme="minorHAnsi" w:hAnsiTheme="minorHAnsi"/>
                <w:bCs w:val="0"/>
                <w:sz w:val="20"/>
              </w:rPr>
              <w:t xml:space="preserve">5 i więcej </w:t>
            </w:r>
          </w:p>
        </w:tc>
      </w:tr>
      <w:tr w:rsidR="00147C14" w:rsidRPr="00EA4219" w:rsidTr="00EA421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01" w:type="dxa"/>
            <w:vMerge w:val="restart"/>
            <w:hideMark/>
          </w:tcPr>
          <w:p w:rsidR="00DB0721" w:rsidRPr="00EA4219" w:rsidRDefault="00147C14" w:rsidP="00FD7676">
            <w:pPr>
              <w:rPr>
                <w:rFonts w:asciiTheme="minorHAnsi" w:hAnsiTheme="minorHAnsi"/>
                <w:sz w:val="20"/>
              </w:rPr>
            </w:pPr>
            <w:r w:rsidRPr="00EA4219">
              <w:rPr>
                <w:rFonts w:asciiTheme="minorHAnsi" w:hAnsiTheme="minorHAnsi"/>
                <w:bCs w:val="0"/>
                <w:sz w:val="20"/>
              </w:rPr>
              <w:t xml:space="preserve">Legnica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cena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102 846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149 536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213 714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278 066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353 140 zł </w:t>
            </w:r>
          </w:p>
        </w:tc>
      </w:tr>
      <w:tr w:rsidR="00147C14" w:rsidRPr="00EA4219" w:rsidTr="00EA421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vMerge/>
            <w:hideMark/>
          </w:tcPr>
          <w:p w:rsidR="00147C14" w:rsidRPr="00EA4219" w:rsidRDefault="00147C14" w:rsidP="00FD7676">
            <w:pPr>
              <w:rPr>
                <w:rFonts w:asciiTheme="minorHAnsi" w:hAnsiTheme="minorHAnsi"/>
                <w:sz w:val="20"/>
              </w:rPr>
            </w:pP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powierzchnia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33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51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74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103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154 m</w:t>
            </w:r>
            <w:r w:rsidRPr="00EA4219">
              <w:rPr>
                <w:rFonts w:asciiTheme="minorHAnsi" w:hAnsiTheme="minorHAnsi"/>
                <w:sz w:val="20"/>
                <w:vertAlign w:val="superscript"/>
              </w:rPr>
              <w:t>2</w:t>
            </w:r>
            <w:r w:rsidRPr="00EA4219">
              <w:rPr>
                <w:rFonts w:asciiTheme="minorHAnsi" w:hAnsiTheme="minorHAnsi"/>
                <w:sz w:val="20"/>
              </w:rPr>
              <w:t xml:space="preserve"> </w:t>
            </w:r>
          </w:p>
        </w:tc>
      </w:tr>
      <w:tr w:rsidR="00147C14" w:rsidRPr="00EA4219" w:rsidTr="00EA421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01" w:type="dxa"/>
            <w:vMerge w:val="restart"/>
            <w:hideMark/>
          </w:tcPr>
          <w:p w:rsidR="00DB0721" w:rsidRPr="00EA4219" w:rsidRDefault="00147C14" w:rsidP="00FD7676">
            <w:pPr>
              <w:rPr>
                <w:rFonts w:asciiTheme="minorHAnsi" w:hAnsiTheme="minorHAnsi"/>
                <w:sz w:val="20"/>
              </w:rPr>
            </w:pPr>
            <w:r w:rsidRPr="00EA4219">
              <w:rPr>
                <w:rFonts w:asciiTheme="minorHAnsi" w:hAnsiTheme="minorHAnsi"/>
                <w:bCs w:val="0"/>
                <w:sz w:val="20"/>
              </w:rPr>
              <w:t xml:space="preserve">Wrocław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cena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212 134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295 088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390 843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506 898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1 628 089 zł </w:t>
            </w:r>
          </w:p>
        </w:tc>
      </w:tr>
      <w:tr w:rsidR="00147C14" w:rsidRPr="00EA4219" w:rsidTr="00EA421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vMerge/>
            <w:hideMark/>
          </w:tcPr>
          <w:p w:rsidR="00147C14" w:rsidRPr="00EA4219" w:rsidRDefault="00147C14" w:rsidP="00FD7676">
            <w:pPr>
              <w:rPr>
                <w:rFonts w:asciiTheme="minorHAnsi" w:hAnsiTheme="minorHAnsi"/>
                <w:sz w:val="20"/>
              </w:rPr>
            </w:pP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powierzchnia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32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55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68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90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273 m</w:t>
            </w:r>
            <w:r w:rsidRPr="00EA4219">
              <w:rPr>
                <w:rFonts w:asciiTheme="minorHAnsi" w:hAnsiTheme="minorHAnsi"/>
                <w:sz w:val="20"/>
                <w:vertAlign w:val="superscript"/>
              </w:rPr>
              <w:t>2</w:t>
            </w:r>
            <w:r w:rsidRPr="00EA4219">
              <w:rPr>
                <w:rFonts w:asciiTheme="minorHAnsi" w:hAnsiTheme="minorHAnsi"/>
                <w:sz w:val="20"/>
              </w:rPr>
              <w:t xml:space="preserve"> </w:t>
            </w:r>
          </w:p>
        </w:tc>
      </w:tr>
      <w:tr w:rsidR="00147C14" w:rsidRPr="00EA4219" w:rsidTr="00EA421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01" w:type="dxa"/>
            <w:vMerge w:val="restart"/>
            <w:hideMark/>
          </w:tcPr>
          <w:p w:rsidR="00DB0721" w:rsidRPr="00EA4219" w:rsidRDefault="00147C14" w:rsidP="00FD7676">
            <w:pPr>
              <w:rPr>
                <w:rFonts w:asciiTheme="minorHAnsi" w:hAnsiTheme="minorHAnsi"/>
                <w:sz w:val="20"/>
              </w:rPr>
            </w:pPr>
            <w:r w:rsidRPr="00EA4219">
              <w:rPr>
                <w:rFonts w:asciiTheme="minorHAnsi" w:hAnsiTheme="minorHAnsi"/>
                <w:bCs w:val="0"/>
                <w:sz w:val="20"/>
              </w:rPr>
              <w:t xml:space="preserve">Wałbrzych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cena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73 529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117 279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157 971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204 688 zł </w:t>
            </w:r>
          </w:p>
        </w:tc>
        <w:tc>
          <w:tcPr>
            <w:tcW w:w="1302" w:type="dxa"/>
            <w:hideMark/>
          </w:tcPr>
          <w:p w:rsidR="00DB0721" w:rsidRPr="00EA4219" w:rsidRDefault="00147C14"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EA4219">
              <w:rPr>
                <w:rFonts w:asciiTheme="minorHAnsi" w:hAnsiTheme="minorHAnsi"/>
                <w:sz w:val="20"/>
              </w:rPr>
              <w:t xml:space="preserve">207 578 zł </w:t>
            </w:r>
          </w:p>
        </w:tc>
      </w:tr>
      <w:tr w:rsidR="00147C14" w:rsidRPr="00EA4219" w:rsidTr="00EA421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vMerge/>
            <w:hideMark/>
          </w:tcPr>
          <w:p w:rsidR="00147C14" w:rsidRPr="00EA4219" w:rsidRDefault="00147C14" w:rsidP="00FD7676">
            <w:pPr>
              <w:rPr>
                <w:rFonts w:asciiTheme="minorHAnsi" w:hAnsiTheme="minorHAnsi"/>
                <w:sz w:val="20"/>
              </w:rPr>
            </w:pP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b/>
                <w:bCs/>
                <w:sz w:val="20"/>
              </w:rPr>
              <w:t xml:space="preserve">Średnia powierzchnia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34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51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70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94 m</w:t>
            </w:r>
            <w:r w:rsidRPr="00EA4219">
              <w:rPr>
                <w:rFonts w:asciiTheme="minorHAnsi" w:hAnsiTheme="minorHAnsi"/>
                <w:sz w:val="20"/>
                <w:vertAlign w:val="superscript"/>
              </w:rPr>
              <w:t>2</w:t>
            </w:r>
            <w:r w:rsidRPr="00EA4219">
              <w:rPr>
                <w:rFonts w:asciiTheme="minorHAnsi" w:hAnsiTheme="minorHAnsi"/>
                <w:sz w:val="20"/>
              </w:rPr>
              <w:t xml:space="preserve"> </w:t>
            </w:r>
          </w:p>
        </w:tc>
        <w:tc>
          <w:tcPr>
            <w:tcW w:w="1302" w:type="dxa"/>
            <w:hideMark/>
          </w:tcPr>
          <w:p w:rsidR="00DB0721" w:rsidRPr="00EA4219" w:rsidRDefault="00147C14"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EA4219">
              <w:rPr>
                <w:rFonts w:asciiTheme="minorHAnsi" w:hAnsiTheme="minorHAnsi"/>
                <w:sz w:val="20"/>
              </w:rPr>
              <w:t>109 m</w:t>
            </w:r>
            <w:r w:rsidRPr="00EA4219">
              <w:rPr>
                <w:rFonts w:asciiTheme="minorHAnsi" w:hAnsiTheme="minorHAnsi"/>
                <w:sz w:val="20"/>
                <w:vertAlign w:val="superscript"/>
              </w:rPr>
              <w:t>2</w:t>
            </w:r>
            <w:r w:rsidRPr="00EA4219">
              <w:rPr>
                <w:rFonts w:asciiTheme="minorHAnsi" w:hAnsiTheme="minorHAnsi"/>
                <w:sz w:val="20"/>
              </w:rPr>
              <w:t xml:space="preserve"> </w:t>
            </w:r>
          </w:p>
        </w:tc>
      </w:tr>
    </w:tbl>
    <w:p w:rsidR="001C6624" w:rsidRPr="00A50D78" w:rsidRDefault="00147C14" w:rsidP="00FD7676">
      <w:pPr>
        <w:rPr>
          <w:rFonts w:asciiTheme="minorHAnsi" w:hAnsiTheme="minorHAnsi"/>
          <w:sz w:val="20"/>
        </w:rPr>
      </w:pPr>
      <w:r w:rsidRPr="00A50D78">
        <w:rPr>
          <w:rFonts w:asciiTheme="minorHAnsi" w:hAnsiTheme="minorHAnsi"/>
          <w:sz w:val="20"/>
        </w:rPr>
        <w:t>Źródło: Opracowanie własne na podstawie: morizon.com</w:t>
      </w:r>
    </w:p>
    <w:p w:rsidR="00A317BF" w:rsidRPr="00A317BF" w:rsidRDefault="001C6624" w:rsidP="00A317BF">
      <w:pPr>
        <w:pStyle w:val="NormalnyWeb"/>
        <w:spacing w:before="119" w:beforeAutospacing="0" w:line="276" w:lineRule="auto"/>
        <w:jc w:val="both"/>
        <w:rPr>
          <w:rFonts w:asciiTheme="minorHAnsi" w:hAnsiTheme="minorHAnsi"/>
          <w:color w:val="000000" w:themeColor="text1"/>
          <w:sz w:val="22"/>
          <w:szCs w:val="22"/>
        </w:rPr>
      </w:pPr>
      <w:r w:rsidRPr="00563EF2">
        <w:rPr>
          <w:rFonts w:asciiTheme="minorHAnsi" w:hAnsiTheme="minorHAnsi"/>
          <w:sz w:val="22"/>
          <w:szCs w:val="22"/>
        </w:rPr>
        <w:t xml:space="preserve">Zasób mieszkaniowy miasta Legnicy składa się z komunalnych lokali mieszkalnych usytuowanych </w:t>
      </w:r>
      <w:r w:rsidR="00A317BF" w:rsidRPr="00A317BF">
        <w:rPr>
          <w:rFonts w:asciiTheme="minorHAnsi" w:hAnsiTheme="minorHAnsi"/>
          <w:color w:val="000000" w:themeColor="text1"/>
          <w:sz w:val="22"/>
          <w:szCs w:val="22"/>
        </w:rPr>
        <w:t>w budynkach mieszkalnych i mieszkalno-użytkowych, stanowiących własność komunalną bądź współwłasność (wspólnoty mieszkaniowe). Liczba budynków komunalnych zasobu wynosi 347, a budynków wspólnot mieszkaniowych z udziałem gminy 1028</w:t>
      </w:r>
      <w:r w:rsidR="00A317BF">
        <w:rPr>
          <w:rFonts w:asciiTheme="minorHAnsi" w:hAnsiTheme="minorHAnsi"/>
          <w:color w:val="000000" w:themeColor="text1"/>
          <w:sz w:val="22"/>
          <w:szCs w:val="22"/>
        </w:rPr>
        <w:t>.</w:t>
      </w:r>
    </w:p>
    <w:p w:rsidR="00A317BF" w:rsidRPr="00A317BF" w:rsidRDefault="00A317BF" w:rsidP="00A317BF">
      <w:pPr>
        <w:pStyle w:val="NormalnyWeb"/>
        <w:spacing w:before="119" w:beforeAutospacing="0" w:line="276" w:lineRule="auto"/>
        <w:jc w:val="both"/>
        <w:rPr>
          <w:rFonts w:asciiTheme="minorHAnsi" w:hAnsiTheme="minorHAnsi"/>
          <w:color w:val="000000" w:themeColor="text1"/>
          <w:sz w:val="22"/>
          <w:szCs w:val="22"/>
        </w:rPr>
      </w:pPr>
      <w:r w:rsidRPr="00A317BF">
        <w:rPr>
          <w:rFonts w:asciiTheme="minorHAnsi" w:hAnsiTheme="minorHAnsi"/>
          <w:color w:val="000000" w:themeColor="text1"/>
          <w:sz w:val="22"/>
          <w:szCs w:val="22"/>
        </w:rPr>
        <w:t>Liczba mieszkań komunalnych wg stanu na dzień 31 sierpień 2014 r. wynosiła 6</w:t>
      </w:r>
      <w:r>
        <w:rPr>
          <w:rFonts w:asciiTheme="minorHAnsi" w:hAnsiTheme="minorHAnsi"/>
          <w:color w:val="000000" w:themeColor="text1"/>
          <w:sz w:val="22"/>
          <w:szCs w:val="22"/>
        </w:rPr>
        <w:t xml:space="preserve"> </w:t>
      </w:r>
      <w:r w:rsidRPr="00A317BF">
        <w:rPr>
          <w:rFonts w:asciiTheme="minorHAnsi" w:hAnsiTheme="minorHAnsi"/>
          <w:color w:val="000000" w:themeColor="text1"/>
          <w:sz w:val="22"/>
          <w:szCs w:val="22"/>
        </w:rPr>
        <w:t xml:space="preserve">259 lokale, a ich łączna powierzchnia użytkowa to 327 085 m². Przeciętna powierzchnia użytkowa mieszkań wynosiła 52,26 m² i była niższa, aniżeli średnia krajowa (62,7 m²). Przeciętna liczba osób na mieszkanie była bardzo zbliżona do średniej krajowej i wynosiła 2,35 os./ mieszkanie. </w:t>
      </w:r>
    </w:p>
    <w:p w:rsidR="001C6624" w:rsidRPr="00563EF2" w:rsidRDefault="001C6624" w:rsidP="00FD7676">
      <w:pPr>
        <w:rPr>
          <w:rFonts w:asciiTheme="minorHAnsi" w:hAnsiTheme="minorHAnsi"/>
          <w:sz w:val="22"/>
        </w:rPr>
      </w:pPr>
    </w:p>
    <w:p w:rsidR="00147C14" w:rsidRPr="00EA4219" w:rsidRDefault="00147C14"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003C56DB"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26</w:t>
      </w:r>
      <w:r w:rsidR="00017794" w:rsidRPr="00EA4219">
        <w:rPr>
          <w:rFonts w:asciiTheme="minorHAnsi" w:hAnsiTheme="minorHAnsi"/>
          <w:sz w:val="20"/>
          <w:szCs w:val="22"/>
        </w:rPr>
        <w:fldChar w:fldCharType="end"/>
      </w:r>
      <w:r w:rsidR="00FD7676" w:rsidRPr="00EA4219">
        <w:rPr>
          <w:rFonts w:asciiTheme="minorHAnsi" w:hAnsiTheme="minorHAnsi"/>
          <w:sz w:val="20"/>
          <w:szCs w:val="22"/>
        </w:rPr>
        <w:t xml:space="preserve">. </w:t>
      </w:r>
      <w:r w:rsidRPr="00EA4219">
        <w:rPr>
          <w:rFonts w:asciiTheme="minorHAnsi" w:hAnsiTheme="minorHAnsi"/>
          <w:sz w:val="20"/>
          <w:szCs w:val="22"/>
        </w:rPr>
        <w:t>Komunalne zasoby mieszkan</w:t>
      </w:r>
      <w:r w:rsidR="00A317BF">
        <w:rPr>
          <w:rFonts w:asciiTheme="minorHAnsi" w:hAnsiTheme="minorHAnsi"/>
          <w:sz w:val="20"/>
          <w:szCs w:val="22"/>
        </w:rPr>
        <w:t>iowe w Legnicy - stan na VII 2014</w:t>
      </w:r>
      <w:r w:rsidRPr="00EA4219">
        <w:rPr>
          <w:rFonts w:asciiTheme="minorHAnsi" w:hAnsiTheme="minorHAnsi"/>
          <w:sz w:val="20"/>
          <w:szCs w:val="22"/>
        </w:rPr>
        <w:t xml:space="preserve"> r. (w nawiasach średnie wartości dla kraju.</w:t>
      </w:r>
    </w:p>
    <w:tbl>
      <w:tblPr>
        <w:tblW w:w="6860" w:type="dxa"/>
        <w:tblCellMar>
          <w:left w:w="0" w:type="dxa"/>
          <w:right w:w="0" w:type="dxa"/>
        </w:tblCellMar>
        <w:tblLook w:val="04A0" w:firstRow="1" w:lastRow="0" w:firstColumn="1" w:lastColumn="0" w:noHBand="0" w:noVBand="1"/>
      </w:tblPr>
      <w:tblGrid>
        <w:gridCol w:w="5540"/>
        <w:gridCol w:w="1320"/>
      </w:tblGrid>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Budynki komunalne </w:t>
            </w:r>
          </w:p>
        </w:tc>
        <w:tc>
          <w:tcPr>
            <w:tcW w:w="132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A317BF" w:rsidP="00FD7676">
            <w:pPr>
              <w:rPr>
                <w:rFonts w:asciiTheme="minorHAnsi" w:hAnsiTheme="minorHAnsi"/>
                <w:sz w:val="20"/>
              </w:rPr>
            </w:pPr>
            <w:r>
              <w:rPr>
                <w:rFonts w:asciiTheme="minorHAnsi" w:hAnsiTheme="minorHAnsi"/>
                <w:sz w:val="20"/>
              </w:rPr>
              <w:t>34</w:t>
            </w:r>
            <w:r w:rsidR="00420265" w:rsidRPr="00EA4219">
              <w:rPr>
                <w:rFonts w:asciiTheme="minorHAnsi" w:hAnsiTheme="minorHAnsi"/>
                <w:sz w:val="20"/>
              </w:rPr>
              <w:t>7</w:t>
            </w:r>
          </w:p>
        </w:tc>
      </w:tr>
      <w:tr w:rsidR="00147C14" w:rsidRPr="00EA4219" w:rsidTr="00AC4019">
        <w:trPr>
          <w:trHeight w:val="481"/>
        </w:trPr>
        <w:tc>
          <w:tcPr>
            <w:tcW w:w="554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Budynki wspólnot mieszkaniowych z udziałem gminy </w:t>
            </w:r>
          </w:p>
        </w:tc>
        <w:tc>
          <w:tcPr>
            <w:tcW w:w="132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A317BF">
            <w:pPr>
              <w:rPr>
                <w:rFonts w:asciiTheme="minorHAnsi" w:hAnsiTheme="minorHAnsi"/>
                <w:sz w:val="20"/>
              </w:rPr>
            </w:pPr>
            <w:r w:rsidRPr="00EA4219">
              <w:rPr>
                <w:rFonts w:asciiTheme="minorHAnsi" w:hAnsiTheme="minorHAnsi"/>
                <w:sz w:val="20"/>
              </w:rPr>
              <w:t xml:space="preserve"> </w:t>
            </w:r>
            <w:r w:rsidR="00A317BF">
              <w:rPr>
                <w:rFonts w:asciiTheme="minorHAnsi" w:hAnsiTheme="minorHAnsi"/>
                <w:sz w:val="20"/>
              </w:rPr>
              <w:t>1 028</w:t>
            </w:r>
            <w:r w:rsidR="00420265" w:rsidRPr="00EA4219">
              <w:rPr>
                <w:rFonts w:asciiTheme="minorHAnsi" w:hAnsiTheme="minorHAnsi"/>
                <w:sz w:val="20"/>
              </w:rPr>
              <w:t xml:space="preserve"> </w:t>
            </w:r>
            <w:r w:rsidRPr="00EA4219">
              <w:rPr>
                <w:rFonts w:asciiTheme="minorHAnsi" w:hAnsiTheme="minorHAnsi"/>
                <w:sz w:val="20"/>
              </w:rPr>
              <w:t xml:space="preserve">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Liczba mieszkań w zasobie </w:t>
            </w:r>
          </w:p>
        </w:tc>
        <w:tc>
          <w:tcPr>
            <w:tcW w:w="132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A317BF">
            <w:pPr>
              <w:rPr>
                <w:rFonts w:asciiTheme="minorHAnsi" w:hAnsiTheme="minorHAnsi"/>
                <w:sz w:val="20"/>
              </w:rPr>
            </w:pPr>
            <w:r w:rsidRPr="00EA4219">
              <w:rPr>
                <w:rFonts w:asciiTheme="minorHAnsi" w:hAnsiTheme="minorHAnsi"/>
                <w:sz w:val="20"/>
              </w:rPr>
              <w:t xml:space="preserve">6 </w:t>
            </w:r>
            <w:r w:rsidR="00A317BF">
              <w:rPr>
                <w:rFonts w:asciiTheme="minorHAnsi" w:hAnsiTheme="minorHAnsi"/>
                <w:sz w:val="20"/>
              </w:rPr>
              <w:t>259</w:t>
            </w:r>
            <w:r w:rsidRPr="00EA4219">
              <w:rPr>
                <w:rFonts w:asciiTheme="minorHAnsi" w:hAnsiTheme="minorHAnsi"/>
                <w:sz w:val="20"/>
              </w:rPr>
              <w:t xml:space="preserve">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 - w budynkach komunalnych </w:t>
            </w:r>
          </w:p>
        </w:tc>
        <w:tc>
          <w:tcPr>
            <w:tcW w:w="132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3 038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 - w budynkach wspólnotowych </w:t>
            </w:r>
          </w:p>
        </w:tc>
        <w:tc>
          <w:tcPr>
            <w:tcW w:w="132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3 426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Liczba zamieszkałych osób </w:t>
            </w:r>
          </w:p>
        </w:tc>
        <w:tc>
          <w:tcPr>
            <w:tcW w:w="132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16 700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Przeciętna powierzchnia użytkowa mieszkania </w:t>
            </w:r>
            <w:r w:rsidR="008A15DA" w:rsidRPr="00EA4219">
              <w:rPr>
                <w:rFonts w:asciiTheme="minorHAnsi" w:hAnsiTheme="minorHAnsi"/>
                <w:sz w:val="20"/>
              </w:rPr>
              <w:t>(m²)</w:t>
            </w:r>
          </w:p>
        </w:tc>
        <w:tc>
          <w:tcPr>
            <w:tcW w:w="132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52,</w:t>
            </w:r>
            <w:r w:rsidR="00A317BF">
              <w:rPr>
                <w:rFonts w:asciiTheme="minorHAnsi" w:hAnsiTheme="minorHAnsi"/>
                <w:sz w:val="20"/>
              </w:rPr>
              <w:t>2</w:t>
            </w:r>
            <w:r w:rsidRPr="00EA4219">
              <w:rPr>
                <w:rFonts w:asciiTheme="minorHAnsi" w:hAnsiTheme="minorHAnsi"/>
                <w:sz w:val="20"/>
              </w:rPr>
              <w:t xml:space="preserve">6 (62,7)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Przeciętna powierzchnia użytkowa mieszkania </w:t>
            </w:r>
            <w:r w:rsidR="008A15DA" w:rsidRPr="00EA4219">
              <w:rPr>
                <w:rFonts w:asciiTheme="minorHAnsi" w:hAnsiTheme="minorHAnsi"/>
                <w:sz w:val="20"/>
              </w:rPr>
              <w:t>(m² /os.)</w:t>
            </w:r>
          </w:p>
        </w:tc>
        <w:tc>
          <w:tcPr>
            <w:tcW w:w="132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20,3 (24,4) </w:t>
            </w:r>
          </w:p>
        </w:tc>
      </w:tr>
      <w:tr w:rsidR="00147C14" w:rsidRPr="00EA4219" w:rsidTr="00147C14">
        <w:trPr>
          <w:trHeight w:val="440"/>
        </w:trPr>
        <w:tc>
          <w:tcPr>
            <w:tcW w:w="554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147C14" w:rsidP="00FD7676">
            <w:pPr>
              <w:rPr>
                <w:rFonts w:asciiTheme="minorHAnsi" w:hAnsiTheme="minorHAnsi"/>
                <w:sz w:val="20"/>
              </w:rPr>
            </w:pPr>
            <w:r w:rsidRPr="00EA4219">
              <w:rPr>
                <w:rFonts w:asciiTheme="minorHAnsi" w:hAnsiTheme="minorHAnsi"/>
                <w:sz w:val="20"/>
              </w:rPr>
              <w:t xml:space="preserve">Przeciętna liczba osób na mieszkanie </w:t>
            </w:r>
          </w:p>
        </w:tc>
        <w:tc>
          <w:tcPr>
            <w:tcW w:w="1320"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DB0721" w:rsidRPr="00EA4219" w:rsidRDefault="009532EC" w:rsidP="00FD7676">
            <w:pPr>
              <w:rPr>
                <w:rFonts w:asciiTheme="minorHAnsi" w:hAnsiTheme="minorHAnsi"/>
                <w:sz w:val="20"/>
              </w:rPr>
            </w:pPr>
            <w:r>
              <w:rPr>
                <w:rFonts w:asciiTheme="minorHAnsi" w:hAnsiTheme="minorHAnsi"/>
                <w:sz w:val="20"/>
              </w:rPr>
              <w:t>2,35</w:t>
            </w:r>
            <w:r w:rsidR="00147C14" w:rsidRPr="00EA4219">
              <w:rPr>
                <w:rFonts w:asciiTheme="minorHAnsi" w:hAnsiTheme="minorHAnsi"/>
                <w:sz w:val="20"/>
              </w:rPr>
              <w:t xml:space="preserve"> (2,57) </w:t>
            </w:r>
          </w:p>
        </w:tc>
      </w:tr>
    </w:tbl>
    <w:p w:rsidR="00147C14" w:rsidRPr="00A50D78" w:rsidRDefault="00214A08" w:rsidP="00FD7676">
      <w:pPr>
        <w:rPr>
          <w:rFonts w:asciiTheme="minorHAnsi" w:hAnsiTheme="minorHAnsi"/>
          <w:i/>
          <w:sz w:val="20"/>
        </w:rPr>
      </w:pPr>
      <w:r w:rsidRPr="00A50D78">
        <w:rPr>
          <w:rFonts w:asciiTheme="minorHAnsi" w:hAnsiTheme="minorHAnsi"/>
          <w:sz w:val="20"/>
        </w:rPr>
        <w:t xml:space="preserve">Źródło: </w:t>
      </w:r>
      <w:r w:rsidRPr="00A50D78">
        <w:rPr>
          <w:rFonts w:asciiTheme="minorHAnsi" w:hAnsiTheme="minorHAnsi"/>
          <w:i/>
          <w:sz w:val="20"/>
        </w:rPr>
        <w:t>Wieloletni program gospodarowania mieszkaniowym zasobem mia</w:t>
      </w:r>
      <w:r w:rsidR="00A50D78">
        <w:rPr>
          <w:rFonts w:asciiTheme="minorHAnsi" w:hAnsiTheme="minorHAnsi"/>
          <w:i/>
          <w:sz w:val="20"/>
        </w:rPr>
        <w:t>sta Legnicy na lata 2014 </w:t>
      </w:r>
      <w:r w:rsidR="008B3862">
        <w:rPr>
          <w:rFonts w:asciiTheme="minorHAnsi" w:hAnsiTheme="minorHAnsi"/>
          <w:i/>
          <w:sz w:val="20"/>
        </w:rPr>
        <w:t>–</w:t>
      </w:r>
      <w:r w:rsidR="00A50D78">
        <w:rPr>
          <w:rFonts w:asciiTheme="minorHAnsi" w:hAnsiTheme="minorHAnsi"/>
          <w:i/>
          <w:sz w:val="20"/>
        </w:rPr>
        <w:t> 2018</w:t>
      </w:r>
      <w:r w:rsidR="008B3862">
        <w:rPr>
          <w:rFonts w:asciiTheme="minorHAnsi" w:hAnsiTheme="minorHAnsi"/>
          <w:i/>
          <w:sz w:val="20"/>
        </w:rPr>
        <w:t>.</w:t>
      </w:r>
    </w:p>
    <w:p w:rsidR="00420265" w:rsidRPr="00563EF2" w:rsidRDefault="00420265" w:rsidP="00FD7676">
      <w:pPr>
        <w:rPr>
          <w:rFonts w:asciiTheme="minorHAnsi" w:hAnsiTheme="minorHAnsi"/>
          <w:i/>
          <w:sz w:val="22"/>
        </w:rPr>
      </w:pPr>
    </w:p>
    <w:p w:rsidR="006A7975" w:rsidRDefault="006A7975" w:rsidP="006A7975">
      <w:pPr>
        <w:rPr>
          <w:rFonts w:asciiTheme="minorHAnsi" w:hAnsiTheme="minorHAnsi"/>
          <w:sz w:val="22"/>
        </w:rPr>
      </w:pPr>
      <w:r w:rsidRPr="00563EF2">
        <w:rPr>
          <w:rFonts w:asciiTheme="minorHAnsi" w:hAnsiTheme="minorHAnsi"/>
          <w:i/>
          <w:sz w:val="22"/>
        </w:rPr>
        <w:t xml:space="preserve">Wieloletni program gospodarowania mieszkaniowym zasobem miasta Legnicy na lata 2014 – 2018 </w:t>
      </w:r>
      <w:r w:rsidRPr="00563EF2">
        <w:rPr>
          <w:rFonts w:asciiTheme="minorHAnsi" w:hAnsiTheme="minorHAnsi"/>
          <w:sz w:val="22"/>
        </w:rPr>
        <w:t>zakłada spadek zasobu mieszkaniowego gminy, przy wzroście lokali wynajmowanych jako socjalne o 80 lokali i jednoczesnym spadku</w:t>
      </w:r>
      <w:r w:rsidR="000C671E" w:rsidRPr="00563EF2">
        <w:rPr>
          <w:rFonts w:asciiTheme="minorHAnsi" w:hAnsiTheme="minorHAnsi"/>
          <w:sz w:val="22"/>
        </w:rPr>
        <w:t xml:space="preserve"> (sprzedaży)</w:t>
      </w:r>
      <w:r w:rsidRPr="00563EF2">
        <w:rPr>
          <w:rFonts w:asciiTheme="minorHAnsi" w:hAnsiTheme="minorHAnsi"/>
          <w:sz w:val="22"/>
        </w:rPr>
        <w:t xml:space="preserve"> pozostałych lokali socjalnych o 1 380 lokali w latach 2014-2018.  </w:t>
      </w:r>
      <w:r w:rsidR="008A15DA" w:rsidRPr="00563EF2">
        <w:rPr>
          <w:rFonts w:asciiTheme="minorHAnsi" w:hAnsiTheme="minorHAnsi"/>
          <w:sz w:val="22"/>
        </w:rPr>
        <w:t>Zakładany dochód ze sprzedaży mieszkań wynosi 19,9 mln zł.</w:t>
      </w:r>
    </w:p>
    <w:p w:rsidR="00D76525" w:rsidRPr="00563EF2" w:rsidRDefault="00D76525" w:rsidP="006A7975">
      <w:pPr>
        <w:rPr>
          <w:rFonts w:asciiTheme="minorHAnsi" w:hAnsiTheme="minorHAnsi"/>
          <w:i/>
          <w:sz w:val="22"/>
        </w:rPr>
      </w:pPr>
    </w:p>
    <w:p w:rsidR="00A624AE" w:rsidRPr="00EA4219" w:rsidRDefault="00A624AE" w:rsidP="00A624AE">
      <w:pPr>
        <w:pStyle w:val="Legenda"/>
        <w:keepNext/>
        <w:rPr>
          <w:rFonts w:asciiTheme="minorHAnsi" w:hAnsiTheme="minorHAnsi"/>
          <w:sz w:val="20"/>
        </w:rPr>
      </w:pPr>
      <w:r w:rsidRPr="00EA4219">
        <w:rPr>
          <w:rFonts w:asciiTheme="minorHAnsi" w:hAnsiTheme="minorHAnsi"/>
          <w:sz w:val="20"/>
        </w:rPr>
        <w:t xml:space="preserve">Wykres </w:t>
      </w:r>
      <w:r w:rsidR="005A0296" w:rsidRPr="00EA4219">
        <w:rPr>
          <w:rFonts w:asciiTheme="minorHAnsi" w:hAnsiTheme="minorHAnsi"/>
          <w:sz w:val="20"/>
        </w:rPr>
        <w:fldChar w:fldCharType="begin"/>
      </w:r>
      <w:r w:rsidR="005A0296" w:rsidRPr="00EA4219">
        <w:rPr>
          <w:rFonts w:asciiTheme="minorHAnsi" w:hAnsiTheme="minorHAnsi"/>
          <w:sz w:val="20"/>
        </w:rPr>
        <w:instrText xml:space="preserve"> SEQ Wykres \* ARABIC </w:instrText>
      </w:r>
      <w:r w:rsidR="005A0296" w:rsidRPr="00EA4219">
        <w:rPr>
          <w:rFonts w:asciiTheme="minorHAnsi" w:hAnsiTheme="minorHAnsi"/>
          <w:sz w:val="20"/>
        </w:rPr>
        <w:fldChar w:fldCharType="separate"/>
      </w:r>
      <w:r w:rsidR="007B2916">
        <w:rPr>
          <w:rFonts w:asciiTheme="minorHAnsi" w:hAnsiTheme="minorHAnsi"/>
          <w:noProof/>
          <w:sz w:val="20"/>
        </w:rPr>
        <w:t>15</w:t>
      </w:r>
      <w:r w:rsidR="005A0296" w:rsidRPr="00EA4219">
        <w:rPr>
          <w:rFonts w:asciiTheme="minorHAnsi" w:hAnsiTheme="minorHAnsi"/>
          <w:sz w:val="20"/>
        </w:rPr>
        <w:fldChar w:fldCharType="end"/>
      </w:r>
      <w:r w:rsidRPr="00EA4219">
        <w:rPr>
          <w:rFonts w:asciiTheme="minorHAnsi" w:hAnsiTheme="minorHAnsi"/>
          <w:sz w:val="20"/>
        </w:rPr>
        <w:t>. Prognozowane zmiany zasobu lok</w:t>
      </w:r>
      <w:r w:rsidR="00A41138">
        <w:rPr>
          <w:rFonts w:asciiTheme="minorHAnsi" w:hAnsiTheme="minorHAnsi"/>
          <w:sz w:val="20"/>
        </w:rPr>
        <w:t>ali socjalnych w latach 2014-2018</w:t>
      </w:r>
    </w:p>
    <w:p w:rsidR="00214A08" w:rsidRPr="00563EF2" w:rsidRDefault="00214A08" w:rsidP="00FD7676">
      <w:pPr>
        <w:rPr>
          <w:rFonts w:asciiTheme="minorHAnsi" w:hAnsiTheme="minorHAnsi"/>
          <w:sz w:val="22"/>
        </w:rPr>
      </w:pPr>
      <w:r w:rsidRPr="00563EF2">
        <w:rPr>
          <w:rFonts w:asciiTheme="minorHAnsi" w:hAnsiTheme="minorHAnsi"/>
          <w:noProof/>
          <w:sz w:val="22"/>
          <w:lang w:eastAsia="pl-PL"/>
        </w:rPr>
        <w:drawing>
          <wp:inline distT="0" distB="0" distL="0" distR="0" wp14:anchorId="44949070" wp14:editId="1275E365">
            <wp:extent cx="4572000" cy="2524125"/>
            <wp:effectExtent l="19050" t="0" r="19050" b="0"/>
            <wp:docPr id="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A7975" w:rsidRPr="00A50D78" w:rsidRDefault="006A7975" w:rsidP="006A7975">
      <w:pPr>
        <w:rPr>
          <w:rFonts w:asciiTheme="minorHAnsi" w:hAnsiTheme="minorHAnsi"/>
          <w:sz w:val="20"/>
        </w:rPr>
      </w:pPr>
      <w:r w:rsidRPr="00A50D78">
        <w:rPr>
          <w:rFonts w:asciiTheme="minorHAnsi" w:hAnsiTheme="minorHAnsi"/>
          <w:sz w:val="20"/>
        </w:rPr>
        <w:t xml:space="preserve">Źródło: </w:t>
      </w:r>
      <w:r w:rsidR="008A15DA" w:rsidRPr="00A50D78">
        <w:rPr>
          <w:rFonts w:asciiTheme="minorHAnsi" w:hAnsiTheme="minorHAnsi"/>
          <w:sz w:val="20"/>
        </w:rPr>
        <w:t xml:space="preserve">Opracowanie własne na podstawie: </w:t>
      </w:r>
      <w:r w:rsidRPr="00A50D78">
        <w:rPr>
          <w:rFonts w:asciiTheme="minorHAnsi" w:hAnsiTheme="minorHAnsi"/>
          <w:i/>
          <w:sz w:val="20"/>
        </w:rPr>
        <w:t>Wieloletni program gospodarowania mieszkaniowym zasobem miasta Legnicy na lata</w:t>
      </w:r>
      <w:r w:rsidR="008A15DA" w:rsidRPr="00A50D78">
        <w:rPr>
          <w:rFonts w:asciiTheme="minorHAnsi" w:hAnsiTheme="minorHAnsi"/>
          <w:i/>
          <w:sz w:val="20"/>
        </w:rPr>
        <w:t xml:space="preserve"> 2014 – 2018</w:t>
      </w:r>
      <w:r w:rsidR="008A15DA" w:rsidRPr="00A50D78">
        <w:rPr>
          <w:rFonts w:asciiTheme="minorHAnsi" w:hAnsiTheme="minorHAnsi"/>
          <w:sz w:val="20"/>
        </w:rPr>
        <w:t>, Urząd Miasta Legnicy, 2014 r.</w:t>
      </w:r>
    </w:p>
    <w:p w:rsidR="00420265" w:rsidRPr="00563EF2" w:rsidRDefault="00420265" w:rsidP="006A7975">
      <w:pPr>
        <w:rPr>
          <w:rFonts w:asciiTheme="minorHAnsi" w:hAnsiTheme="minorHAnsi"/>
          <w:sz w:val="22"/>
        </w:rPr>
      </w:pPr>
    </w:p>
    <w:p w:rsidR="003C67A9" w:rsidRDefault="008A15DA" w:rsidP="003C67A9">
      <w:pPr>
        <w:spacing w:after="160"/>
        <w:rPr>
          <w:rFonts w:asciiTheme="minorHAnsi" w:hAnsiTheme="minorHAnsi"/>
          <w:sz w:val="22"/>
        </w:rPr>
      </w:pPr>
      <w:r w:rsidRPr="00563EF2">
        <w:rPr>
          <w:rFonts w:asciiTheme="minorHAnsi" w:hAnsiTheme="minorHAnsi"/>
          <w:sz w:val="22"/>
        </w:rPr>
        <w:t>Na dzień 1 października 2013r. w lokalach komunalnych obowiązywała stawka bazowa czynszu w wysokości 3,93</w:t>
      </w:r>
      <w:r w:rsidRPr="00563EF2">
        <w:rPr>
          <w:rFonts w:asciiTheme="minorHAnsi" w:hAnsiTheme="minorHAnsi"/>
          <w:b/>
          <w:sz w:val="22"/>
        </w:rPr>
        <w:t xml:space="preserve"> </w:t>
      </w:r>
      <w:r w:rsidRPr="00563EF2">
        <w:rPr>
          <w:rFonts w:asciiTheme="minorHAnsi" w:hAnsiTheme="minorHAnsi"/>
          <w:sz w:val="22"/>
        </w:rPr>
        <w:t>zł/m², maksymalna stawka czynszowa obowiązująca w zasobie wynosi zaś 5,90</w:t>
      </w:r>
      <w:r w:rsidRPr="00563EF2">
        <w:rPr>
          <w:rFonts w:asciiTheme="minorHAnsi" w:hAnsiTheme="minorHAnsi"/>
          <w:b/>
          <w:sz w:val="22"/>
        </w:rPr>
        <w:t xml:space="preserve"> </w:t>
      </w:r>
      <w:r w:rsidRPr="00563EF2">
        <w:rPr>
          <w:rFonts w:asciiTheme="minorHAnsi" w:hAnsiTheme="minorHAnsi"/>
          <w:sz w:val="22"/>
        </w:rPr>
        <w:t xml:space="preserve">zł/m². </w:t>
      </w:r>
    </w:p>
    <w:p w:rsidR="009532EC" w:rsidRDefault="009532EC" w:rsidP="003C67A9">
      <w:pPr>
        <w:spacing w:after="160"/>
        <w:rPr>
          <w:rFonts w:asciiTheme="minorHAnsi" w:eastAsiaTheme="majorEastAsia" w:hAnsiTheme="minorHAnsi" w:cstheme="majorBidi"/>
          <w:color w:val="2E74B5" w:themeColor="accent1" w:themeShade="BF"/>
          <w:sz w:val="22"/>
        </w:rPr>
      </w:pPr>
    </w:p>
    <w:p w:rsidR="00450A71" w:rsidRPr="00EC5484" w:rsidRDefault="00450A71" w:rsidP="00EC5484">
      <w:pPr>
        <w:pStyle w:val="Nagwek2"/>
        <w:rPr>
          <w:szCs w:val="22"/>
        </w:rPr>
      </w:pPr>
      <w:bookmarkStart w:id="32" w:name="_Toc399756319"/>
      <w:r w:rsidRPr="00EC5484">
        <w:rPr>
          <w:szCs w:val="22"/>
        </w:rPr>
        <w:t>Sfera kulturowa</w:t>
      </w:r>
      <w:bookmarkEnd w:id="32"/>
    </w:p>
    <w:p w:rsidR="00215C32" w:rsidRPr="00563EF2" w:rsidRDefault="00215C32" w:rsidP="00FD7676">
      <w:pPr>
        <w:rPr>
          <w:rFonts w:asciiTheme="minorHAnsi" w:hAnsiTheme="minorHAnsi"/>
          <w:sz w:val="22"/>
        </w:rPr>
      </w:pPr>
    </w:p>
    <w:p w:rsidR="00234E41" w:rsidRDefault="000535DD" w:rsidP="00FD7676">
      <w:pPr>
        <w:rPr>
          <w:rFonts w:asciiTheme="minorHAnsi" w:hAnsiTheme="minorHAnsi"/>
          <w:sz w:val="22"/>
        </w:rPr>
      </w:pPr>
      <w:r w:rsidRPr="00563EF2">
        <w:rPr>
          <w:rFonts w:asciiTheme="minorHAnsi" w:hAnsiTheme="minorHAnsi"/>
          <w:sz w:val="22"/>
        </w:rPr>
        <w:t>Legnica stanowi jedno z najważniejszych cent</w:t>
      </w:r>
      <w:r w:rsidR="00450A71" w:rsidRPr="00563EF2">
        <w:rPr>
          <w:rFonts w:asciiTheme="minorHAnsi" w:hAnsiTheme="minorHAnsi"/>
          <w:sz w:val="22"/>
        </w:rPr>
        <w:t>rów kulturowych Dolnego Śląska</w:t>
      </w:r>
      <w:r w:rsidR="00234E41" w:rsidRPr="00563EF2">
        <w:rPr>
          <w:rFonts w:asciiTheme="minorHAnsi" w:hAnsiTheme="minorHAnsi"/>
          <w:sz w:val="22"/>
        </w:rPr>
        <w:t>. Zlokalizowane są w niej instytucje kulturalne i zabytki unikatowe w skali regionu, województwa i kraju.  Bogata przeszłość oraz</w:t>
      </w:r>
      <w:r w:rsidR="00023A63" w:rsidRPr="00563EF2">
        <w:rPr>
          <w:rFonts w:asciiTheme="minorHAnsi" w:hAnsiTheme="minorHAnsi"/>
          <w:sz w:val="22"/>
        </w:rPr>
        <w:t xml:space="preserve"> historyczna wielonarodowość Legnicy nadały miastu charakter swoistego tygla</w:t>
      </w:r>
      <w:r w:rsidR="00AE4B8D" w:rsidRPr="00563EF2">
        <w:rPr>
          <w:rFonts w:asciiTheme="minorHAnsi" w:hAnsiTheme="minorHAnsi"/>
          <w:sz w:val="22"/>
        </w:rPr>
        <w:t xml:space="preserve"> narodowościowego</w:t>
      </w:r>
      <w:r w:rsidR="00A41138">
        <w:rPr>
          <w:rFonts w:asciiTheme="minorHAnsi" w:hAnsiTheme="minorHAnsi"/>
          <w:sz w:val="22"/>
        </w:rPr>
        <w:t>,</w:t>
      </w:r>
      <w:r w:rsidR="00AE4B8D" w:rsidRPr="00563EF2">
        <w:rPr>
          <w:rFonts w:asciiTheme="minorHAnsi" w:hAnsiTheme="minorHAnsi"/>
          <w:sz w:val="22"/>
        </w:rPr>
        <w:t xml:space="preserve"> czerpiącego z</w:t>
      </w:r>
      <w:r w:rsidR="00023A63" w:rsidRPr="00563EF2">
        <w:rPr>
          <w:rFonts w:asciiTheme="minorHAnsi" w:hAnsiTheme="minorHAnsi"/>
          <w:sz w:val="22"/>
        </w:rPr>
        <w:t xml:space="preserve"> </w:t>
      </w:r>
      <w:r w:rsidR="00234E41" w:rsidRPr="00563EF2">
        <w:rPr>
          <w:rFonts w:asciiTheme="minorHAnsi" w:hAnsiTheme="minorHAnsi"/>
          <w:sz w:val="22"/>
        </w:rPr>
        <w:t>tradycji i kultur</w:t>
      </w:r>
      <w:r w:rsidR="00AE4B8D" w:rsidRPr="00563EF2">
        <w:rPr>
          <w:rFonts w:asciiTheme="minorHAnsi" w:hAnsiTheme="minorHAnsi"/>
          <w:sz w:val="22"/>
        </w:rPr>
        <w:t>y swoich mieszkańców. Liczne nacje</w:t>
      </w:r>
      <w:r w:rsidR="001B3B74">
        <w:rPr>
          <w:rFonts w:asciiTheme="minorHAnsi" w:hAnsiTheme="minorHAnsi"/>
          <w:sz w:val="22"/>
        </w:rPr>
        <w:t>,</w:t>
      </w:r>
      <w:r w:rsidR="00AE4B8D" w:rsidRPr="00563EF2">
        <w:rPr>
          <w:rFonts w:asciiTheme="minorHAnsi" w:hAnsiTheme="minorHAnsi"/>
          <w:sz w:val="22"/>
        </w:rPr>
        <w:t xml:space="preserve"> jakie zamieszkiwały Legnicę na przestrzeni wieków, czyli przede wszystkim</w:t>
      </w:r>
      <w:r w:rsidR="00234E41" w:rsidRPr="00563EF2">
        <w:rPr>
          <w:rFonts w:asciiTheme="minorHAnsi" w:hAnsiTheme="minorHAnsi"/>
          <w:sz w:val="22"/>
        </w:rPr>
        <w:t xml:space="preserve"> Polacy, Czesi, Niemcy, Ślązacy, Rosjan</w:t>
      </w:r>
      <w:r w:rsidR="001B3B74">
        <w:rPr>
          <w:rFonts w:asciiTheme="minorHAnsi" w:hAnsiTheme="minorHAnsi"/>
          <w:sz w:val="22"/>
        </w:rPr>
        <w:t>ie, Ukraińcy, Łemkowie, Romowie</w:t>
      </w:r>
      <w:r w:rsidR="00234E41" w:rsidRPr="00563EF2">
        <w:rPr>
          <w:rFonts w:asciiTheme="minorHAnsi" w:hAnsiTheme="minorHAnsi"/>
          <w:sz w:val="22"/>
        </w:rPr>
        <w:t xml:space="preserve"> czy Żydzi odcisnęły na Legnicy silne piętno i </w:t>
      </w:r>
      <w:r w:rsidR="00AE4B8D" w:rsidRPr="00563EF2">
        <w:rPr>
          <w:rFonts w:asciiTheme="minorHAnsi" w:hAnsiTheme="minorHAnsi"/>
          <w:sz w:val="22"/>
        </w:rPr>
        <w:t xml:space="preserve">ukształtowały jej </w:t>
      </w:r>
      <w:r w:rsidR="00234E41" w:rsidRPr="00563EF2">
        <w:rPr>
          <w:rFonts w:asciiTheme="minorHAnsi" w:hAnsiTheme="minorHAnsi"/>
          <w:sz w:val="22"/>
        </w:rPr>
        <w:t>niepowtarzalny</w:t>
      </w:r>
      <w:r w:rsidR="00AE4B8D" w:rsidRPr="00563EF2">
        <w:rPr>
          <w:rFonts w:asciiTheme="minorHAnsi" w:hAnsiTheme="minorHAnsi"/>
          <w:sz w:val="22"/>
        </w:rPr>
        <w:t>, wielokulturowy</w:t>
      </w:r>
      <w:r w:rsidR="00234E41" w:rsidRPr="00563EF2">
        <w:rPr>
          <w:rFonts w:asciiTheme="minorHAnsi" w:hAnsiTheme="minorHAnsi"/>
          <w:sz w:val="22"/>
        </w:rPr>
        <w:t xml:space="preserve"> charakter wi</w:t>
      </w:r>
      <w:r w:rsidR="001B3B74">
        <w:rPr>
          <w:rFonts w:asciiTheme="minorHAnsi" w:hAnsiTheme="minorHAnsi"/>
          <w:sz w:val="22"/>
        </w:rPr>
        <w:t>doczny w architekturze i życiu m</w:t>
      </w:r>
      <w:r w:rsidR="00234E41" w:rsidRPr="00563EF2">
        <w:rPr>
          <w:rFonts w:asciiTheme="minorHAnsi" w:hAnsiTheme="minorHAnsi"/>
          <w:sz w:val="22"/>
        </w:rPr>
        <w:t>iasta.</w:t>
      </w:r>
    </w:p>
    <w:p w:rsidR="009535DE" w:rsidRDefault="009535DE" w:rsidP="00FD7676">
      <w:pPr>
        <w:rPr>
          <w:rFonts w:asciiTheme="minorHAnsi" w:hAnsiTheme="minorHAnsi"/>
          <w:sz w:val="22"/>
        </w:rPr>
      </w:pPr>
    </w:p>
    <w:p w:rsidR="009535DE" w:rsidRPr="00563EF2" w:rsidRDefault="009535DE" w:rsidP="009535DE">
      <w:pPr>
        <w:rPr>
          <w:rFonts w:asciiTheme="minorHAnsi" w:hAnsiTheme="minorHAnsi"/>
          <w:sz w:val="22"/>
        </w:rPr>
      </w:pPr>
      <w:r w:rsidRPr="00563EF2">
        <w:rPr>
          <w:rFonts w:asciiTheme="minorHAnsi" w:hAnsiTheme="minorHAnsi"/>
          <w:sz w:val="22"/>
        </w:rPr>
        <w:t xml:space="preserve">Wielokulturowość, tradycja i historia Legnicy obecna jest  w jej życiu kulturalnym. Odbywają się tu liczne, nierzadko unikatowe w skali </w:t>
      </w:r>
      <w:r w:rsidR="001B3B74">
        <w:rPr>
          <w:rFonts w:asciiTheme="minorHAnsi" w:hAnsiTheme="minorHAnsi"/>
          <w:sz w:val="22"/>
        </w:rPr>
        <w:t>województwa, a nawet kraju</w:t>
      </w:r>
      <w:r w:rsidRPr="00563EF2">
        <w:rPr>
          <w:rFonts w:asciiTheme="minorHAnsi" w:hAnsiTheme="minorHAnsi"/>
          <w:sz w:val="22"/>
        </w:rPr>
        <w:t xml:space="preserve"> wydarzenia artystyczne i kulturowe</w:t>
      </w:r>
      <w:r w:rsidR="00A41138">
        <w:rPr>
          <w:rFonts w:asciiTheme="minorHAnsi" w:hAnsiTheme="minorHAnsi"/>
          <w:sz w:val="22"/>
        </w:rPr>
        <w:t>,</w:t>
      </w:r>
      <w:r w:rsidRPr="00563EF2">
        <w:rPr>
          <w:rFonts w:asciiTheme="minorHAnsi" w:hAnsiTheme="minorHAnsi"/>
          <w:sz w:val="22"/>
        </w:rPr>
        <w:t xml:space="preserve"> </w:t>
      </w:r>
      <w:r w:rsidR="001B3B74">
        <w:rPr>
          <w:rFonts w:asciiTheme="minorHAnsi" w:hAnsiTheme="minorHAnsi"/>
          <w:sz w:val="22"/>
        </w:rPr>
        <w:t xml:space="preserve">takie </w:t>
      </w:r>
      <w:r w:rsidRPr="00563EF2">
        <w:rPr>
          <w:rFonts w:asciiTheme="minorHAnsi" w:hAnsiTheme="minorHAnsi"/>
          <w:sz w:val="22"/>
        </w:rPr>
        <w:t xml:space="preserve">jak m.in.: organizowane przez Łemkowski Zespół Pieśni i Tańca „Kyczera” Międzynarodowe Spotkania Mniejszości Narodowych i Etnicznych „Pod Kyczerą”, organizowana przez Legnickie Centrum Kultury - Międzynarodowa Wystawa SATYRYKON, Ogólnopolski Turniej Chórów LEGNICA CANTAT, Conversatorium Organowe, Letnia Akademia Filmowa - Warsztaty Filmu Animowanego, organizowany przez Galerię Sztuki Legnicki Festiwal Srebra SREBRO z Międzynarodowym Konkursem Sztuki Złotniczej, czy </w:t>
      </w:r>
      <w:r w:rsidR="001B3B74">
        <w:rPr>
          <w:rFonts w:asciiTheme="minorHAnsi" w:hAnsiTheme="minorHAnsi"/>
          <w:sz w:val="22"/>
        </w:rPr>
        <w:t>głośne premiery</w:t>
      </w:r>
      <w:r w:rsidRPr="00563EF2">
        <w:rPr>
          <w:rFonts w:asciiTheme="minorHAnsi" w:hAnsiTheme="minorHAnsi"/>
          <w:sz w:val="22"/>
        </w:rPr>
        <w:t xml:space="preserve"> Teatr</w:t>
      </w:r>
      <w:r w:rsidR="001B3B74">
        <w:rPr>
          <w:rFonts w:asciiTheme="minorHAnsi" w:hAnsiTheme="minorHAnsi"/>
          <w:sz w:val="22"/>
        </w:rPr>
        <w:t>u</w:t>
      </w:r>
      <w:r w:rsidRPr="00563EF2">
        <w:rPr>
          <w:rFonts w:asciiTheme="minorHAnsi" w:hAnsiTheme="minorHAnsi"/>
          <w:sz w:val="22"/>
        </w:rPr>
        <w:t xml:space="preserve"> </w:t>
      </w:r>
      <w:r w:rsidR="001B3B74">
        <w:rPr>
          <w:rFonts w:asciiTheme="minorHAnsi" w:hAnsiTheme="minorHAnsi"/>
          <w:sz w:val="22"/>
        </w:rPr>
        <w:t>im. Heleny Modrzejewskiej</w:t>
      </w:r>
      <w:r w:rsidRPr="00563EF2">
        <w:rPr>
          <w:rFonts w:asciiTheme="minorHAnsi" w:hAnsiTheme="minorHAnsi"/>
          <w:sz w:val="22"/>
        </w:rPr>
        <w:t>.</w:t>
      </w:r>
    </w:p>
    <w:p w:rsidR="009D0270" w:rsidRPr="00563EF2" w:rsidRDefault="009D0270" w:rsidP="00FD7676">
      <w:pPr>
        <w:rPr>
          <w:rFonts w:asciiTheme="minorHAnsi" w:hAnsiTheme="minorHAnsi"/>
          <w:sz w:val="22"/>
        </w:rPr>
      </w:pPr>
    </w:p>
    <w:p w:rsidR="00234E41" w:rsidRDefault="00234E41" w:rsidP="00FD7676">
      <w:pPr>
        <w:rPr>
          <w:rFonts w:asciiTheme="minorHAnsi" w:hAnsiTheme="minorHAnsi"/>
          <w:sz w:val="22"/>
        </w:rPr>
      </w:pPr>
      <w:r w:rsidRPr="00563EF2">
        <w:rPr>
          <w:rFonts w:asciiTheme="minorHAnsi" w:hAnsiTheme="minorHAnsi"/>
          <w:sz w:val="22"/>
        </w:rPr>
        <w:t xml:space="preserve">Wszystkie wyżej wymienione czynniki sprawiają, że </w:t>
      </w:r>
      <w:r w:rsidR="00450A71" w:rsidRPr="00563EF2">
        <w:rPr>
          <w:rFonts w:asciiTheme="minorHAnsi" w:hAnsiTheme="minorHAnsi"/>
          <w:sz w:val="22"/>
        </w:rPr>
        <w:t>rola</w:t>
      </w:r>
      <w:r w:rsidR="004E3ACB" w:rsidRPr="00563EF2">
        <w:rPr>
          <w:rFonts w:asciiTheme="minorHAnsi" w:hAnsiTheme="minorHAnsi"/>
          <w:sz w:val="22"/>
        </w:rPr>
        <w:t xml:space="preserve"> polityki miejskiej w zakresie</w:t>
      </w:r>
      <w:r w:rsidR="0033475A">
        <w:rPr>
          <w:rFonts w:asciiTheme="minorHAnsi" w:hAnsiTheme="minorHAnsi"/>
          <w:sz w:val="22"/>
        </w:rPr>
        <w:t xml:space="preserve"> kultury i </w:t>
      </w:r>
      <w:r w:rsidR="00450A71" w:rsidRPr="00563EF2">
        <w:rPr>
          <w:rFonts w:asciiTheme="minorHAnsi" w:hAnsiTheme="minorHAnsi"/>
          <w:sz w:val="22"/>
        </w:rPr>
        <w:t>dziedzictwa narodowego wykracza swo</w:t>
      </w:r>
      <w:r w:rsidRPr="00563EF2">
        <w:rPr>
          <w:rFonts w:asciiTheme="minorHAnsi" w:hAnsiTheme="minorHAnsi"/>
          <w:sz w:val="22"/>
        </w:rPr>
        <w:t>im oddziaływaniem poza granice M</w:t>
      </w:r>
      <w:r w:rsidR="00450A71" w:rsidRPr="00563EF2">
        <w:rPr>
          <w:rFonts w:asciiTheme="minorHAnsi" w:hAnsiTheme="minorHAnsi"/>
          <w:sz w:val="22"/>
        </w:rPr>
        <w:t>iasta</w:t>
      </w:r>
      <w:r w:rsidR="00AE4B8D" w:rsidRPr="00563EF2">
        <w:rPr>
          <w:rFonts w:asciiTheme="minorHAnsi" w:hAnsiTheme="minorHAnsi"/>
          <w:sz w:val="22"/>
        </w:rPr>
        <w:t>,</w:t>
      </w:r>
      <w:r w:rsidR="00450A71" w:rsidRPr="00563EF2">
        <w:rPr>
          <w:rFonts w:asciiTheme="minorHAnsi" w:hAnsiTheme="minorHAnsi"/>
          <w:sz w:val="22"/>
        </w:rPr>
        <w:t xml:space="preserve"> wpływając na rozwój kulturowy</w:t>
      </w:r>
      <w:r w:rsidRPr="00563EF2">
        <w:rPr>
          <w:rFonts w:asciiTheme="minorHAnsi" w:hAnsiTheme="minorHAnsi"/>
          <w:sz w:val="22"/>
        </w:rPr>
        <w:t xml:space="preserve"> całego regionu i</w:t>
      </w:r>
      <w:r w:rsidR="004E3ACB" w:rsidRPr="00563EF2">
        <w:rPr>
          <w:rFonts w:asciiTheme="minorHAnsi" w:hAnsiTheme="minorHAnsi"/>
          <w:sz w:val="22"/>
        </w:rPr>
        <w:t xml:space="preserve"> znacznej części</w:t>
      </w:r>
      <w:r w:rsidRPr="00563EF2">
        <w:rPr>
          <w:rFonts w:asciiTheme="minorHAnsi" w:hAnsiTheme="minorHAnsi"/>
          <w:sz w:val="22"/>
        </w:rPr>
        <w:t xml:space="preserve"> województwa dolnośląskiego</w:t>
      </w:r>
      <w:r w:rsidR="00450A71" w:rsidRPr="00563EF2">
        <w:rPr>
          <w:rFonts w:asciiTheme="minorHAnsi" w:hAnsiTheme="minorHAnsi"/>
          <w:sz w:val="22"/>
        </w:rPr>
        <w:t>.</w:t>
      </w:r>
    </w:p>
    <w:p w:rsidR="004D38C6" w:rsidRPr="00563EF2" w:rsidRDefault="004D38C6" w:rsidP="00FD7676">
      <w:pPr>
        <w:rPr>
          <w:rFonts w:asciiTheme="minorHAnsi" w:hAnsiTheme="minorHAnsi"/>
          <w:sz w:val="22"/>
        </w:rPr>
      </w:pPr>
    </w:p>
    <w:p w:rsidR="009D0270" w:rsidRPr="00EB06A5" w:rsidRDefault="009D0270" w:rsidP="00EC5484">
      <w:pPr>
        <w:pStyle w:val="Nagwek3"/>
      </w:pPr>
      <w:bookmarkStart w:id="33" w:name="_Toc399756320"/>
      <w:r w:rsidRPr="00EB06A5">
        <w:t>Dziedzictwo kulturowe</w:t>
      </w:r>
      <w:bookmarkEnd w:id="33"/>
    </w:p>
    <w:p w:rsidR="00F12D29" w:rsidRPr="00563EF2" w:rsidRDefault="00F12D29" w:rsidP="00FD7676">
      <w:pPr>
        <w:rPr>
          <w:rFonts w:asciiTheme="minorHAnsi" w:hAnsiTheme="minorHAnsi"/>
          <w:sz w:val="22"/>
        </w:rPr>
      </w:pPr>
    </w:p>
    <w:p w:rsidR="0081600F" w:rsidRPr="00563EF2" w:rsidRDefault="0081600F" w:rsidP="00FD7676">
      <w:pPr>
        <w:rPr>
          <w:rFonts w:asciiTheme="minorHAnsi" w:hAnsiTheme="minorHAnsi"/>
          <w:sz w:val="22"/>
        </w:rPr>
      </w:pPr>
      <w:r w:rsidRPr="00563EF2">
        <w:rPr>
          <w:rFonts w:asciiTheme="minorHAnsi" w:hAnsiTheme="minorHAnsi"/>
          <w:sz w:val="22"/>
        </w:rPr>
        <w:t xml:space="preserve">Ochronie konserwatorskiej podlega obszar miasta o powierzchni 265 ha, czyli około 5% całego terytorium Legnicy. </w:t>
      </w:r>
    </w:p>
    <w:p w:rsidR="00F12D29" w:rsidRPr="00563EF2" w:rsidRDefault="00F12D29" w:rsidP="00FD7676">
      <w:pPr>
        <w:rPr>
          <w:rFonts w:asciiTheme="minorHAnsi" w:hAnsiTheme="minorHAnsi"/>
          <w:sz w:val="22"/>
        </w:rPr>
      </w:pPr>
    </w:p>
    <w:p w:rsidR="00F12D29" w:rsidRPr="00563EF2" w:rsidRDefault="00F12D29" w:rsidP="00FD7676">
      <w:pPr>
        <w:rPr>
          <w:rFonts w:asciiTheme="minorHAnsi" w:hAnsiTheme="minorHAnsi"/>
          <w:sz w:val="22"/>
        </w:rPr>
      </w:pPr>
      <w:r w:rsidRPr="00563EF2">
        <w:rPr>
          <w:rFonts w:asciiTheme="minorHAnsi" w:hAnsiTheme="minorHAnsi"/>
          <w:i/>
          <w:sz w:val="22"/>
        </w:rPr>
        <w:t>Gminny program opieki nad zabytkami miasta Legnicy</w:t>
      </w:r>
      <w:r w:rsidRPr="00563EF2">
        <w:rPr>
          <w:rFonts w:asciiTheme="minorHAnsi" w:hAnsiTheme="minorHAnsi"/>
          <w:sz w:val="22"/>
        </w:rPr>
        <w:t xml:space="preserve"> z 2006 r. wskazuje na trzy podstawowe źródła ochrony zabytków, są to:</w:t>
      </w:r>
    </w:p>
    <w:p w:rsidR="00F12D29" w:rsidRPr="00563EF2" w:rsidRDefault="00F12D29" w:rsidP="00FD7676">
      <w:pPr>
        <w:pStyle w:val="Akapitzlist"/>
        <w:numPr>
          <w:ilvl w:val="0"/>
          <w:numId w:val="13"/>
        </w:numPr>
        <w:spacing w:after="200"/>
        <w:rPr>
          <w:rFonts w:asciiTheme="minorHAnsi" w:hAnsiTheme="minorHAnsi"/>
          <w:sz w:val="22"/>
        </w:rPr>
      </w:pPr>
      <w:r w:rsidRPr="00563EF2">
        <w:rPr>
          <w:rFonts w:asciiTheme="minorHAnsi" w:hAnsiTheme="minorHAnsi"/>
          <w:sz w:val="22"/>
        </w:rPr>
        <w:t>rejestr zabytków,</w:t>
      </w:r>
    </w:p>
    <w:p w:rsidR="00F12D29" w:rsidRPr="00563EF2" w:rsidRDefault="00F12D29" w:rsidP="00FD7676">
      <w:pPr>
        <w:pStyle w:val="Akapitzlist"/>
        <w:numPr>
          <w:ilvl w:val="0"/>
          <w:numId w:val="13"/>
        </w:numPr>
        <w:spacing w:after="200"/>
        <w:rPr>
          <w:rFonts w:asciiTheme="minorHAnsi" w:hAnsiTheme="minorHAnsi"/>
          <w:sz w:val="22"/>
        </w:rPr>
      </w:pPr>
      <w:r w:rsidRPr="00563EF2">
        <w:rPr>
          <w:rFonts w:asciiTheme="minorHAnsi" w:hAnsiTheme="minorHAnsi"/>
          <w:sz w:val="22"/>
        </w:rPr>
        <w:t>ewidencja dóbr kultury,</w:t>
      </w:r>
    </w:p>
    <w:p w:rsidR="00F12D29" w:rsidRPr="00563EF2" w:rsidRDefault="00F12D29" w:rsidP="00FD7676">
      <w:pPr>
        <w:pStyle w:val="Akapitzlist"/>
        <w:numPr>
          <w:ilvl w:val="0"/>
          <w:numId w:val="13"/>
        </w:numPr>
        <w:spacing w:after="200"/>
        <w:rPr>
          <w:rFonts w:asciiTheme="minorHAnsi" w:hAnsiTheme="minorHAnsi"/>
          <w:sz w:val="22"/>
        </w:rPr>
      </w:pPr>
      <w:r w:rsidRPr="00563EF2">
        <w:rPr>
          <w:rFonts w:asciiTheme="minorHAnsi" w:hAnsiTheme="minorHAnsi"/>
          <w:sz w:val="22"/>
        </w:rPr>
        <w:t>zapisy regulacyjne dotyczące polityki przestrzenn</w:t>
      </w:r>
      <w:r w:rsidR="003F615B">
        <w:rPr>
          <w:rFonts w:asciiTheme="minorHAnsi" w:hAnsiTheme="minorHAnsi"/>
          <w:sz w:val="22"/>
        </w:rPr>
        <w:t xml:space="preserve">ej wobec środowiska kulturowego </w:t>
      </w:r>
      <w:r w:rsidRPr="00563EF2">
        <w:rPr>
          <w:rFonts w:asciiTheme="minorHAnsi" w:hAnsiTheme="minorHAnsi"/>
          <w:sz w:val="22"/>
        </w:rPr>
        <w:t>wprowadzone do miejscowych planów zagospodarowania przestrzennego, w tym – ustalenia dotyczące stref ochrony konserwatorskiej.</w:t>
      </w:r>
    </w:p>
    <w:p w:rsidR="006E508F" w:rsidRPr="00563EF2" w:rsidRDefault="006E508F" w:rsidP="00FD7676">
      <w:pPr>
        <w:rPr>
          <w:rFonts w:asciiTheme="minorHAnsi" w:hAnsiTheme="minorHAnsi"/>
          <w:sz w:val="22"/>
        </w:rPr>
      </w:pPr>
      <w:r w:rsidRPr="00563EF2">
        <w:rPr>
          <w:rFonts w:asciiTheme="minorHAnsi" w:hAnsiTheme="minorHAnsi"/>
          <w:sz w:val="22"/>
        </w:rPr>
        <w:t xml:space="preserve">Wykaz zabytków w Legnicy obejmuje 2 372 pozycji, z czego 122 wpisane są do rejestru zabytków. </w:t>
      </w:r>
    </w:p>
    <w:p w:rsidR="00DE03A5" w:rsidRDefault="00DE03A5" w:rsidP="00FD7676">
      <w:pPr>
        <w:rPr>
          <w:rFonts w:asciiTheme="minorHAnsi" w:hAnsiTheme="minorHAnsi"/>
          <w:sz w:val="22"/>
        </w:rPr>
      </w:pPr>
    </w:p>
    <w:p w:rsidR="007E17F4" w:rsidRDefault="007E17F4" w:rsidP="00FD7676">
      <w:pPr>
        <w:pStyle w:val="Legenda"/>
        <w:keepNext/>
        <w:spacing w:line="276" w:lineRule="auto"/>
        <w:rPr>
          <w:rFonts w:asciiTheme="minorHAnsi" w:hAnsiTheme="minorHAnsi"/>
          <w:sz w:val="20"/>
          <w:szCs w:val="22"/>
        </w:rPr>
      </w:pPr>
      <w:r>
        <w:rPr>
          <w:rFonts w:asciiTheme="minorHAnsi" w:hAnsiTheme="minorHAnsi"/>
          <w:sz w:val="20"/>
          <w:szCs w:val="22"/>
        </w:rPr>
        <w:br w:type="page"/>
      </w:r>
    </w:p>
    <w:p w:rsidR="006E508F" w:rsidRPr="007F6382" w:rsidRDefault="006E508F" w:rsidP="00FD7676">
      <w:pPr>
        <w:pStyle w:val="Legenda"/>
        <w:keepNext/>
        <w:spacing w:line="276" w:lineRule="auto"/>
        <w:rPr>
          <w:rFonts w:asciiTheme="minorHAnsi" w:hAnsiTheme="minorHAnsi"/>
          <w:sz w:val="20"/>
          <w:szCs w:val="22"/>
        </w:rPr>
      </w:pPr>
      <w:r w:rsidRPr="007F6382">
        <w:rPr>
          <w:rFonts w:asciiTheme="minorHAnsi" w:hAnsiTheme="minorHAnsi"/>
          <w:sz w:val="20"/>
          <w:szCs w:val="22"/>
        </w:rPr>
        <w:t xml:space="preserve">Tabela </w:t>
      </w:r>
      <w:r w:rsidR="00017794" w:rsidRPr="007F6382">
        <w:rPr>
          <w:rFonts w:asciiTheme="minorHAnsi" w:hAnsiTheme="minorHAnsi"/>
          <w:sz w:val="20"/>
          <w:szCs w:val="22"/>
        </w:rPr>
        <w:fldChar w:fldCharType="begin"/>
      </w:r>
      <w:r w:rsidR="00307DD7" w:rsidRPr="007F6382">
        <w:rPr>
          <w:rFonts w:asciiTheme="minorHAnsi" w:hAnsiTheme="minorHAnsi"/>
          <w:sz w:val="20"/>
          <w:szCs w:val="22"/>
        </w:rPr>
        <w:instrText xml:space="preserve"> SEQ Tabela \* ARABIC </w:instrText>
      </w:r>
      <w:r w:rsidR="00017794" w:rsidRPr="007F6382">
        <w:rPr>
          <w:rFonts w:asciiTheme="minorHAnsi" w:hAnsiTheme="minorHAnsi"/>
          <w:sz w:val="20"/>
          <w:szCs w:val="22"/>
        </w:rPr>
        <w:fldChar w:fldCharType="separate"/>
      </w:r>
      <w:r w:rsidR="007B2916">
        <w:rPr>
          <w:rFonts w:asciiTheme="minorHAnsi" w:hAnsiTheme="minorHAnsi"/>
          <w:noProof/>
          <w:sz w:val="20"/>
          <w:szCs w:val="22"/>
        </w:rPr>
        <w:t>27</w:t>
      </w:r>
      <w:r w:rsidR="00017794" w:rsidRPr="007F6382">
        <w:rPr>
          <w:rFonts w:asciiTheme="minorHAnsi" w:hAnsiTheme="minorHAnsi"/>
          <w:sz w:val="20"/>
          <w:szCs w:val="22"/>
        </w:rPr>
        <w:fldChar w:fldCharType="end"/>
      </w:r>
      <w:r w:rsidRPr="007F6382">
        <w:rPr>
          <w:rFonts w:asciiTheme="minorHAnsi" w:hAnsiTheme="minorHAnsi"/>
          <w:sz w:val="20"/>
          <w:szCs w:val="22"/>
        </w:rPr>
        <w:t>. Wykaz zabytków w Legnicy (stan na XI 2013 r.)</w:t>
      </w:r>
    </w:p>
    <w:tbl>
      <w:tblPr>
        <w:tblW w:w="70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4"/>
        <w:gridCol w:w="976"/>
      </w:tblGrid>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Aleje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Budynki administracyjne i gospodarcze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100</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Budynki mieszkalne, mieszkalno-gospodarcze, mieszkalno-usługowe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r w:rsidR="00DA32CC" w:rsidRPr="00563EF2">
              <w:rPr>
                <w:rFonts w:asciiTheme="minorHAnsi" w:eastAsia="Times New Roman" w:hAnsiTheme="minorHAnsi" w:cs="Arial"/>
                <w:sz w:val="22"/>
              </w:rPr>
              <w:t xml:space="preserve"> </w:t>
            </w:r>
            <w:r w:rsidRPr="00563EF2">
              <w:rPr>
                <w:rFonts w:asciiTheme="minorHAnsi" w:eastAsia="Times New Roman" w:hAnsiTheme="minorHAnsi" w:cs="Arial"/>
                <w:sz w:val="22"/>
              </w:rPr>
              <w:t>871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Cmentarze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5</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Dworce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5</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Dwory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6</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Klasztory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4</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Koszary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2</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Kościoły, kaplice i plebanie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15</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Młyn</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Mury miejskie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Obiekty przemysłowe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57</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Obiekty publiczne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163</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Obory, stodoły i stajnie</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29</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Oficyny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11</w:t>
            </w:r>
          </w:p>
        </w:tc>
      </w:tr>
      <w:tr w:rsidR="006E508F" w:rsidRPr="00563EF2" w:rsidTr="00152940">
        <w:trPr>
          <w:trHeight w:val="255"/>
        </w:trPr>
        <w:tc>
          <w:tcPr>
            <w:tcW w:w="6114" w:type="dxa"/>
            <w:shd w:val="clear" w:color="auto" w:fill="auto"/>
            <w:noWrap/>
            <w:vAlign w:val="center"/>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Ogrodzenia i altany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6</w:t>
            </w:r>
          </w:p>
        </w:tc>
      </w:tr>
      <w:tr w:rsidR="006E508F" w:rsidRPr="00563EF2" w:rsidTr="00152940">
        <w:trPr>
          <w:trHeight w:val="255"/>
        </w:trPr>
        <w:tc>
          <w:tcPr>
            <w:tcW w:w="6114" w:type="dxa"/>
            <w:shd w:val="clear" w:color="auto" w:fill="auto"/>
            <w:noWrap/>
            <w:vAlign w:val="center"/>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Parki i ogrody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10</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Ratusz</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2</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Remiza</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Rządcówk</w:t>
            </w:r>
            <w:r w:rsidR="00282575">
              <w:rPr>
                <w:rFonts w:asciiTheme="minorHAnsi" w:eastAsia="Times New Roman" w:hAnsiTheme="minorHAnsi" w:cs="Arial"/>
                <w:b/>
                <w:sz w:val="22"/>
              </w:rPr>
              <w:t>i</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2</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Spichlerz</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 xml:space="preserve">Trafostacje </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4</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Wiadukty i mosty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6</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Wieża ciśnień</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Zamek</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1</w:t>
            </w:r>
          </w:p>
        </w:tc>
      </w:tr>
      <w:tr w:rsidR="006E508F" w:rsidRPr="00563EF2" w:rsidTr="00152940">
        <w:trPr>
          <w:trHeight w:val="255"/>
        </w:trPr>
        <w:tc>
          <w:tcPr>
            <w:tcW w:w="6114" w:type="dxa"/>
            <w:shd w:val="clear" w:color="auto" w:fill="auto"/>
            <w:noWrap/>
            <w:vAlign w:val="bottom"/>
            <w:hideMark/>
          </w:tcPr>
          <w:p w:rsidR="006E508F" w:rsidRPr="00563EF2" w:rsidRDefault="006E508F" w:rsidP="00FD7676">
            <w:pPr>
              <w:rPr>
                <w:rFonts w:asciiTheme="minorHAnsi" w:eastAsia="Times New Roman" w:hAnsiTheme="minorHAnsi" w:cs="Arial"/>
                <w:b/>
              </w:rPr>
            </w:pPr>
            <w:r w:rsidRPr="00563EF2">
              <w:rPr>
                <w:rFonts w:asciiTheme="minorHAnsi" w:eastAsia="Times New Roman" w:hAnsiTheme="minorHAnsi" w:cs="Arial"/>
                <w:b/>
                <w:sz w:val="22"/>
              </w:rPr>
              <w:t>Zespoły i obszary</w:t>
            </w:r>
          </w:p>
        </w:tc>
        <w:tc>
          <w:tcPr>
            <w:tcW w:w="976" w:type="dxa"/>
            <w:shd w:val="clear" w:color="auto" w:fill="auto"/>
            <w:noWrap/>
            <w:vAlign w:val="bottom"/>
            <w:hideMark/>
          </w:tcPr>
          <w:p w:rsidR="006E508F" w:rsidRPr="00563EF2" w:rsidRDefault="006E508F" w:rsidP="00FD7676">
            <w:pPr>
              <w:rPr>
                <w:rFonts w:asciiTheme="minorHAnsi" w:eastAsia="Times New Roman" w:hAnsiTheme="minorHAnsi" w:cs="Arial"/>
              </w:rPr>
            </w:pPr>
            <w:r w:rsidRPr="00563EF2">
              <w:rPr>
                <w:rFonts w:asciiTheme="minorHAnsi" w:eastAsia="Times New Roman" w:hAnsiTheme="minorHAnsi" w:cs="Arial"/>
                <w:sz w:val="22"/>
              </w:rPr>
              <w:t>67</w:t>
            </w:r>
          </w:p>
        </w:tc>
      </w:tr>
    </w:tbl>
    <w:p w:rsidR="004E3ACB" w:rsidRPr="00A50D78" w:rsidRDefault="006E508F" w:rsidP="00FD7676">
      <w:pPr>
        <w:rPr>
          <w:rFonts w:asciiTheme="minorHAnsi" w:hAnsiTheme="minorHAnsi"/>
          <w:sz w:val="20"/>
        </w:rPr>
      </w:pPr>
      <w:r w:rsidRPr="00A50D78">
        <w:rPr>
          <w:rFonts w:asciiTheme="minorHAnsi" w:hAnsiTheme="minorHAnsi"/>
          <w:sz w:val="20"/>
        </w:rPr>
        <w:t xml:space="preserve">Źródło: </w:t>
      </w:r>
      <w:r w:rsidRPr="00A50D78">
        <w:rPr>
          <w:rFonts w:asciiTheme="minorHAnsi" w:hAnsiTheme="minorHAnsi"/>
          <w:i/>
          <w:sz w:val="20"/>
        </w:rPr>
        <w:t>Wykaz zabytków miasta Legnica</w:t>
      </w:r>
      <w:r w:rsidRPr="00A50D78">
        <w:rPr>
          <w:rFonts w:asciiTheme="minorHAnsi" w:hAnsiTheme="minorHAnsi"/>
          <w:sz w:val="20"/>
        </w:rPr>
        <w:t>, Wojewódzki Urząd Ochrony Zabytków we Wrocławiu</w:t>
      </w:r>
      <w:r w:rsidR="008B3862">
        <w:rPr>
          <w:rFonts w:asciiTheme="minorHAnsi" w:hAnsiTheme="minorHAnsi"/>
          <w:sz w:val="20"/>
        </w:rPr>
        <w:t>.</w:t>
      </w:r>
    </w:p>
    <w:p w:rsidR="004E3ACB" w:rsidRPr="00563EF2" w:rsidRDefault="004E3ACB" w:rsidP="00FD7676">
      <w:pPr>
        <w:rPr>
          <w:rFonts w:asciiTheme="minorHAnsi" w:hAnsiTheme="minorHAnsi"/>
          <w:sz w:val="22"/>
        </w:rPr>
      </w:pPr>
    </w:p>
    <w:p w:rsidR="00214A08" w:rsidRPr="00563EF2" w:rsidRDefault="00214A08" w:rsidP="00FD7676">
      <w:pPr>
        <w:rPr>
          <w:rFonts w:asciiTheme="minorHAnsi" w:hAnsiTheme="minorHAnsi"/>
          <w:sz w:val="22"/>
        </w:rPr>
      </w:pPr>
      <w:r w:rsidRPr="00563EF2">
        <w:rPr>
          <w:rFonts w:asciiTheme="minorHAnsi" w:hAnsiTheme="minorHAnsi"/>
          <w:sz w:val="22"/>
        </w:rPr>
        <w:t>Gminną ewidencją zabytków objęto 46 obszarów</w:t>
      </w:r>
      <w:r w:rsidR="00A41138">
        <w:rPr>
          <w:rFonts w:asciiTheme="minorHAnsi" w:hAnsiTheme="minorHAnsi"/>
          <w:sz w:val="22"/>
        </w:rPr>
        <w:t>,</w:t>
      </w:r>
      <w:r w:rsidRPr="00563EF2">
        <w:rPr>
          <w:rFonts w:asciiTheme="minorHAnsi" w:hAnsiTheme="minorHAnsi"/>
          <w:sz w:val="22"/>
        </w:rPr>
        <w:t xml:space="preserve"> w tym trzy obszary wpisane do rejestru zabytków: </w:t>
      </w:r>
    </w:p>
    <w:p w:rsidR="00DB0721" w:rsidRPr="00563EF2" w:rsidRDefault="00DB0721" w:rsidP="00E6635A">
      <w:pPr>
        <w:pStyle w:val="Akapitzlist"/>
        <w:numPr>
          <w:ilvl w:val="0"/>
          <w:numId w:val="32"/>
        </w:numPr>
        <w:rPr>
          <w:rFonts w:asciiTheme="minorHAnsi" w:hAnsiTheme="minorHAnsi"/>
          <w:sz w:val="22"/>
        </w:rPr>
      </w:pPr>
      <w:r w:rsidRPr="00563EF2">
        <w:rPr>
          <w:rFonts w:asciiTheme="minorHAnsi" w:hAnsiTheme="minorHAnsi"/>
          <w:bCs/>
          <w:sz w:val="22"/>
        </w:rPr>
        <w:t>Ośrodek historyczny miasta Legnica</w:t>
      </w:r>
      <w:r w:rsidRPr="00563EF2">
        <w:rPr>
          <w:rFonts w:asciiTheme="minorHAnsi" w:hAnsiTheme="minorHAnsi"/>
          <w:sz w:val="22"/>
        </w:rPr>
        <w:t>, obejmujący obszar o powierzchni 58 ha , ograniczony ulicami Piastowską, Dziennikarską, Muzealną, Skarbka, Witelona, Pocztową</w:t>
      </w:r>
      <w:r w:rsidR="0081273B">
        <w:rPr>
          <w:rFonts w:asciiTheme="minorHAnsi" w:hAnsiTheme="minorHAnsi"/>
          <w:sz w:val="22"/>
        </w:rPr>
        <w:t>;</w:t>
      </w:r>
    </w:p>
    <w:p w:rsidR="0081273B" w:rsidRDefault="00214A08" w:rsidP="00E6635A">
      <w:pPr>
        <w:pStyle w:val="Akapitzlist"/>
        <w:numPr>
          <w:ilvl w:val="0"/>
          <w:numId w:val="32"/>
        </w:numPr>
        <w:tabs>
          <w:tab w:val="num" w:pos="720"/>
        </w:tabs>
        <w:rPr>
          <w:rFonts w:asciiTheme="minorHAnsi" w:hAnsiTheme="minorHAnsi"/>
          <w:sz w:val="22"/>
        </w:rPr>
      </w:pPr>
      <w:r w:rsidRPr="0081273B">
        <w:rPr>
          <w:rFonts w:asciiTheme="minorHAnsi" w:hAnsiTheme="minorHAnsi"/>
          <w:bCs/>
          <w:sz w:val="22"/>
        </w:rPr>
        <w:t>Zabudowa miejska tzw. „Tarninów</w:t>
      </w:r>
      <w:r w:rsidRPr="0081273B">
        <w:rPr>
          <w:rFonts w:asciiTheme="minorHAnsi" w:hAnsiTheme="minorHAnsi"/>
          <w:sz w:val="22"/>
        </w:rPr>
        <w:t>”, obszar o powierzchni 84 ha, ograniczony ul</w:t>
      </w:r>
      <w:r w:rsidR="003F615B" w:rsidRPr="0081273B">
        <w:rPr>
          <w:rFonts w:asciiTheme="minorHAnsi" w:hAnsiTheme="minorHAnsi"/>
          <w:sz w:val="22"/>
        </w:rPr>
        <w:t xml:space="preserve">icami: Lampego, Mickiewicza, 22 lipca, Kościuszki,   1 </w:t>
      </w:r>
      <w:r w:rsidRPr="0081273B">
        <w:rPr>
          <w:rFonts w:asciiTheme="minorHAnsi" w:hAnsiTheme="minorHAnsi"/>
          <w:sz w:val="22"/>
        </w:rPr>
        <w:t>maja, Wysp</w:t>
      </w:r>
      <w:r w:rsidR="003F615B" w:rsidRPr="0081273B">
        <w:rPr>
          <w:rFonts w:asciiTheme="minorHAnsi" w:hAnsiTheme="minorHAnsi"/>
          <w:sz w:val="22"/>
        </w:rPr>
        <w:t>iańskiego, Poselską, Grunwaldzką</w:t>
      </w:r>
      <w:r w:rsidRPr="0081273B">
        <w:rPr>
          <w:rFonts w:asciiTheme="minorHAnsi" w:hAnsiTheme="minorHAnsi"/>
          <w:sz w:val="22"/>
        </w:rPr>
        <w:t>, Złotoryjską,</w:t>
      </w:r>
      <w:r w:rsidR="0081273B">
        <w:rPr>
          <w:rFonts w:asciiTheme="minorHAnsi" w:hAnsiTheme="minorHAnsi"/>
          <w:sz w:val="22"/>
        </w:rPr>
        <w:t xml:space="preserve"> Hutników, Nowy Świat, Muzealną;</w:t>
      </w:r>
    </w:p>
    <w:p w:rsidR="00214A08" w:rsidRPr="0081273B" w:rsidRDefault="00214A08" w:rsidP="00E6635A">
      <w:pPr>
        <w:pStyle w:val="Akapitzlist"/>
        <w:numPr>
          <w:ilvl w:val="0"/>
          <w:numId w:val="32"/>
        </w:numPr>
        <w:tabs>
          <w:tab w:val="num" w:pos="720"/>
        </w:tabs>
        <w:rPr>
          <w:rFonts w:asciiTheme="minorHAnsi" w:hAnsiTheme="minorHAnsi"/>
          <w:sz w:val="22"/>
        </w:rPr>
      </w:pPr>
      <w:r w:rsidRPr="0081273B">
        <w:rPr>
          <w:rFonts w:asciiTheme="minorHAnsi" w:hAnsiTheme="minorHAnsi"/>
          <w:bCs/>
          <w:sz w:val="22"/>
        </w:rPr>
        <w:t xml:space="preserve">Teren klasztoru pobernardyńskiego z miejscem po kościele oraz teren szpitala miejskiego, obecnie Ośrodek Psychiatrycznej i Odwykowej Opieki Zdrowotnej </w:t>
      </w:r>
      <w:r w:rsidRPr="0081273B">
        <w:rPr>
          <w:rFonts w:asciiTheme="minorHAnsi" w:hAnsiTheme="minorHAnsi"/>
          <w:sz w:val="22"/>
        </w:rPr>
        <w:t>- strefa ścisłej ochrony konserwatorskiej ("A").</w:t>
      </w:r>
    </w:p>
    <w:p w:rsidR="00DE03A5" w:rsidRPr="00563EF2" w:rsidRDefault="00DE03A5" w:rsidP="00FD7676">
      <w:pPr>
        <w:pStyle w:val="Akapitzlist"/>
        <w:tabs>
          <w:tab w:val="num" w:pos="720"/>
        </w:tabs>
        <w:rPr>
          <w:rFonts w:asciiTheme="minorHAnsi" w:hAnsiTheme="minorHAnsi"/>
          <w:sz w:val="22"/>
        </w:rPr>
      </w:pPr>
    </w:p>
    <w:p w:rsidR="00A50D78" w:rsidRDefault="00A50D78" w:rsidP="00FD7676">
      <w:pPr>
        <w:rPr>
          <w:rFonts w:asciiTheme="minorHAnsi" w:hAnsiTheme="minorHAnsi"/>
          <w:sz w:val="22"/>
        </w:rPr>
      </w:pPr>
      <w:r>
        <w:rPr>
          <w:rFonts w:asciiTheme="minorHAnsi" w:hAnsiTheme="minorHAnsi"/>
          <w:sz w:val="22"/>
        </w:rPr>
        <w:br w:type="page"/>
      </w:r>
    </w:p>
    <w:p w:rsidR="00214A08" w:rsidRPr="00563EF2" w:rsidRDefault="003F615B" w:rsidP="00FD7676">
      <w:pPr>
        <w:rPr>
          <w:rFonts w:asciiTheme="minorHAnsi" w:hAnsiTheme="minorHAnsi"/>
          <w:sz w:val="22"/>
        </w:rPr>
      </w:pPr>
      <w:r>
        <w:rPr>
          <w:rFonts w:asciiTheme="minorHAnsi" w:hAnsiTheme="minorHAnsi"/>
          <w:sz w:val="22"/>
        </w:rPr>
        <w:t>W gminnej ewidencji</w:t>
      </w:r>
      <w:r w:rsidR="00214A08" w:rsidRPr="00563EF2">
        <w:rPr>
          <w:rFonts w:asciiTheme="minorHAnsi" w:hAnsiTheme="minorHAnsi"/>
          <w:sz w:val="22"/>
        </w:rPr>
        <w:t xml:space="preserve"> zabytków znalazły się również tereny zieleni: par</w:t>
      </w:r>
      <w:r w:rsidR="0033475A">
        <w:rPr>
          <w:rFonts w:asciiTheme="minorHAnsi" w:hAnsiTheme="minorHAnsi"/>
          <w:sz w:val="22"/>
        </w:rPr>
        <w:t>ki, aleje, skwery, cmentarze, w </w:t>
      </w:r>
      <w:r w:rsidR="00214A08" w:rsidRPr="00563EF2">
        <w:rPr>
          <w:rFonts w:asciiTheme="minorHAnsi" w:hAnsiTheme="minorHAnsi"/>
          <w:sz w:val="22"/>
        </w:rPr>
        <w:t xml:space="preserve">tym pięć obszarów objętych rejestrem zabytków: </w:t>
      </w:r>
    </w:p>
    <w:p w:rsidR="00DB0721" w:rsidRPr="00563EF2" w:rsidRDefault="00DB0721" w:rsidP="00E6635A">
      <w:pPr>
        <w:numPr>
          <w:ilvl w:val="0"/>
          <w:numId w:val="33"/>
        </w:numPr>
        <w:rPr>
          <w:rFonts w:asciiTheme="minorHAnsi" w:hAnsiTheme="minorHAnsi"/>
          <w:sz w:val="22"/>
        </w:rPr>
      </w:pPr>
      <w:r w:rsidRPr="00563EF2">
        <w:rPr>
          <w:rFonts w:asciiTheme="minorHAnsi" w:hAnsiTheme="minorHAnsi"/>
          <w:bCs/>
          <w:sz w:val="22"/>
        </w:rPr>
        <w:t>Park przy Zamku Piastowskim,</w:t>
      </w:r>
    </w:p>
    <w:p w:rsidR="00214A08" w:rsidRPr="00563EF2" w:rsidRDefault="00214A08" w:rsidP="00E6635A">
      <w:pPr>
        <w:pStyle w:val="Akapitzlist"/>
        <w:numPr>
          <w:ilvl w:val="0"/>
          <w:numId w:val="33"/>
        </w:numPr>
        <w:rPr>
          <w:rFonts w:asciiTheme="minorHAnsi" w:hAnsiTheme="minorHAnsi"/>
          <w:sz w:val="22"/>
        </w:rPr>
      </w:pPr>
      <w:r w:rsidRPr="00563EF2">
        <w:rPr>
          <w:rFonts w:asciiTheme="minorHAnsi" w:hAnsiTheme="minorHAnsi"/>
          <w:bCs/>
          <w:sz w:val="22"/>
        </w:rPr>
        <w:t>Park Miejski</w:t>
      </w:r>
    </w:p>
    <w:p w:rsidR="00214A08" w:rsidRPr="00563EF2" w:rsidRDefault="00214A08" w:rsidP="00E6635A">
      <w:pPr>
        <w:pStyle w:val="Akapitzlist"/>
        <w:numPr>
          <w:ilvl w:val="0"/>
          <w:numId w:val="33"/>
        </w:numPr>
        <w:rPr>
          <w:rFonts w:asciiTheme="minorHAnsi" w:hAnsiTheme="minorHAnsi"/>
          <w:sz w:val="22"/>
        </w:rPr>
      </w:pPr>
      <w:r w:rsidRPr="00563EF2">
        <w:rPr>
          <w:rFonts w:asciiTheme="minorHAnsi" w:hAnsiTheme="minorHAnsi"/>
          <w:bCs/>
          <w:sz w:val="22"/>
        </w:rPr>
        <w:t xml:space="preserve">Zespół dworski "Ludwikowo": park z aleją, </w:t>
      </w:r>
    </w:p>
    <w:p w:rsidR="00214A08" w:rsidRPr="00563EF2" w:rsidRDefault="00214A08" w:rsidP="00E6635A">
      <w:pPr>
        <w:pStyle w:val="Akapitzlist"/>
        <w:numPr>
          <w:ilvl w:val="0"/>
          <w:numId w:val="33"/>
        </w:numPr>
        <w:rPr>
          <w:rFonts w:asciiTheme="minorHAnsi" w:hAnsiTheme="minorHAnsi"/>
          <w:sz w:val="22"/>
        </w:rPr>
      </w:pPr>
      <w:r w:rsidRPr="00563EF2">
        <w:rPr>
          <w:rFonts w:asciiTheme="minorHAnsi" w:hAnsiTheme="minorHAnsi"/>
          <w:bCs/>
          <w:sz w:val="22"/>
        </w:rPr>
        <w:t>Założenie pałacowo-parkowe "Czerniewice</w:t>
      </w:r>
      <w:r w:rsidR="00DE03A5" w:rsidRPr="00563EF2">
        <w:rPr>
          <w:rFonts w:asciiTheme="minorHAnsi" w:hAnsiTheme="minorHAnsi"/>
          <w:bCs/>
          <w:sz w:val="22"/>
        </w:rPr>
        <w:t>”</w:t>
      </w:r>
    </w:p>
    <w:p w:rsidR="00214A08" w:rsidRPr="00563EF2" w:rsidRDefault="00214A08" w:rsidP="00E6635A">
      <w:pPr>
        <w:pStyle w:val="Akapitzlist"/>
        <w:numPr>
          <w:ilvl w:val="0"/>
          <w:numId w:val="33"/>
        </w:numPr>
        <w:rPr>
          <w:rFonts w:asciiTheme="minorHAnsi" w:hAnsiTheme="minorHAnsi"/>
          <w:sz w:val="22"/>
        </w:rPr>
      </w:pPr>
      <w:r w:rsidRPr="00563EF2">
        <w:rPr>
          <w:rFonts w:asciiTheme="minorHAnsi" w:hAnsiTheme="minorHAnsi"/>
          <w:bCs/>
          <w:sz w:val="22"/>
        </w:rPr>
        <w:t>Cmentarz żydowski,</w:t>
      </w:r>
    </w:p>
    <w:p w:rsidR="00214A08" w:rsidRPr="00563EF2" w:rsidRDefault="00214A08" w:rsidP="00FD7676">
      <w:pPr>
        <w:rPr>
          <w:rFonts w:asciiTheme="minorHAnsi" w:hAnsiTheme="minorHAnsi"/>
          <w:sz w:val="22"/>
        </w:rPr>
      </w:pPr>
    </w:p>
    <w:p w:rsidR="00214A08" w:rsidRPr="00563EF2" w:rsidRDefault="00214A08" w:rsidP="00FD7676">
      <w:pPr>
        <w:rPr>
          <w:rFonts w:asciiTheme="minorHAnsi" w:hAnsiTheme="minorHAnsi"/>
          <w:sz w:val="22"/>
        </w:rPr>
      </w:pPr>
      <w:r w:rsidRPr="00563EF2">
        <w:rPr>
          <w:rFonts w:asciiTheme="minorHAnsi" w:hAnsiTheme="minorHAnsi"/>
          <w:bCs/>
          <w:sz w:val="22"/>
        </w:rPr>
        <w:t>Rejestr zabytków obejmuje najcenniejsze zespoły i pojedyncze obiekty o różnorodnych funkcjach, wśród których należy wyróżnić:</w:t>
      </w:r>
    </w:p>
    <w:p w:rsidR="00214A08" w:rsidRPr="00563EF2" w:rsidRDefault="00214A08" w:rsidP="00FD7676">
      <w:pPr>
        <w:rPr>
          <w:rFonts w:asciiTheme="minorHAnsi" w:hAnsiTheme="minorHAnsi"/>
          <w:sz w:val="22"/>
        </w:rPr>
      </w:pPr>
      <w:r w:rsidRPr="00563EF2">
        <w:rPr>
          <w:rFonts w:asciiTheme="minorHAnsi" w:hAnsiTheme="minorHAnsi"/>
          <w:bCs/>
          <w:sz w:val="22"/>
        </w:rPr>
        <w:t xml:space="preserve">1) Zespół </w:t>
      </w:r>
      <w:r w:rsidR="00A41138">
        <w:rPr>
          <w:rFonts w:asciiTheme="minorHAnsi" w:hAnsiTheme="minorHAnsi"/>
          <w:bCs/>
          <w:sz w:val="22"/>
        </w:rPr>
        <w:t>Z</w:t>
      </w:r>
      <w:r w:rsidRPr="00563EF2">
        <w:rPr>
          <w:rFonts w:asciiTheme="minorHAnsi" w:hAnsiTheme="minorHAnsi"/>
          <w:bCs/>
          <w:sz w:val="22"/>
        </w:rPr>
        <w:t>amk</w:t>
      </w:r>
      <w:r w:rsidR="00A41138">
        <w:rPr>
          <w:rFonts w:asciiTheme="minorHAnsi" w:hAnsiTheme="minorHAnsi"/>
          <w:bCs/>
          <w:sz w:val="22"/>
        </w:rPr>
        <w:t>u P</w:t>
      </w:r>
      <w:r w:rsidRPr="00563EF2">
        <w:rPr>
          <w:rFonts w:asciiTheme="minorHAnsi" w:hAnsiTheme="minorHAnsi"/>
          <w:bCs/>
          <w:sz w:val="22"/>
        </w:rPr>
        <w:t>iastowskiego wraz z parkiem zamkowym oraz fragmentami pierścienia murów dawnych obwarowań miejskich z Bramą Głogowską i Chojnowską;</w:t>
      </w:r>
    </w:p>
    <w:p w:rsidR="00214A08" w:rsidRPr="00563EF2" w:rsidRDefault="00214A08" w:rsidP="00FD7676">
      <w:pPr>
        <w:rPr>
          <w:rFonts w:asciiTheme="minorHAnsi" w:hAnsiTheme="minorHAnsi"/>
          <w:sz w:val="22"/>
        </w:rPr>
      </w:pPr>
      <w:r w:rsidRPr="00563EF2">
        <w:rPr>
          <w:rFonts w:asciiTheme="minorHAnsi" w:hAnsiTheme="minorHAnsi"/>
          <w:bCs/>
          <w:sz w:val="22"/>
        </w:rPr>
        <w:t>2) Zespół katedry św. Piotra i Pawła z plebanią i dawną szkołą parafialną;</w:t>
      </w:r>
    </w:p>
    <w:p w:rsidR="00214A08" w:rsidRPr="00563EF2" w:rsidRDefault="00214A08" w:rsidP="00FD7676">
      <w:pPr>
        <w:rPr>
          <w:rFonts w:asciiTheme="minorHAnsi" w:hAnsiTheme="minorHAnsi"/>
          <w:sz w:val="22"/>
        </w:rPr>
      </w:pPr>
      <w:r w:rsidRPr="00563EF2">
        <w:rPr>
          <w:rFonts w:asciiTheme="minorHAnsi" w:hAnsiTheme="minorHAnsi"/>
          <w:bCs/>
          <w:sz w:val="22"/>
        </w:rPr>
        <w:t>3) Kościół Ewangelicko-Augsburski Najświętszej Marii Panny z wystrojem i wyposażeniem kościoła;</w:t>
      </w:r>
    </w:p>
    <w:p w:rsidR="00214A08" w:rsidRPr="00563EF2" w:rsidRDefault="00214A08" w:rsidP="00FD7676">
      <w:pPr>
        <w:rPr>
          <w:rFonts w:asciiTheme="minorHAnsi" w:hAnsiTheme="minorHAnsi"/>
          <w:sz w:val="22"/>
        </w:rPr>
      </w:pPr>
      <w:r w:rsidRPr="00563EF2">
        <w:rPr>
          <w:rFonts w:asciiTheme="minorHAnsi" w:hAnsiTheme="minorHAnsi"/>
          <w:bCs/>
          <w:sz w:val="22"/>
        </w:rPr>
        <w:t>4) Zespół kościoła parafialnego św. Jana Chrzciciela wraz z Mauzoleum Piastów i dawnym kolegium jezuickim;</w:t>
      </w:r>
    </w:p>
    <w:p w:rsidR="00214A08" w:rsidRPr="00563EF2" w:rsidRDefault="00214A08" w:rsidP="00FD7676">
      <w:pPr>
        <w:rPr>
          <w:rFonts w:asciiTheme="minorHAnsi" w:hAnsiTheme="minorHAnsi"/>
          <w:sz w:val="22"/>
        </w:rPr>
      </w:pPr>
      <w:r w:rsidRPr="00563EF2">
        <w:rPr>
          <w:rFonts w:asciiTheme="minorHAnsi" w:hAnsiTheme="minorHAnsi"/>
          <w:bCs/>
          <w:sz w:val="22"/>
        </w:rPr>
        <w:t>5) Kościół klasztorny św. Maurycego Zgromadzenia SS Benedyktynek, obecnie sala gimnastyczna i aula I Liceum Ogólnokształcącego;</w:t>
      </w:r>
    </w:p>
    <w:p w:rsidR="00214A08" w:rsidRPr="00563EF2" w:rsidRDefault="00214A08" w:rsidP="00FD7676">
      <w:pPr>
        <w:rPr>
          <w:rFonts w:asciiTheme="minorHAnsi" w:hAnsiTheme="minorHAnsi"/>
          <w:sz w:val="22"/>
        </w:rPr>
      </w:pPr>
      <w:r w:rsidRPr="00563EF2">
        <w:rPr>
          <w:rFonts w:asciiTheme="minorHAnsi" w:hAnsiTheme="minorHAnsi"/>
          <w:bCs/>
          <w:sz w:val="22"/>
        </w:rPr>
        <w:t>6) Klasztor pobernardyński;</w:t>
      </w:r>
    </w:p>
    <w:p w:rsidR="00214A08" w:rsidRPr="00563EF2" w:rsidRDefault="007429D7" w:rsidP="00FD7676">
      <w:pPr>
        <w:rPr>
          <w:rFonts w:asciiTheme="minorHAnsi" w:hAnsiTheme="minorHAnsi"/>
          <w:sz w:val="22"/>
        </w:rPr>
      </w:pPr>
      <w:r>
        <w:rPr>
          <w:rFonts w:asciiTheme="minorHAnsi" w:hAnsiTheme="minorHAnsi"/>
          <w:bCs/>
          <w:sz w:val="22"/>
        </w:rPr>
        <w:t>7) Stary i Nowy Ratusz;</w:t>
      </w:r>
    </w:p>
    <w:p w:rsidR="00214A08" w:rsidRPr="00563EF2" w:rsidRDefault="007429D7" w:rsidP="00FD7676">
      <w:pPr>
        <w:rPr>
          <w:rFonts w:asciiTheme="minorHAnsi" w:hAnsiTheme="minorHAnsi"/>
          <w:sz w:val="22"/>
        </w:rPr>
      </w:pPr>
      <w:r>
        <w:rPr>
          <w:rFonts w:asciiTheme="minorHAnsi" w:hAnsiTheme="minorHAnsi"/>
          <w:bCs/>
          <w:sz w:val="22"/>
        </w:rPr>
        <w:t>8) Akademia Rycerska;</w:t>
      </w:r>
    </w:p>
    <w:p w:rsidR="00214A08" w:rsidRPr="00563EF2" w:rsidRDefault="007429D7" w:rsidP="00FD7676">
      <w:pPr>
        <w:rPr>
          <w:rFonts w:asciiTheme="minorHAnsi" w:hAnsiTheme="minorHAnsi"/>
          <w:sz w:val="22"/>
        </w:rPr>
      </w:pPr>
      <w:r>
        <w:rPr>
          <w:rFonts w:asciiTheme="minorHAnsi" w:hAnsiTheme="minorHAnsi"/>
          <w:bCs/>
          <w:sz w:val="22"/>
        </w:rPr>
        <w:t>9) Budynek teatru dramatycznego;</w:t>
      </w:r>
    </w:p>
    <w:p w:rsidR="00214A08" w:rsidRPr="00563EF2" w:rsidRDefault="00214A08" w:rsidP="00FD7676">
      <w:pPr>
        <w:rPr>
          <w:rFonts w:asciiTheme="minorHAnsi" w:hAnsiTheme="minorHAnsi"/>
          <w:sz w:val="22"/>
        </w:rPr>
      </w:pPr>
      <w:r w:rsidRPr="00563EF2">
        <w:rPr>
          <w:rFonts w:asciiTheme="minorHAnsi" w:hAnsiTheme="minorHAnsi"/>
          <w:bCs/>
          <w:sz w:val="22"/>
        </w:rPr>
        <w:t>10) Pałac opatów lubiąskich,</w:t>
      </w:r>
      <w:r w:rsidR="007429D7">
        <w:rPr>
          <w:rFonts w:asciiTheme="minorHAnsi" w:hAnsiTheme="minorHAnsi"/>
          <w:bCs/>
          <w:sz w:val="22"/>
        </w:rPr>
        <w:t xml:space="preserve"> obecnie siedziba Muzeum Miedzi;</w:t>
      </w:r>
    </w:p>
    <w:p w:rsidR="00214A08" w:rsidRPr="00563EF2" w:rsidRDefault="00214A08" w:rsidP="00FD7676">
      <w:pPr>
        <w:rPr>
          <w:rFonts w:asciiTheme="minorHAnsi" w:hAnsiTheme="minorHAnsi"/>
          <w:sz w:val="22"/>
        </w:rPr>
      </w:pPr>
      <w:r w:rsidRPr="00563EF2">
        <w:rPr>
          <w:rFonts w:asciiTheme="minorHAnsi" w:hAnsiTheme="minorHAnsi"/>
          <w:bCs/>
          <w:sz w:val="22"/>
        </w:rPr>
        <w:t>11) Zespół zabudowań Dworca Głównego, Dworzec Kolei Dolnośląskiej i Dworzec Legnicy Północnej</w:t>
      </w:r>
      <w:r w:rsidR="007429D7">
        <w:rPr>
          <w:rFonts w:asciiTheme="minorHAnsi" w:hAnsiTheme="minorHAnsi"/>
          <w:bCs/>
          <w:sz w:val="22"/>
        </w:rPr>
        <w:t>;</w:t>
      </w:r>
    </w:p>
    <w:p w:rsidR="00214A08" w:rsidRPr="00563EF2" w:rsidRDefault="00214A08" w:rsidP="00FD7676">
      <w:pPr>
        <w:rPr>
          <w:rFonts w:asciiTheme="minorHAnsi" w:hAnsiTheme="minorHAnsi"/>
          <w:sz w:val="22"/>
        </w:rPr>
      </w:pPr>
      <w:r w:rsidRPr="00563EF2">
        <w:rPr>
          <w:rFonts w:asciiTheme="minorHAnsi" w:hAnsiTheme="minorHAnsi"/>
          <w:bCs/>
          <w:sz w:val="22"/>
        </w:rPr>
        <w:t>12) Zespół budynków Legnickiego Przedsiębiorstwa Wodociągów i Kanalizacji w Przybkowie;</w:t>
      </w:r>
    </w:p>
    <w:p w:rsidR="00214A08" w:rsidRPr="00563EF2" w:rsidRDefault="00214A08" w:rsidP="00FD7676">
      <w:pPr>
        <w:rPr>
          <w:rFonts w:asciiTheme="minorHAnsi" w:hAnsiTheme="minorHAnsi"/>
          <w:sz w:val="22"/>
        </w:rPr>
      </w:pPr>
      <w:r w:rsidRPr="00563EF2">
        <w:rPr>
          <w:rFonts w:asciiTheme="minorHAnsi" w:hAnsiTheme="minorHAnsi"/>
          <w:bCs/>
          <w:sz w:val="22"/>
        </w:rPr>
        <w:t>13) Założenia dworsko-parkowe Czerniewice i Ludwikowo;</w:t>
      </w:r>
    </w:p>
    <w:p w:rsidR="00214A08" w:rsidRPr="00563EF2" w:rsidRDefault="00214A08" w:rsidP="00FD7676">
      <w:pPr>
        <w:rPr>
          <w:rFonts w:asciiTheme="minorHAnsi" w:hAnsiTheme="minorHAnsi"/>
          <w:sz w:val="22"/>
        </w:rPr>
      </w:pPr>
      <w:r w:rsidRPr="00563EF2">
        <w:rPr>
          <w:rFonts w:asciiTheme="minorHAnsi" w:hAnsiTheme="minorHAnsi"/>
          <w:bCs/>
          <w:sz w:val="22"/>
        </w:rPr>
        <w:t>14) Cmentarz żydows</w:t>
      </w:r>
      <w:r w:rsidR="007429D7">
        <w:rPr>
          <w:rFonts w:asciiTheme="minorHAnsi" w:hAnsiTheme="minorHAnsi"/>
          <w:bCs/>
          <w:sz w:val="22"/>
        </w:rPr>
        <w:t>ki z kostnicą i salą modlitewną;</w:t>
      </w:r>
    </w:p>
    <w:p w:rsidR="00214A08" w:rsidRPr="00563EF2" w:rsidRDefault="00214A08" w:rsidP="00FD7676">
      <w:pPr>
        <w:rPr>
          <w:rFonts w:asciiTheme="minorHAnsi" w:hAnsiTheme="minorHAnsi"/>
          <w:sz w:val="22"/>
        </w:rPr>
      </w:pPr>
      <w:r w:rsidRPr="00563EF2">
        <w:rPr>
          <w:rFonts w:asciiTheme="minorHAnsi" w:hAnsiTheme="minorHAnsi"/>
          <w:bCs/>
          <w:sz w:val="22"/>
        </w:rPr>
        <w:t>15) Budynki mieszkalne, głównie na terenie dzielnicy Tarninów</w:t>
      </w:r>
      <w:r w:rsidR="00A41138">
        <w:rPr>
          <w:rFonts w:asciiTheme="minorHAnsi" w:hAnsiTheme="minorHAnsi"/>
          <w:bCs/>
          <w:sz w:val="22"/>
        </w:rPr>
        <w:t>,</w:t>
      </w:r>
      <w:r w:rsidRPr="00563EF2">
        <w:rPr>
          <w:rFonts w:asciiTheme="minorHAnsi" w:hAnsiTheme="minorHAnsi"/>
          <w:bCs/>
          <w:sz w:val="22"/>
        </w:rPr>
        <w:t xml:space="preserve"> tzw. „Kwadrat” </w:t>
      </w:r>
      <w:r w:rsidR="007429D7">
        <w:rPr>
          <w:rFonts w:asciiTheme="minorHAnsi" w:hAnsiTheme="minorHAnsi"/>
          <w:bCs/>
          <w:sz w:val="22"/>
        </w:rPr>
        <w:t>.</w:t>
      </w:r>
    </w:p>
    <w:p w:rsidR="00214A08" w:rsidRPr="00563EF2" w:rsidRDefault="00214A08" w:rsidP="00FD7676">
      <w:pPr>
        <w:rPr>
          <w:rFonts w:asciiTheme="minorHAnsi" w:hAnsiTheme="minorHAnsi"/>
          <w:sz w:val="22"/>
        </w:rPr>
      </w:pPr>
    </w:p>
    <w:p w:rsidR="006E508F" w:rsidRPr="00563EF2" w:rsidRDefault="006E508F" w:rsidP="00FD7676">
      <w:pPr>
        <w:rPr>
          <w:rFonts w:asciiTheme="minorHAnsi" w:hAnsiTheme="minorHAnsi"/>
          <w:i/>
          <w:sz w:val="22"/>
        </w:rPr>
      </w:pPr>
      <w:r w:rsidRPr="00563EF2">
        <w:rPr>
          <w:rFonts w:asciiTheme="minorHAnsi" w:hAnsiTheme="minorHAnsi"/>
          <w:sz w:val="22"/>
        </w:rPr>
        <w:t xml:space="preserve">W 2011 roku opracowano </w:t>
      </w:r>
      <w:r w:rsidRPr="0081273B">
        <w:rPr>
          <w:rFonts w:asciiTheme="minorHAnsi" w:hAnsiTheme="minorHAnsi"/>
          <w:i/>
          <w:sz w:val="22"/>
        </w:rPr>
        <w:t>Lokalny Program Rewitalizacji Miasta Legnicy</w:t>
      </w:r>
      <w:r w:rsidRPr="00563EF2">
        <w:rPr>
          <w:rFonts w:asciiTheme="minorHAnsi" w:hAnsiTheme="minorHAnsi"/>
          <w:sz w:val="22"/>
        </w:rPr>
        <w:t xml:space="preserve"> wskazujący obszary krytyczne w przestrzeni miejskiej</w:t>
      </w:r>
      <w:r w:rsidR="007429D7">
        <w:rPr>
          <w:rFonts w:asciiTheme="minorHAnsi" w:hAnsiTheme="minorHAnsi"/>
          <w:sz w:val="22"/>
        </w:rPr>
        <w:t>,</w:t>
      </w:r>
      <w:r w:rsidRPr="00563EF2">
        <w:rPr>
          <w:rFonts w:asciiTheme="minorHAnsi" w:hAnsiTheme="minorHAnsi"/>
          <w:sz w:val="22"/>
        </w:rPr>
        <w:t xml:space="preserve"> wymagające rewaloryzacji i rewitalizacji. Oprócz LPR</w:t>
      </w:r>
      <w:r w:rsidR="009C7BFC">
        <w:rPr>
          <w:rFonts w:asciiTheme="minorHAnsi" w:hAnsiTheme="minorHAnsi"/>
          <w:sz w:val="22"/>
        </w:rPr>
        <w:t xml:space="preserve"> we wcześniejszych latach</w:t>
      </w:r>
      <w:r w:rsidRPr="00563EF2">
        <w:rPr>
          <w:rFonts w:asciiTheme="minorHAnsi" w:hAnsiTheme="minorHAnsi"/>
          <w:sz w:val="22"/>
        </w:rPr>
        <w:t xml:space="preserve"> opracowano również </w:t>
      </w:r>
      <w:r w:rsidRPr="00563EF2">
        <w:rPr>
          <w:rFonts w:asciiTheme="minorHAnsi" w:hAnsiTheme="minorHAnsi"/>
          <w:i/>
          <w:sz w:val="22"/>
        </w:rPr>
        <w:t>Program Rewitalizacji Terenów Po-wojskowych, Program Rewitalizacji Śródmieścia i Części Obrębu Fabryczna</w:t>
      </w:r>
      <w:r w:rsidRPr="00563EF2">
        <w:rPr>
          <w:rFonts w:asciiTheme="minorHAnsi" w:hAnsiTheme="minorHAnsi"/>
          <w:sz w:val="22"/>
        </w:rPr>
        <w:t xml:space="preserve">, oraz </w:t>
      </w:r>
      <w:r w:rsidRPr="00563EF2">
        <w:rPr>
          <w:rFonts w:asciiTheme="minorHAnsi" w:hAnsiTheme="minorHAnsi"/>
          <w:i/>
          <w:sz w:val="22"/>
        </w:rPr>
        <w:t>Program Rewitalizacji Ka</w:t>
      </w:r>
      <w:r w:rsidR="0033475A">
        <w:rPr>
          <w:rFonts w:asciiTheme="minorHAnsi" w:hAnsiTheme="minorHAnsi"/>
          <w:i/>
          <w:sz w:val="22"/>
        </w:rPr>
        <w:t>rtuz, rejonu ulic H.Pobożnego i </w:t>
      </w:r>
      <w:r w:rsidRPr="00563EF2">
        <w:rPr>
          <w:rFonts w:asciiTheme="minorHAnsi" w:hAnsiTheme="minorHAnsi"/>
          <w:i/>
          <w:sz w:val="22"/>
        </w:rPr>
        <w:t>Dworcowej – historycznych obszarów Legnicy.</w:t>
      </w:r>
    </w:p>
    <w:p w:rsidR="008418CA" w:rsidRDefault="008418CA">
      <w:pPr>
        <w:spacing w:after="160" w:line="259" w:lineRule="auto"/>
        <w:jc w:val="left"/>
        <w:rPr>
          <w:rFonts w:asciiTheme="minorHAnsi" w:hAnsiTheme="minorHAnsi"/>
          <w:sz w:val="22"/>
        </w:rPr>
      </w:pPr>
      <w:r>
        <w:rPr>
          <w:rFonts w:asciiTheme="minorHAnsi" w:hAnsiTheme="minorHAnsi"/>
          <w:sz w:val="22"/>
        </w:rPr>
        <w:br w:type="page"/>
      </w:r>
    </w:p>
    <w:p w:rsidR="00085DEF" w:rsidRDefault="00085DEF" w:rsidP="00EC5484">
      <w:pPr>
        <w:pStyle w:val="Nagwek3"/>
      </w:pPr>
      <w:bookmarkStart w:id="34" w:name="_Toc399756321"/>
    </w:p>
    <w:p w:rsidR="009D0270" w:rsidRPr="00563EF2" w:rsidRDefault="009D0270" w:rsidP="00EC5484">
      <w:pPr>
        <w:pStyle w:val="Nagwek3"/>
      </w:pPr>
      <w:r w:rsidRPr="00563EF2">
        <w:t>Infrastruktura kulturalna i życie kulturalne Legnicy</w:t>
      </w:r>
      <w:bookmarkEnd w:id="34"/>
    </w:p>
    <w:p w:rsidR="009D0270" w:rsidRDefault="009D0270" w:rsidP="00FD7676">
      <w:pPr>
        <w:rPr>
          <w:rFonts w:asciiTheme="minorHAnsi" w:hAnsiTheme="minorHAnsi"/>
          <w:sz w:val="22"/>
        </w:rPr>
      </w:pPr>
    </w:p>
    <w:p w:rsidR="008418CA" w:rsidRDefault="007429D7" w:rsidP="008418CA">
      <w:pPr>
        <w:rPr>
          <w:rFonts w:asciiTheme="minorHAnsi" w:hAnsiTheme="minorHAnsi"/>
          <w:sz w:val="22"/>
        </w:rPr>
      </w:pPr>
      <w:r>
        <w:rPr>
          <w:rFonts w:asciiTheme="minorHAnsi" w:hAnsiTheme="minorHAnsi"/>
          <w:sz w:val="22"/>
        </w:rPr>
        <w:t xml:space="preserve">Dzięki rozwiniętemu dostępowi do instytucji i placówek kultury o dużej renomie </w:t>
      </w:r>
      <w:r w:rsidR="009C7BFC">
        <w:rPr>
          <w:rFonts w:asciiTheme="minorHAnsi" w:hAnsiTheme="minorHAnsi"/>
          <w:sz w:val="22"/>
        </w:rPr>
        <w:t>Legnica</w:t>
      </w:r>
      <w:r w:rsidR="004D38C6">
        <w:rPr>
          <w:rFonts w:asciiTheme="minorHAnsi" w:hAnsiTheme="minorHAnsi"/>
          <w:sz w:val="22"/>
        </w:rPr>
        <w:t xml:space="preserve"> stanowi kluczowy o</w:t>
      </w:r>
      <w:r>
        <w:rPr>
          <w:rFonts w:asciiTheme="minorHAnsi" w:hAnsiTheme="minorHAnsi"/>
          <w:sz w:val="22"/>
        </w:rPr>
        <w:t>środek kulturalny regionu</w:t>
      </w:r>
      <w:r w:rsidR="004D38C6">
        <w:rPr>
          <w:rFonts w:asciiTheme="minorHAnsi" w:hAnsiTheme="minorHAnsi"/>
          <w:sz w:val="22"/>
        </w:rPr>
        <w:t>. Na terenie</w:t>
      </w:r>
      <w:r>
        <w:rPr>
          <w:rFonts w:asciiTheme="minorHAnsi" w:hAnsiTheme="minorHAnsi"/>
          <w:sz w:val="22"/>
        </w:rPr>
        <w:t xml:space="preserve"> miasta</w:t>
      </w:r>
      <w:r w:rsidR="004D38C6">
        <w:rPr>
          <w:rFonts w:asciiTheme="minorHAnsi" w:hAnsiTheme="minorHAnsi"/>
          <w:sz w:val="22"/>
        </w:rPr>
        <w:t xml:space="preserve"> mieszczą się: dobrze rozwinięta</w:t>
      </w:r>
      <w:r w:rsidR="009C7BFC">
        <w:rPr>
          <w:rFonts w:asciiTheme="minorHAnsi" w:hAnsiTheme="minorHAnsi"/>
          <w:sz w:val="22"/>
        </w:rPr>
        <w:t xml:space="preserve"> sieć</w:t>
      </w:r>
      <w:r>
        <w:rPr>
          <w:rFonts w:asciiTheme="minorHAnsi" w:hAnsiTheme="minorHAnsi"/>
          <w:sz w:val="22"/>
        </w:rPr>
        <w:t xml:space="preserve"> 17</w:t>
      </w:r>
      <w:r w:rsidR="0033475A">
        <w:rPr>
          <w:rFonts w:asciiTheme="minorHAnsi" w:hAnsiTheme="minorHAnsi"/>
          <w:sz w:val="22"/>
        </w:rPr>
        <w:t> </w:t>
      </w:r>
      <w:r w:rsidR="009C7BFC">
        <w:rPr>
          <w:rFonts w:asciiTheme="minorHAnsi" w:hAnsiTheme="minorHAnsi"/>
          <w:sz w:val="22"/>
        </w:rPr>
        <w:t xml:space="preserve">bibliotek, </w:t>
      </w:r>
      <w:r w:rsidR="008418CA">
        <w:rPr>
          <w:rFonts w:asciiTheme="minorHAnsi" w:hAnsiTheme="minorHAnsi"/>
          <w:sz w:val="22"/>
        </w:rPr>
        <w:t>trzy</w:t>
      </w:r>
      <w:r>
        <w:rPr>
          <w:rFonts w:asciiTheme="minorHAnsi" w:hAnsiTheme="minorHAnsi"/>
          <w:sz w:val="22"/>
        </w:rPr>
        <w:t xml:space="preserve"> domy/</w:t>
      </w:r>
      <w:r w:rsidR="008418CA">
        <w:rPr>
          <w:rFonts w:asciiTheme="minorHAnsi" w:hAnsiTheme="minorHAnsi"/>
          <w:sz w:val="22"/>
        </w:rPr>
        <w:t>ośrodki kultury (Młodzieżowe Centrum Ku</w:t>
      </w:r>
      <w:r>
        <w:rPr>
          <w:rFonts w:asciiTheme="minorHAnsi" w:hAnsiTheme="minorHAnsi"/>
          <w:sz w:val="22"/>
        </w:rPr>
        <w:t xml:space="preserve">ltury, Spółdzielczy Dom Kultury „Kopernik”, </w:t>
      </w:r>
      <w:r w:rsidR="008418CA">
        <w:rPr>
          <w:rFonts w:asciiTheme="minorHAnsi" w:hAnsiTheme="minorHAnsi"/>
          <w:sz w:val="22"/>
        </w:rPr>
        <w:t xml:space="preserve">Spółdzielczy Dom Kultury „Atrium”), </w:t>
      </w:r>
      <w:r w:rsidR="009C7BFC">
        <w:rPr>
          <w:rFonts w:asciiTheme="minorHAnsi" w:hAnsiTheme="minorHAnsi"/>
          <w:sz w:val="22"/>
        </w:rPr>
        <w:t>dwa kina stał</w:t>
      </w:r>
      <w:r>
        <w:rPr>
          <w:rFonts w:asciiTheme="minorHAnsi" w:hAnsiTheme="minorHAnsi"/>
          <w:sz w:val="22"/>
        </w:rPr>
        <w:t>e (</w:t>
      </w:r>
      <w:r w:rsidR="003E1D82">
        <w:rPr>
          <w:rFonts w:asciiTheme="minorHAnsi" w:hAnsiTheme="minorHAnsi"/>
          <w:sz w:val="22"/>
        </w:rPr>
        <w:t>w tym jeden multipleks), muzeu</w:t>
      </w:r>
      <w:r>
        <w:rPr>
          <w:rFonts w:asciiTheme="minorHAnsi" w:hAnsiTheme="minorHAnsi"/>
          <w:sz w:val="22"/>
        </w:rPr>
        <w:t>m, galeria</w:t>
      </w:r>
      <w:r w:rsidR="004D38C6">
        <w:rPr>
          <w:rFonts w:asciiTheme="minorHAnsi" w:hAnsiTheme="minorHAnsi"/>
          <w:sz w:val="22"/>
        </w:rPr>
        <w:t xml:space="preserve"> i</w:t>
      </w:r>
      <w:r w:rsidR="003E1D82">
        <w:rPr>
          <w:rFonts w:asciiTheme="minorHAnsi" w:hAnsiTheme="minorHAnsi"/>
          <w:sz w:val="22"/>
        </w:rPr>
        <w:t xml:space="preserve"> teatr</w:t>
      </w:r>
      <w:r w:rsidR="004D38C6">
        <w:rPr>
          <w:rFonts w:asciiTheme="minorHAnsi" w:hAnsiTheme="minorHAnsi"/>
          <w:sz w:val="22"/>
        </w:rPr>
        <w:t xml:space="preserve">. </w:t>
      </w:r>
      <w:r w:rsidR="003E1D82">
        <w:rPr>
          <w:rFonts w:asciiTheme="minorHAnsi" w:hAnsiTheme="minorHAnsi"/>
          <w:sz w:val="22"/>
        </w:rPr>
        <w:t xml:space="preserve"> </w:t>
      </w:r>
    </w:p>
    <w:p w:rsidR="008418CA" w:rsidRPr="00563EF2" w:rsidRDefault="008418CA" w:rsidP="008418CA">
      <w:pPr>
        <w:rPr>
          <w:rFonts w:asciiTheme="minorHAnsi" w:hAnsiTheme="minorHAnsi"/>
          <w:sz w:val="22"/>
        </w:rPr>
      </w:pPr>
    </w:p>
    <w:p w:rsidR="008418CA" w:rsidRPr="00EA4219" w:rsidRDefault="008418CA" w:rsidP="008418CA">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28</w:t>
      </w:r>
      <w:r w:rsidR="00017794" w:rsidRPr="00EA4219">
        <w:rPr>
          <w:rFonts w:asciiTheme="minorHAnsi" w:hAnsiTheme="minorHAnsi"/>
          <w:sz w:val="20"/>
          <w:szCs w:val="22"/>
        </w:rPr>
        <w:fldChar w:fldCharType="end"/>
      </w:r>
      <w:r w:rsidRPr="00EA4219">
        <w:rPr>
          <w:rFonts w:asciiTheme="minorHAnsi" w:hAnsiTheme="minorHAnsi"/>
          <w:sz w:val="20"/>
          <w:szCs w:val="22"/>
        </w:rPr>
        <w:t>. Infrastruktura kulturalna w Legnicy (stan na koniec 2012 r.)</w:t>
      </w:r>
    </w:p>
    <w:tbl>
      <w:tblPr>
        <w:tblStyle w:val="Jasnasiatkaakcent11"/>
        <w:tblW w:w="4425" w:type="dxa"/>
        <w:tblLook w:val="04A0" w:firstRow="1" w:lastRow="0" w:firstColumn="1" w:lastColumn="0" w:noHBand="0" w:noVBand="1"/>
      </w:tblPr>
      <w:tblGrid>
        <w:gridCol w:w="3457"/>
        <w:gridCol w:w="968"/>
      </w:tblGrid>
      <w:tr w:rsidR="008418CA" w:rsidRPr="00C640C5" w:rsidTr="003948A4">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57" w:type="dxa"/>
            <w:noWrap/>
            <w:hideMark/>
          </w:tcPr>
          <w:p w:rsidR="008418CA" w:rsidRPr="00C640C5" w:rsidRDefault="008418CA" w:rsidP="003948A4">
            <w:pPr>
              <w:rPr>
                <w:rFonts w:asciiTheme="minorHAnsi" w:eastAsia="Times New Roman" w:hAnsiTheme="minorHAnsi" w:cs="Arial"/>
                <w:b w:val="0"/>
                <w:sz w:val="22"/>
              </w:rPr>
            </w:pPr>
            <w:r w:rsidRPr="00C640C5">
              <w:rPr>
                <w:rFonts w:asciiTheme="minorHAnsi" w:eastAsia="Times New Roman" w:hAnsiTheme="minorHAnsi" w:cs="Arial"/>
                <w:sz w:val="22"/>
              </w:rPr>
              <w:t>Biblioteki i filie ogółem</w:t>
            </w:r>
          </w:p>
        </w:tc>
        <w:tc>
          <w:tcPr>
            <w:tcW w:w="968"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2"/>
              </w:rPr>
            </w:pPr>
            <w:r w:rsidRPr="00C640C5">
              <w:rPr>
                <w:rFonts w:asciiTheme="minorHAnsi" w:eastAsia="Times New Roman" w:hAnsiTheme="minorHAnsi" w:cs="Arial"/>
                <w:sz w:val="22"/>
              </w:rPr>
              <w:t>1</w:t>
            </w:r>
            <w:r w:rsidR="007429D7" w:rsidRPr="00C640C5">
              <w:rPr>
                <w:rFonts w:asciiTheme="minorHAnsi" w:eastAsia="Times New Roman" w:hAnsiTheme="minorHAnsi" w:cs="Arial"/>
                <w:sz w:val="22"/>
              </w:rPr>
              <w:t>7</w:t>
            </w:r>
          </w:p>
        </w:tc>
      </w:tr>
      <w:tr w:rsidR="008418CA" w:rsidRPr="00C640C5" w:rsidTr="003948A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57" w:type="dxa"/>
            <w:noWrap/>
            <w:hideMark/>
          </w:tcPr>
          <w:p w:rsidR="008418CA" w:rsidRPr="00C640C5" w:rsidRDefault="008418CA" w:rsidP="003948A4">
            <w:pPr>
              <w:rPr>
                <w:rFonts w:asciiTheme="minorHAnsi" w:eastAsia="Times New Roman" w:hAnsiTheme="minorHAnsi" w:cs="Arial"/>
                <w:b w:val="0"/>
                <w:sz w:val="22"/>
              </w:rPr>
            </w:pPr>
            <w:r w:rsidRPr="00C640C5">
              <w:rPr>
                <w:rFonts w:asciiTheme="minorHAnsi" w:eastAsia="Times New Roman" w:hAnsiTheme="minorHAnsi" w:cs="Arial"/>
                <w:sz w:val="22"/>
              </w:rPr>
              <w:t>Kina stałe</w:t>
            </w:r>
          </w:p>
        </w:tc>
        <w:tc>
          <w:tcPr>
            <w:tcW w:w="968"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C640C5">
              <w:rPr>
                <w:rFonts w:asciiTheme="minorHAnsi" w:eastAsia="Times New Roman" w:hAnsiTheme="minorHAnsi" w:cs="Arial"/>
                <w:sz w:val="22"/>
              </w:rPr>
              <w:t>2</w:t>
            </w:r>
          </w:p>
        </w:tc>
      </w:tr>
      <w:tr w:rsidR="008418CA" w:rsidRPr="00C640C5" w:rsidTr="003948A4">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57" w:type="dxa"/>
            <w:noWrap/>
            <w:hideMark/>
          </w:tcPr>
          <w:p w:rsidR="008418CA" w:rsidRPr="00C640C5" w:rsidRDefault="008418CA" w:rsidP="003948A4">
            <w:pPr>
              <w:rPr>
                <w:rFonts w:asciiTheme="minorHAnsi" w:eastAsia="Times New Roman" w:hAnsiTheme="minorHAnsi" w:cs="Arial"/>
                <w:b w:val="0"/>
                <w:sz w:val="22"/>
              </w:rPr>
            </w:pPr>
            <w:r w:rsidRPr="00C640C5">
              <w:rPr>
                <w:rFonts w:asciiTheme="minorHAnsi" w:eastAsia="Times New Roman" w:hAnsiTheme="minorHAnsi" w:cs="Arial"/>
                <w:sz w:val="22"/>
              </w:rPr>
              <w:t>Muzea łącznie z oddziałami</w:t>
            </w:r>
          </w:p>
        </w:tc>
        <w:tc>
          <w:tcPr>
            <w:tcW w:w="968"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C640C5">
              <w:rPr>
                <w:rFonts w:asciiTheme="minorHAnsi" w:eastAsia="Times New Roman" w:hAnsiTheme="minorHAnsi" w:cs="Arial"/>
                <w:sz w:val="22"/>
              </w:rPr>
              <w:t>1</w:t>
            </w:r>
          </w:p>
        </w:tc>
      </w:tr>
      <w:tr w:rsidR="008418CA" w:rsidRPr="00C640C5" w:rsidTr="003948A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57" w:type="dxa"/>
            <w:noWrap/>
            <w:hideMark/>
          </w:tcPr>
          <w:p w:rsidR="008418CA" w:rsidRPr="00C640C5" w:rsidRDefault="008418CA" w:rsidP="003948A4">
            <w:pPr>
              <w:rPr>
                <w:rFonts w:asciiTheme="minorHAnsi" w:eastAsia="Times New Roman" w:hAnsiTheme="minorHAnsi" w:cs="Arial"/>
                <w:b w:val="0"/>
                <w:sz w:val="22"/>
              </w:rPr>
            </w:pPr>
            <w:r w:rsidRPr="00C640C5">
              <w:rPr>
                <w:rFonts w:asciiTheme="minorHAnsi" w:eastAsia="Times New Roman" w:hAnsiTheme="minorHAnsi" w:cs="Arial"/>
                <w:sz w:val="22"/>
              </w:rPr>
              <w:t>Galerie i salony sztuki</w:t>
            </w:r>
          </w:p>
        </w:tc>
        <w:tc>
          <w:tcPr>
            <w:tcW w:w="968"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2"/>
              </w:rPr>
            </w:pPr>
            <w:r w:rsidRPr="00C640C5">
              <w:rPr>
                <w:rFonts w:asciiTheme="minorHAnsi" w:eastAsia="Times New Roman" w:hAnsiTheme="minorHAnsi" w:cs="Arial"/>
                <w:sz w:val="22"/>
              </w:rPr>
              <w:t>1</w:t>
            </w:r>
          </w:p>
        </w:tc>
      </w:tr>
      <w:tr w:rsidR="008418CA" w:rsidRPr="00C640C5" w:rsidTr="003948A4">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57" w:type="dxa"/>
            <w:noWrap/>
            <w:hideMark/>
          </w:tcPr>
          <w:p w:rsidR="008418CA" w:rsidRPr="00C640C5" w:rsidRDefault="008418CA" w:rsidP="003948A4">
            <w:pPr>
              <w:rPr>
                <w:rFonts w:asciiTheme="minorHAnsi" w:eastAsia="Times New Roman" w:hAnsiTheme="minorHAnsi" w:cs="Arial"/>
                <w:b w:val="0"/>
                <w:sz w:val="22"/>
              </w:rPr>
            </w:pPr>
            <w:r w:rsidRPr="00C640C5">
              <w:rPr>
                <w:rFonts w:asciiTheme="minorHAnsi" w:eastAsia="Times New Roman" w:hAnsiTheme="minorHAnsi" w:cs="Arial"/>
                <w:sz w:val="22"/>
              </w:rPr>
              <w:t>Domy i ośrodki kultury, kluby i świetlice</w:t>
            </w:r>
          </w:p>
        </w:tc>
        <w:tc>
          <w:tcPr>
            <w:tcW w:w="968"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2"/>
              </w:rPr>
            </w:pPr>
            <w:r w:rsidRPr="00C640C5">
              <w:rPr>
                <w:rFonts w:asciiTheme="minorHAnsi" w:eastAsia="Times New Roman" w:hAnsiTheme="minorHAnsi" w:cs="Arial"/>
                <w:sz w:val="22"/>
              </w:rPr>
              <w:t>3</w:t>
            </w:r>
          </w:p>
        </w:tc>
      </w:tr>
    </w:tbl>
    <w:p w:rsidR="00446D37" w:rsidRDefault="008418CA" w:rsidP="008418CA">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 xml:space="preserve">Bank Danych Lokalnych, </w:t>
      </w:r>
      <w:r w:rsidR="00A50D78">
        <w:rPr>
          <w:rFonts w:asciiTheme="minorHAnsi" w:hAnsiTheme="minorHAnsi"/>
          <w:sz w:val="20"/>
        </w:rPr>
        <w:t>GUS</w:t>
      </w:r>
      <w:r w:rsidR="0010032B">
        <w:rPr>
          <w:rFonts w:asciiTheme="minorHAnsi" w:hAnsiTheme="minorHAnsi"/>
          <w:sz w:val="20"/>
        </w:rPr>
        <w:t>.</w:t>
      </w:r>
    </w:p>
    <w:p w:rsidR="00A50D78" w:rsidRPr="00A50D78" w:rsidRDefault="00A50D78" w:rsidP="008418CA">
      <w:pPr>
        <w:rPr>
          <w:rFonts w:asciiTheme="minorHAnsi" w:hAnsiTheme="minorHAnsi"/>
          <w:sz w:val="20"/>
        </w:rPr>
      </w:pPr>
    </w:p>
    <w:p w:rsidR="00136BCF" w:rsidRPr="00563EF2" w:rsidRDefault="00136BCF" w:rsidP="008418CA">
      <w:pPr>
        <w:rPr>
          <w:rFonts w:asciiTheme="minorHAnsi" w:hAnsiTheme="minorHAnsi"/>
          <w:sz w:val="22"/>
        </w:rPr>
      </w:pPr>
      <w:r>
        <w:rPr>
          <w:rFonts w:asciiTheme="minorHAnsi" w:hAnsiTheme="minorHAnsi"/>
          <w:sz w:val="22"/>
        </w:rPr>
        <w:t>Do powyższej ewidencji należałoby doliczyć także galerie/salony sztuki nie pełniące funkcji instytucjonalnej tj. Galerię „Satyrykon”, Galerię Sprzedaży Dzieł Sztuki „Niello”, Galerię „Ring”, Galerię Srebra „Pod Przepiórczym Koszem”.</w:t>
      </w:r>
    </w:p>
    <w:p w:rsidR="008418CA" w:rsidRDefault="008418CA" w:rsidP="008418CA">
      <w:pPr>
        <w:rPr>
          <w:rFonts w:asciiTheme="minorHAnsi" w:hAnsiTheme="minorHAnsi"/>
          <w:sz w:val="22"/>
        </w:rPr>
      </w:pPr>
    </w:p>
    <w:p w:rsidR="00A50D78" w:rsidRPr="00A50D78" w:rsidRDefault="008418CA" w:rsidP="00A50D78">
      <w:pPr>
        <w:rPr>
          <w:rFonts w:asciiTheme="minorHAnsi" w:hAnsiTheme="minorHAnsi"/>
          <w:sz w:val="22"/>
        </w:rPr>
      </w:pPr>
      <w:r w:rsidRPr="00563EF2">
        <w:rPr>
          <w:rFonts w:asciiTheme="minorHAnsi" w:hAnsiTheme="minorHAnsi"/>
          <w:sz w:val="22"/>
        </w:rPr>
        <w:t>Na terenie Legnicy w 2012 r. funkcjonowało 12 zespołów artystycznych zrzeszających 389 członków.</w:t>
      </w:r>
      <w:r>
        <w:rPr>
          <w:rFonts w:asciiTheme="minorHAnsi" w:hAnsiTheme="minorHAnsi"/>
          <w:sz w:val="22"/>
        </w:rPr>
        <w:t xml:space="preserve"> </w:t>
      </w:r>
      <w:r w:rsidR="00A50D78">
        <w:rPr>
          <w:rFonts w:asciiTheme="minorHAnsi" w:hAnsiTheme="minorHAnsi"/>
          <w:sz w:val="22"/>
        </w:rPr>
        <w:br/>
      </w:r>
    </w:p>
    <w:p w:rsidR="008418CA" w:rsidRPr="00EA4219" w:rsidRDefault="008418CA" w:rsidP="008418CA">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29</w:t>
      </w:r>
      <w:r w:rsidR="00017794" w:rsidRPr="00EA4219">
        <w:rPr>
          <w:rFonts w:asciiTheme="minorHAnsi" w:hAnsiTheme="minorHAnsi"/>
          <w:sz w:val="20"/>
          <w:szCs w:val="22"/>
        </w:rPr>
        <w:fldChar w:fldCharType="end"/>
      </w:r>
      <w:r w:rsidRPr="00EA4219">
        <w:rPr>
          <w:rFonts w:asciiTheme="minorHAnsi" w:hAnsiTheme="minorHAnsi"/>
          <w:sz w:val="20"/>
          <w:szCs w:val="22"/>
        </w:rPr>
        <w:t>. Zespoły artystyczne działające na terenie Legnicy w 2012 r.</w:t>
      </w:r>
    </w:p>
    <w:tbl>
      <w:tblPr>
        <w:tblStyle w:val="Jasnasiatkaakcent11"/>
        <w:tblW w:w="9062" w:type="dxa"/>
        <w:tblLook w:val="04A0" w:firstRow="1" w:lastRow="0" w:firstColumn="1" w:lastColumn="0" w:noHBand="0" w:noVBand="1"/>
      </w:tblPr>
      <w:tblGrid>
        <w:gridCol w:w="2117"/>
        <w:gridCol w:w="992"/>
        <w:gridCol w:w="1559"/>
        <w:gridCol w:w="1559"/>
        <w:gridCol w:w="1701"/>
        <w:gridCol w:w="1134"/>
      </w:tblGrid>
      <w:tr w:rsidR="008418CA" w:rsidRPr="00C640C5" w:rsidTr="00A50D78">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117" w:type="dxa"/>
            <w:noWrap/>
            <w:hideMark/>
          </w:tcPr>
          <w:p w:rsidR="008418CA" w:rsidRPr="00C640C5" w:rsidRDefault="008418CA" w:rsidP="003948A4">
            <w:pPr>
              <w:rPr>
                <w:rFonts w:asciiTheme="minorHAnsi" w:eastAsia="Times New Roman" w:hAnsiTheme="minorHAnsi" w:cs="Arial"/>
                <w:sz w:val="20"/>
              </w:rPr>
            </w:pPr>
          </w:p>
        </w:tc>
        <w:tc>
          <w:tcPr>
            <w:tcW w:w="992"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teatralne</w:t>
            </w:r>
          </w:p>
        </w:tc>
        <w:tc>
          <w:tcPr>
            <w:tcW w:w="1559"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muzyczne - instrumentalne</w:t>
            </w:r>
          </w:p>
        </w:tc>
        <w:tc>
          <w:tcPr>
            <w:tcW w:w="1559"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wokalne i chóry</w:t>
            </w:r>
          </w:p>
        </w:tc>
        <w:tc>
          <w:tcPr>
            <w:tcW w:w="1701"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fo</w:t>
            </w:r>
            <w:r w:rsidR="00A50D78">
              <w:rPr>
                <w:rFonts w:asciiTheme="minorHAnsi" w:eastAsia="Times New Roman" w:hAnsiTheme="minorHAnsi" w:cs="Arial"/>
                <w:sz w:val="20"/>
              </w:rPr>
              <w:t>lklorystyczne (ludowe, pieśni i </w:t>
            </w:r>
            <w:r w:rsidRPr="00C640C5">
              <w:rPr>
                <w:rFonts w:asciiTheme="minorHAnsi" w:eastAsia="Times New Roman" w:hAnsiTheme="minorHAnsi" w:cs="Arial"/>
                <w:sz w:val="20"/>
              </w:rPr>
              <w:t>tańca, kapele)</w:t>
            </w:r>
          </w:p>
        </w:tc>
        <w:tc>
          <w:tcPr>
            <w:tcW w:w="1134" w:type="dxa"/>
            <w:noWrap/>
            <w:hideMark/>
          </w:tcPr>
          <w:p w:rsidR="008418CA" w:rsidRPr="00C640C5" w:rsidRDefault="008418CA" w:rsidP="003948A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taneczne</w:t>
            </w:r>
          </w:p>
        </w:tc>
      </w:tr>
      <w:tr w:rsidR="008418CA" w:rsidRPr="00C640C5" w:rsidTr="00A50D7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117" w:type="dxa"/>
            <w:noWrap/>
            <w:hideMark/>
          </w:tcPr>
          <w:p w:rsidR="008418CA" w:rsidRPr="00C640C5" w:rsidRDefault="008418CA" w:rsidP="003948A4">
            <w:pPr>
              <w:rPr>
                <w:rFonts w:asciiTheme="minorHAnsi" w:eastAsia="Times New Roman" w:hAnsiTheme="minorHAnsi" w:cs="Arial"/>
                <w:sz w:val="20"/>
              </w:rPr>
            </w:pPr>
            <w:r w:rsidRPr="00C640C5">
              <w:rPr>
                <w:rFonts w:asciiTheme="minorHAnsi" w:eastAsia="Times New Roman" w:hAnsiTheme="minorHAnsi" w:cs="Arial"/>
                <w:sz w:val="20"/>
              </w:rPr>
              <w:t>Zespoły artystyczne</w:t>
            </w:r>
          </w:p>
        </w:tc>
        <w:tc>
          <w:tcPr>
            <w:tcW w:w="992"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3</w:t>
            </w:r>
          </w:p>
        </w:tc>
        <w:tc>
          <w:tcPr>
            <w:tcW w:w="1559"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1</w:t>
            </w:r>
          </w:p>
        </w:tc>
        <w:tc>
          <w:tcPr>
            <w:tcW w:w="1559"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2</w:t>
            </w:r>
          </w:p>
        </w:tc>
        <w:tc>
          <w:tcPr>
            <w:tcW w:w="1701"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2</w:t>
            </w:r>
          </w:p>
        </w:tc>
        <w:tc>
          <w:tcPr>
            <w:tcW w:w="1134" w:type="dxa"/>
            <w:noWrap/>
            <w:hideMark/>
          </w:tcPr>
          <w:p w:rsidR="008418CA" w:rsidRPr="00C640C5" w:rsidRDefault="008418CA" w:rsidP="003948A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4</w:t>
            </w:r>
          </w:p>
        </w:tc>
      </w:tr>
      <w:tr w:rsidR="008418CA" w:rsidRPr="00C640C5" w:rsidTr="00A50D78">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117" w:type="dxa"/>
            <w:noWrap/>
            <w:hideMark/>
          </w:tcPr>
          <w:p w:rsidR="008418CA" w:rsidRPr="00C640C5" w:rsidRDefault="008418CA" w:rsidP="003948A4">
            <w:pPr>
              <w:rPr>
                <w:rFonts w:asciiTheme="minorHAnsi" w:eastAsia="Times New Roman" w:hAnsiTheme="minorHAnsi" w:cs="Arial"/>
                <w:sz w:val="20"/>
              </w:rPr>
            </w:pPr>
            <w:r w:rsidRPr="00C640C5">
              <w:rPr>
                <w:rFonts w:asciiTheme="minorHAnsi" w:eastAsia="Times New Roman" w:hAnsiTheme="minorHAnsi" w:cs="Arial"/>
                <w:sz w:val="20"/>
              </w:rPr>
              <w:t>Członkowie zespołów artystycznych</w:t>
            </w:r>
          </w:p>
        </w:tc>
        <w:tc>
          <w:tcPr>
            <w:tcW w:w="992"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40</w:t>
            </w:r>
          </w:p>
        </w:tc>
        <w:tc>
          <w:tcPr>
            <w:tcW w:w="1559"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15</w:t>
            </w:r>
          </w:p>
        </w:tc>
        <w:tc>
          <w:tcPr>
            <w:tcW w:w="1559"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57</w:t>
            </w:r>
          </w:p>
        </w:tc>
        <w:tc>
          <w:tcPr>
            <w:tcW w:w="1701"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102</w:t>
            </w:r>
          </w:p>
        </w:tc>
        <w:tc>
          <w:tcPr>
            <w:tcW w:w="1134" w:type="dxa"/>
            <w:noWrap/>
            <w:hideMark/>
          </w:tcPr>
          <w:p w:rsidR="008418CA" w:rsidRPr="00C640C5" w:rsidRDefault="008418CA" w:rsidP="003948A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rPr>
            </w:pPr>
            <w:r w:rsidRPr="00C640C5">
              <w:rPr>
                <w:rFonts w:asciiTheme="minorHAnsi" w:eastAsia="Times New Roman" w:hAnsiTheme="minorHAnsi" w:cs="Arial"/>
                <w:sz w:val="20"/>
              </w:rPr>
              <w:t>175</w:t>
            </w:r>
          </w:p>
        </w:tc>
      </w:tr>
    </w:tbl>
    <w:p w:rsidR="008418CA" w:rsidRPr="00A50D78" w:rsidRDefault="008418CA" w:rsidP="008418CA">
      <w:pPr>
        <w:rPr>
          <w:rFonts w:asciiTheme="minorHAnsi" w:hAnsiTheme="minorHAnsi"/>
          <w:sz w:val="20"/>
        </w:rPr>
      </w:pPr>
      <w:r w:rsidRPr="00A50D78">
        <w:rPr>
          <w:rFonts w:asciiTheme="minorHAnsi" w:hAnsiTheme="minorHAnsi"/>
          <w:sz w:val="20"/>
        </w:rPr>
        <w:t>Źródło: Opracowanie własne na podstaw</w:t>
      </w:r>
      <w:r w:rsidR="00A50D78">
        <w:rPr>
          <w:rFonts w:asciiTheme="minorHAnsi" w:hAnsiTheme="minorHAnsi"/>
          <w:sz w:val="20"/>
        </w:rPr>
        <w:t xml:space="preserve">ie: </w:t>
      </w:r>
      <w:r w:rsidR="00A50D78" w:rsidRPr="00A50D78">
        <w:rPr>
          <w:rFonts w:asciiTheme="minorHAnsi" w:hAnsiTheme="minorHAnsi"/>
          <w:i/>
          <w:sz w:val="20"/>
        </w:rPr>
        <w:t>Bank Danych Lokalnych</w:t>
      </w:r>
      <w:r w:rsidR="00A50D78">
        <w:rPr>
          <w:rFonts w:asciiTheme="minorHAnsi" w:hAnsiTheme="minorHAnsi"/>
          <w:sz w:val="20"/>
        </w:rPr>
        <w:t>, GUS</w:t>
      </w:r>
      <w:r w:rsidR="008B3862">
        <w:rPr>
          <w:rFonts w:asciiTheme="minorHAnsi" w:hAnsiTheme="minorHAnsi"/>
          <w:sz w:val="20"/>
        </w:rPr>
        <w:t>.</w:t>
      </w:r>
    </w:p>
    <w:p w:rsidR="00A50D78" w:rsidRDefault="00A50D78" w:rsidP="00FD7676">
      <w:pPr>
        <w:rPr>
          <w:rFonts w:asciiTheme="minorHAnsi" w:hAnsiTheme="minorHAnsi"/>
          <w:sz w:val="22"/>
        </w:rPr>
      </w:pPr>
    </w:p>
    <w:p w:rsidR="005C073F" w:rsidRPr="00563EF2" w:rsidRDefault="007429D7" w:rsidP="00FD7676">
      <w:pPr>
        <w:rPr>
          <w:rFonts w:asciiTheme="minorHAnsi" w:hAnsiTheme="minorHAnsi"/>
          <w:sz w:val="22"/>
        </w:rPr>
      </w:pPr>
      <w:r>
        <w:rPr>
          <w:rFonts w:asciiTheme="minorHAnsi" w:hAnsiTheme="minorHAnsi"/>
          <w:sz w:val="22"/>
        </w:rPr>
        <w:t>Samorządowym</w:t>
      </w:r>
      <w:r w:rsidR="003E1D82">
        <w:rPr>
          <w:rFonts w:asciiTheme="minorHAnsi" w:hAnsiTheme="minorHAnsi"/>
          <w:sz w:val="22"/>
        </w:rPr>
        <w:t>i instytucjami</w:t>
      </w:r>
      <w:r>
        <w:rPr>
          <w:rFonts w:asciiTheme="minorHAnsi" w:hAnsiTheme="minorHAnsi"/>
          <w:sz w:val="22"/>
        </w:rPr>
        <w:t xml:space="preserve"> kultury</w:t>
      </w:r>
      <w:r w:rsidR="003E1D82">
        <w:rPr>
          <w:rFonts w:asciiTheme="minorHAnsi" w:hAnsiTheme="minorHAnsi"/>
          <w:sz w:val="22"/>
        </w:rPr>
        <w:t xml:space="preserve"> działającymi na terenie Legnicy są: Muzeum Miedzi</w:t>
      </w:r>
      <w:r>
        <w:rPr>
          <w:rFonts w:asciiTheme="minorHAnsi" w:hAnsiTheme="minorHAnsi"/>
          <w:sz w:val="22"/>
        </w:rPr>
        <w:t xml:space="preserve"> w Legnicy</w:t>
      </w:r>
      <w:r w:rsidR="003E1D82">
        <w:rPr>
          <w:rFonts w:asciiTheme="minorHAnsi" w:hAnsiTheme="minorHAnsi"/>
          <w:sz w:val="22"/>
        </w:rPr>
        <w:t>,  Teatr im. H. Modrzejewskiej, Legnicka Bibliotek</w:t>
      </w:r>
      <w:r>
        <w:rPr>
          <w:rFonts w:asciiTheme="minorHAnsi" w:hAnsiTheme="minorHAnsi"/>
          <w:sz w:val="22"/>
        </w:rPr>
        <w:t>a</w:t>
      </w:r>
      <w:r w:rsidR="003E1D82">
        <w:rPr>
          <w:rFonts w:asciiTheme="minorHAnsi" w:hAnsiTheme="minorHAnsi"/>
          <w:sz w:val="22"/>
        </w:rPr>
        <w:t xml:space="preserve"> Publiczna, Galeria Sztuki oraz Legnickie Centrum Kultury im. </w:t>
      </w:r>
      <w:r w:rsidR="008418CA">
        <w:rPr>
          <w:rFonts w:asciiTheme="minorHAnsi" w:hAnsiTheme="minorHAnsi"/>
          <w:sz w:val="22"/>
        </w:rPr>
        <w:t>H. </w:t>
      </w:r>
      <w:r w:rsidR="003E1D82">
        <w:rPr>
          <w:rFonts w:asciiTheme="minorHAnsi" w:hAnsiTheme="minorHAnsi"/>
          <w:sz w:val="22"/>
        </w:rPr>
        <w:t>Ka</w:t>
      </w:r>
      <w:r w:rsidR="008418CA">
        <w:rPr>
          <w:rFonts w:asciiTheme="minorHAnsi" w:hAnsiTheme="minorHAnsi"/>
          <w:sz w:val="22"/>
        </w:rPr>
        <w:t>rlińskiego</w:t>
      </w:r>
      <w:r w:rsidR="003E1D82">
        <w:rPr>
          <w:rFonts w:asciiTheme="minorHAnsi" w:hAnsiTheme="minorHAnsi"/>
          <w:sz w:val="22"/>
        </w:rPr>
        <w:t>.</w:t>
      </w:r>
    </w:p>
    <w:p w:rsidR="008D1861" w:rsidRPr="004D38C6" w:rsidRDefault="00152940" w:rsidP="004D38C6">
      <w:pPr>
        <w:spacing w:before="100" w:beforeAutospacing="1" w:after="100" w:afterAutospacing="1"/>
        <w:rPr>
          <w:rFonts w:asciiTheme="minorHAnsi" w:eastAsia="Times New Roman" w:hAnsiTheme="minorHAnsi" w:cs="Times New Roman"/>
          <w:sz w:val="22"/>
          <w:lang w:eastAsia="pl-PL"/>
        </w:rPr>
      </w:pPr>
      <w:r w:rsidRPr="00563EF2">
        <w:rPr>
          <w:rFonts w:asciiTheme="minorHAnsi" w:hAnsiTheme="minorHAnsi"/>
          <w:sz w:val="22"/>
        </w:rPr>
        <w:t>Muzeum Miedzi zlokalizowane w zabytkowym budynku</w:t>
      </w:r>
      <w:r w:rsidR="005C073F" w:rsidRPr="00563EF2">
        <w:rPr>
          <w:rFonts w:asciiTheme="minorHAnsi" w:hAnsiTheme="minorHAnsi"/>
          <w:sz w:val="22"/>
        </w:rPr>
        <w:t xml:space="preserve"> kurii</w:t>
      </w:r>
      <w:r w:rsidRPr="00563EF2">
        <w:rPr>
          <w:rFonts w:asciiTheme="minorHAnsi" w:hAnsiTheme="minorHAnsi"/>
          <w:sz w:val="22"/>
        </w:rPr>
        <w:t xml:space="preserve"> opatów cyst</w:t>
      </w:r>
      <w:r w:rsidR="007429D7">
        <w:rPr>
          <w:rFonts w:asciiTheme="minorHAnsi" w:hAnsiTheme="minorHAnsi"/>
          <w:sz w:val="22"/>
        </w:rPr>
        <w:t>ersów z Lubiąża posiada ponad 33</w:t>
      </w:r>
      <w:r w:rsidRPr="00563EF2">
        <w:rPr>
          <w:rFonts w:asciiTheme="minorHAnsi" w:hAnsiTheme="minorHAnsi"/>
          <w:sz w:val="22"/>
        </w:rPr>
        <w:t> 000 eksponatów do</w:t>
      </w:r>
      <w:r w:rsidR="007429D7">
        <w:rPr>
          <w:rFonts w:asciiTheme="minorHAnsi" w:hAnsiTheme="minorHAnsi"/>
          <w:sz w:val="22"/>
        </w:rPr>
        <w:t>kumentujących dzieje Legnicy i l</w:t>
      </w:r>
      <w:r w:rsidRPr="00563EF2">
        <w:rPr>
          <w:rFonts w:asciiTheme="minorHAnsi" w:hAnsiTheme="minorHAnsi"/>
          <w:sz w:val="22"/>
        </w:rPr>
        <w:t>egniczan oraz technologii i sposobów wydobycia, przetwarzania i wykorzystania miedzi na przestrzeni wieków.</w:t>
      </w:r>
      <w:r w:rsidR="007429D7">
        <w:rPr>
          <w:rFonts w:asciiTheme="minorHAnsi" w:hAnsiTheme="minorHAnsi"/>
          <w:sz w:val="22"/>
        </w:rPr>
        <w:t xml:space="preserve"> Legnica i jej okolice od pradziejów znane były z przerobu miedzi i brązu, a od średniowiecza także z jej wydobywania.</w:t>
      </w:r>
      <w:r w:rsidRPr="00563EF2">
        <w:rPr>
          <w:rFonts w:asciiTheme="minorHAnsi" w:hAnsiTheme="minorHAnsi"/>
          <w:sz w:val="22"/>
        </w:rPr>
        <w:t xml:space="preserve"> </w:t>
      </w:r>
      <w:r w:rsidR="004D38C6" w:rsidRPr="004D38C6">
        <w:rPr>
          <w:rFonts w:asciiTheme="minorHAnsi" w:eastAsia="Times New Roman" w:hAnsiTheme="minorHAnsi" w:cs="Times New Roman"/>
          <w:sz w:val="22"/>
          <w:lang w:eastAsia="pl-PL"/>
        </w:rPr>
        <w:t>Muzeum posiada więc zbiór minerałów miedzi z całego świata, zabytki techniki z zakresu górnictwa i hutnictwa miedzi, kolekcje różnorodnych przedmiotów użytkowych i artystycznych z miedzi i jej stopów - narzędzia i broń, proste naczynia oraz sprzęty gospodarcze, ale też misternie zdobione wytwory kunsztu odlewniczego, kowalskiego, kotlarskiego. Szeroką gamę za</w:t>
      </w:r>
      <w:r w:rsidR="00A50D78">
        <w:rPr>
          <w:rFonts w:asciiTheme="minorHAnsi" w:eastAsia="Times New Roman" w:hAnsiTheme="minorHAnsi" w:cs="Times New Roman"/>
          <w:sz w:val="22"/>
          <w:lang w:eastAsia="pl-PL"/>
        </w:rPr>
        <w:t>stosowań miedzi jako tworzywa w </w:t>
      </w:r>
      <w:r w:rsidR="004D38C6" w:rsidRPr="004D38C6">
        <w:rPr>
          <w:rFonts w:asciiTheme="minorHAnsi" w:eastAsia="Times New Roman" w:hAnsiTheme="minorHAnsi" w:cs="Times New Roman"/>
          <w:sz w:val="22"/>
          <w:lang w:eastAsia="pl-PL"/>
        </w:rPr>
        <w:t>sztuce uzupełniają kolekcje dawnej i współczesnej rzeźby brązowej oraz zbiór miedziorytów.</w:t>
      </w:r>
    </w:p>
    <w:p w:rsidR="004D38C6" w:rsidRPr="004D38C6" w:rsidRDefault="004D38C6" w:rsidP="0033475A">
      <w:pPr>
        <w:spacing w:before="100" w:beforeAutospacing="1" w:after="100" w:afterAutospacing="1"/>
        <w:rPr>
          <w:rFonts w:asciiTheme="minorHAnsi" w:eastAsia="Times New Roman" w:hAnsiTheme="minorHAnsi" w:cs="Times New Roman"/>
          <w:sz w:val="22"/>
          <w:lang w:eastAsia="pl-PL"/>
        </w:rPr>
      </w:pPr>
      <w:r w:rsidRPr="004D38C6">
        <w:rPr>
          <w:rFonts w:asciiTheme="minorHAnsi" w:eastAsia="Times New Roman" w:hAnsiTheme="minorHAnsi" w:cs="Times New Roman"/>
          <w:sz w:val="22"/>
          <w:lang w:eastAsia="pl-PL"/>
        </w:rPr>
        <w:t>Na ekspozycję główną Muzeum składają się obiekty z zakresu: arch</w:t>
      </w:r>
      <w:r w:rsidR="0033475A">
        <w:rPr>
          <w:rFonts w:asciiTheme="minorHAnsi" w:eastAsia="Times New Roman" w:hAnsiTheme="minorHAnsi" w:cs="Times New Roman"/>
          <w:sz w:val="22"/>
          <w:lang w:eastAsia="pl-PL"/>
        </w:rPr>
        <w:t>eologii (ceramika pradziejowa i </w:t>
      </w:r>
      <w:r w:rsidRPr="004D38C6">
        <w:rPr>
          <w:rFonts w:asciiTheme="minorHAnsi" w:eastAsia="Times New Roman" w:hAnsiTheme="minorHAnsi" w:cs="Times New Roman"/>
          <w:sz w:val="22"/>
          <w:lang w:eastAsia="pl-PL"/>
        </w:rPr>
        <w:t>średniowieczna, narzędzia kamienne, przedmioty z brązu, żelaza, drewna , kości, skóry), numizmatyki i medalierstwa, rzemiosła artystycznego, malarstwa, grafiki, fotografii, filokartystyki, kartografi</w:t>
      </w:r>
      <w:r w:rsidR="007429D7">
        <w:rPr>
          <w:rFonts w:asciiTheme="minorHAnsi" w:eastAsia="Times New Roman" w:hAnsiTheme="minorHAnsi" w:cs="Times New Roman"/>
          <w:sz w:val="22"/>
          <w:lang w:eastAsia="pl-PL"/>
        </w:rPr>
        <w:t>i. Do kategorii tej zaliczyć też</w:t>
      </w:r>
      <w:r w:rsidRPr="004D38C6">
        <w:rPr>
          <w:rFonts w:asciiTheme="minorHAnsi" w:eastAsia="Times New Roman" w:hAnsiTheme="minorHAnsi" w:cs="Times New Roman"/>
          <w:sz w:val="22"/>
          <w:lang w:eastAsia="pl-PL"/>
        </w:rPr>
        <w:t xml:space="preserve"> należy</w:t>
      </w:r>
      <w:r w:rsidR="007429D7">
        <w:rPr>
          <w:rFonts w:asciiTheme="minorHAnsi" w:eastAsia="Times New Roman" w:hAnsiTheme="minorHAnsi" w:cs="Times New Roman"/>
          <w:sz w:val="22"/>
          <w:lang w:eastAsia="pl-PL"/>
        </w:rPr>
        <w:t>:</w:t>
      </w:r>
      <w:r w:rsidRPr="004D38C6">
        <w:rPr>
          <w:rFonts w:asciiTheme="minorHAnsi" w:eastAsia="Times New Roman" w:hAnsiTheme="minorHAnsi" w:cs="Times New Roman"/>
          <w:sz w:val="22"/>
          <w:lang w:eastAsia="pl-PL"/>
        </w:rPr>
        <w:t xml:space="preserve"> rękopisy, dokumenty, starodruki, materiały biograficzne, tłoki pieczętne, sztandary, sienkiewiciana. </w:t>
      </w:r>
      <w:r>
        <w:rPr>
          <w:rStyle w:val="Odwoanieprzypisudolnego"/>
          <w:rFonts w:asciiTheme="minorHAnsi" w:eastAsia="Times New Roman" w:hAnsiTheme="minorHAnsi" w:cs="Times New Roman"/>
          <w:sz w:val="22"/>
          <w:lang w:eastAsia="pl-PL"/>
        </w:rPr>
        <w:footnoteReference w:id="16"/>
      </w:r>
    </w:p>
    <w:p w:rsidR="008418CA" w:rsidRPr="008418CA" w:rsidRDefault="007429D7" w:rsidP="008418CA">
      <w:pPr>
        <w:rPr>
          <w:rFonts w:asciiTheme="minorHAnsi" w:hAnsiTheme="minorHAnsi"/>
          <w:sz w:val="22"/>
        </w:rPr>
      </w:pPr>
      <w:r>
        <w:rPr>
          <w:rFonts w:asciiTheme="minorHAnsi" w:hAnsiTheme="minorHAnsi"/>
          <w:sz w:val="22"/>
        </w:rPr>
        <w:t>Muzeum Miedzi obecnie</w:t>
      </w:r>
      <w:r w:rsidR="00152940" w:rsidRPr="00563EF2">
        <w:rPr>
          <w:rFonts w:asciiTheme="minorHAnsi" w:hAnsiTheme="minorHAnsi"/>
          <w:sz w:val="22"/>
        </w:rPr>
        <w:t xml:space="preserve"> r</w:t>
      </w:r>
      <w:r w:rsidR="005C073F" w:rsidRPr="00563EF2">
        <w:rPr>
          <w:rFonts w:asciiTheme="minorHAnsi" w:hAnsiTheme="minorHAnsi"/>
          <w:sz w:val="22"/>
        </w:rPr>
        <w:t>ozszerza swoje zbiory o kolekcję</w:t>
      </w:r>
      <w:r w:rsidR="00152940" w:rsidRPr="00563EF2">
        <w:rPr>
          <w:rFonts w:asciiTheme="minorHAnsi" w:hAnsiTheme="minorHAnsi"/>
          <w:sz w:val="22"/>
        </w:rPr>
        <w:t xml:space="preserve"> współczesnej sztuki złotniczej oraz kolekcję </w:t>
      </w:r>
      <w:r w:rsidR="00152940" w:rsidRPr="00563EF2">
        <w:rPr>
          <w:rFonts w:asciiTheme="minorHAnsi" w:hAnsiTheme="minorHAnsi"/>
          <w:i/>
          <w:sz w:val="22"/>
        </w:rPr>
        <w:t>sovietica</w:t>
      </w:r>
      <w:r w:rsidR="00152940" w:rsidRPr="00563EF2">
        <w:rPr>
          <w:rFonts w:asciiTheme="minorHAnsi" w:hAnsiTheme="minorHAnsi"/>
          <w:sz w:val="22"/>
        </w:rPr>
        <w:t>. Z tą ostatnią związana jest koncepcja utworzenia na terenie Legnicy Muze</w:t>
      </w:r>
      <w:r>
        <w:rPr>
          <w:rFonts w:asciiTheme="minorHAnsi" w:hAnsiTheme="minorHAnsi"/>
          <w:sz w:val="22"/>
        </w:rPr>
        <w:t>um „Zimnej Wojny”</w:t>
      </w:r>
      <w:r w:rsidR="00A41138">
        <w:rPr>
          <w:rFonts w:asciiTheme="minorHAnsi" w:hAnsiTheme="minorHAnsi"/>
          <w:sz w:val="22"/>
        </w:rPr>
        <w:t>,</w:t>
      </w:r>
      <w:r>
        <w:rPr>
          <w:rFonts w:asciiTheme="minorHAnsi" w:hAnsiTheme="minorHAnsi"/>
          <w:sz w:val="22"/>
        </w:rPr>
        <w:t xml:space="preserve"> dokumentującego</w:t>
      </w:r>
      <w:r w:rsidR="00152940" w:rsidRPr="00563EF2">
        <w:rPr>
          <w:rFonts w:asciiTheme="minorHAnsi" w:hAnsiTheme="minorHAnsi"/>
          <w:sz w:val="22"/>
        </w:rPr>
        <w:t xml:space="preserve"> stacjonowanie w Legnicy pułku Armii Czerwonej w odniesieniu do </w:t>
      </w:r>
      <w:r w:rsidR="005C073F" w:rsidRPr="00563EF2">
        <w:rPr>
          <w:rFonts w:asciiTheme="minorHAnsi" w:hAnsiTheme="minorHAnsi"/>
          <w:sz w:val="22"/>
        </w:rPr>
        <w:t xml:space="preserve">globalnej sytuacji politycznej tamtych lat. </w:t>
      </w:r>
      <w:r w:rsidR="008418CA" w:rsidRPr="008418CA">
        <w:rPr>
          <w:rFonts w:asciiTheme="minorHAnsi" w:hAnsiTheme="minorHAnsi"/>
          <w:sz w:val="22"/>
        </w:rPr>
        <w:t>Muzeum prowadzi także szeroką działalność oświatową i dokumentacyjną, m.in. poprzez organizację lekcji muzealnych, pokazów (np. bicia monet), przygotowywanie i w</w:t>
      </w:r>
      <w:r w:rsidR="0033475A">
        <w:rPr>
          <w:rFonts w:asciiTheme="minorHAnsi" w:hAnsiTheme="minorHAnsi"/>
          <w:sz w:val="22"/>
        </w:rPr>
        <w:t>ydawanie publikacji do wystaw i </w:t>
      </w:r>
      <w:r w:rsidR="008418CA" w:rsidRPr="008418CA">
        <w:rPr>
          <w:rFonts w:asciiTheme="minorHAnsi" w:hAnsiTheme="minorHAnsi"/>
          <w:sz w:val="22"/>
        </w:rPr>
        <w:t>sesji (katalogi, foldery, plakaty, pocztówki)</w:t>
      </w:r>
      <w:r w:rsidR="00F20511">
        <w:rPr>
          <w:rFonts w:asciiTheme="minorHAnsi" w:hAnsiTheme="minorHAnsi"/>
          <w:sz w:val="22"/>
        </w:rPr>
        <w:t>.</w:t>
      </w:r>
    </w:p>
    <w:p w:rsidR="00152940" w:rsidRPr="00563EF2" w:rsidRDefault="00152940" w:rsidP="00FD7676">
      <w:pPr>
        <w:rPr>
          <w:rFonts w:asciiTheme="minorHAnsi" w:hAnsiTheme="minorHAnsi"/>
          <w:sz w:val="22"/>
        </w:rPr>
      </w:pPr>
    </w:p>
    <w:p w:rsidR="009535DE" w:rsidRDefault="006E508F" w:rsidP="008D1861">
      <w:pPr>
        <w:rPr>
          <w:rFonts w:asciiTheme="minorHAnsi" w:hAnsiTheme="minorHAnsi"/>
          <w:sz w:val="22"/>
        </w:rPr>
      </w:pPr>
      <w:r w:rsidRPr="008D1861">
        <w:rPr>
          <w:rFonts w:asciiTheme="minorHAnsi" w:hAnsiTheme="minorHAnsi"/>
          <w:sz w:val="22"/>
        </w:rPr>
        <w:t>Ważną instytucją kultury</w:t>
      </w:r>
      <w:r w:rsidR="008418CA">
        <w:rPr>
          <w:rFonts w:asciiTheme="minorHAnsi" w:hAnsiTheme="minorHAnsi"/>
          <w:sz w:val="22"/>
        </w:rPr>
        <w:t xml:space="preserve"> działającą na terenie Legnicy</w:t>
      </w:r>
      <w:r w:rsidRPr="008D1861">
        <w:rPr>
          <w:rFonts w:asciiTheme="minorHAnsi" w:hAnsiTheme="minorHAnsi"/>
          <w:sz w:val="22"/>
        </w:rPr>
        <w:t xml:space="preserve"> jest Teatr im. H. Modrzejewskiej, którego spektakle (</w:t>
      </w:r>
      <w:r w:rsidRPr="008D1861">
        <w:rPr>
          <w:rFonts w:asciiTheme="minorHAnsi" w:hAnsiTheme="minorHAnsi"/>
          <w:i/>
          <w:sz w:val="22"/>
        </w:rPr>
        <w:t>Ballada o Zakaczawiu, Wschody i zachody miasta, Łemko, Operacja Dunaj</w:t>
      </w:r>
      <w:r w:rsidRPr="008D1861">
        <w:rPr>
          <w:rFonts w:asciiTheme="minorHAnsi" w:hAnsiTheme="minorHAnsi"/>
          <w:sz w:val="22"/>
        </w:rPr>
        <w:t xml:space="preserve">) są znane i rozpoznawane w całej Polsce. </w:t>
      </w:r>
      <w:r w:rsidR="009535DE" w:rsidRPr="008D1861">
        <w:rPr>
          <w:rFonts w:asciiTheme="minorHAnsi" w:hAnsiTheme="minorHAnsi"/>
          <w:sz w:val="22"/>
        </w:rPr>
        <w:t xml:space="preserve"> Instytucja ta była prowadzona początkowo przez Gminę Legnica</w:t>
      </w:r>
      <w:r w:rsidR="009C4B54">
        <w:rPr>
          <w:rFonts w:asciiTheme="minorHAnsi" w:hAnsiTheme="minorHAnsi"/>
          <w:sz w:val="22"/>
        </w:rPr>
        <w:t xml:space="preserve"> od  1 </w:t>
      </w:r>
      <w:r w:rsidR="009535DE" w:rsidRPr="008D1861">
        <w:rPr>
          <w:rFonts w:asciiTheme="minorHAnsi" w:hAnsiTheme="minorHAnsi"/>
          <w:sz w:val="22"/>
        </w:rPr>
        <w:t xml:space="preserve">stycznia 2006 r., </w:t>
      </w:r>
      <w:r w:rsidR="009C4B54">
        <w:rPr>
          <w:rFonts w:asciiTheme="minorHAnsi" w:hAnsiTheme="minorHAnsi"/>
          <w:sz w:val="22"/>
        </w:rPr>
        <w:t>współprowadzona z Województwem Dolnośląskim, a od 17 marca 2009 r. została przejęta przez  Województwo Dolnośląskie</w:t>
      </w:r>
      <w:r w:rsidR="009535DE" w:rsidRPr="008D1861">
        <w:rPr>
          <w:rFonts w:asciiTheme="minorHAnsi" w:hAnsiTheme="minorHAnsi"/>
          <w:sz w:val="22"/>
        </w:rPr>
        <w:t xml:space="preserve"> </w:t>
      </w:r>
      <w:r w:rsidR="009C4B54">
        <w:rPr>
          <w:rFonts w:asciiTheme="minorHAnsi" w:hAnsiTheme="minorHAnsi"/>
          <w:sz w:val="22"/>
        </w:rPr>
        <w:t>i jest współprowadzona przez Gminę Legnica.</w:t>
      </w:r>
    </w:p>
    <w:p w:rsidR="003E1D82" w:rsidRPr="008D1861" w:rsidRDefault="003E1D82" w:rsidP="008D1861">
      <w:pPr>
        <w:rPr>
          <w:rFonts w:asciiTheme="minorHAnsi" w:hAnsiTheme="minorHAnsi"/>
          <w:sz w:val="22"/>
        </w:rPr>
      </w:pPr>
    </w:p>
    <w:p w:rsidR="003E1D82" w:rsidRPr="008D1861" w:rsidRDefault="009535DE" w:rsidP="008D1861">
      <w:pPr>
        <w:pStyle w:val="Tekstpodstawowywcity3"/>
        <w:ind w:left="0"/>
        <w:rPr>
          <w:rFonts w:asciiTheme="minorHAnsi" w:hAnsiTheme="minorHAnsi"/>
          <w:sz w:val="22"/>
          <w:szCs w:val="22"/>
        </w:rPr>
      </w:pPr>
      <w:r w:rsidRPr="008D1861">
        <w:rPr>
          <w:rFonts w:asciiTheme="minorHAnsi" w:hAnsiTheme="minorHAnsi"/>
          <w:sz w:val="22"/>
          <w:szCs w:val="22"/>
        </w:rPr>
        <w:t>Teatr uczestniczy w większości krajowych festiwali teatralnych, regularnie prezentuje swoje spektakle w różnych ośrodkach w kraju, w tym m.in. w Warszawie, w Poznaniu na Międzynarodowym Festiwalu Teatralnym „Malta” oraz na Festiwalu Szekspirowskim w Gdańsku. Prezentuje swój dorobek także za granicą</w:t>
      </w:r>
      <w:r w:rsidR="008D1861" w:rsidRPr="008D1861">
        <w:rPr>
          <w:rFonts w:asciiTheme="minorHAnsi" w:hAnsiTheme="minorHAnsi"/>
          <w:sz w:val="22"/>
          <w:szCs w:val="22"/>
        </w:rPr>
        <w:t xml:space="preserve">. </w:t>
      </w:r>
      <w:r w:rsidRPr="008D1861">
        <w:rPr>
          <w:rFonts w:asciiTheme="minorHAnsi" w:hAnsiTheme="minorHAnsi"/>
          <w:sz w:val="22"/>
          <w:szCs w:val="22"/>
        </w:rPr>
        <w:t>Występował</w:t>
      </w:r>
      <w:r w:rsidR="008D1861" w:rsidRPr="008D1861">
        <w:rPr>
          <w:rFonts w:asciiTheme="minorHAnsi" w:hAnsiTheme="minorHAnsi"/>
          <w:sz w:val="22"/>
          <w:szCs w:val="22"/>
        </w:rPr>
        <w:t xml:space="preserve"> m.in.</w:t>
      </w:r>
      <w:r w:rsidRPr="008D1861">
        <w:rPr>
          <w:rFonts w:asciiTheme="minorHAnsi" w:hAnsiTheme="minorHAnsi"/>
          <w:sz w:val="22"/>
          <w:szCs w:val="22"/>
        </w:rPr>
        <w:t xml:space="preserve"> w </w:t>
      </w:r>
      <w:r w:rsidR="008D1861" w:rsidRPr="008D1861">
        <w:rPr>
          <w:rFonts w:asciiTheme="minorHAnsi" w:hAnsiTheme="minorHAnsi"/>
          <w:sz w:val="22"/>
          <w:szCs w:val="22"/>
        </w:rPr>
        <w:t>Edynburgu, Pradze,</w:t>
      </w:r>
      <w:r w:rsidRPr="008D1861">
        <w:rPr>
          <w:rFonts w:asciiTheme="minorHAnsi" w:hAnsiTheme="minorHAnsi"/>
          <w:sz w:val="22"/>
          <w:szCs w:val="22"/>
        </w:rPr>
        <w:t> Moskwie i w Budapeszcie.</w:t>
      </w:r>
    </w:p>
    <w:p w:rsidR="009535DE" w:rsidRDefault="009535DE" w:rsidP="008D1861">
      <w:pPr>
        <w:pStyle w:val="Tekstpodstawowywcity3"/>
        <w:ind w:left="0"/>
        <w:rPr>
          <w:rFonts w:asciiTheme="minorHAnsi" w:hAnsiTheme="minorHAnsi"/>
          <w:sz w:val="22"/>
          <w:szCs w:val="22"/>
        </w:rPr>
      </w:pPr>
      <w:r w:rsidRPr="008D1861">
        <w:rPr>
          <w:rFonts w:asciiTheme="minorHAnsi" w:hAnsiTheme="minorHAnsi"/>
          <w:sz w:val="22"/>
          <w:szCs w:val="22"/>
        </w:rPr>
        <w:t>Instytucja, poszczególne spektakle, ich twórcy i aktorzy otrzymali wiele nag</w:t>
      </w:r>
      <w:r w:rsidR="009C4B54">
        <w:rPr>
          <w:rFonts w:asciiTheme="minorHAnsi" w:hAnsiTheme="minorHAnsi"/>
          <w:sz w:val="22"/>
          <w:szCs w:val="22"/>
        </w:rPr>
        <w:t>ród i wyróżnień w polskich i międzynarodowych konkursach i festiwalach teatralnych.</w:t>
      </w:r>
    </w:p>
    <w:p w:rsidR="008D1861" w:rsidRPr="003E1D82" w:rsidRDefault="008D1861" w:rsidP="008D1861">
      <w:pPr>
        <w:pStyle w:val="Tekstpodstawowywcity3"/>
        <w:spacing w:line="360" w:lineRule="auto"/>
        <w:ind w:left="0"/>
        <w:rPr>
          <w:rFonts w:asciiTheme="minorHAnsi" w:hAnsiTheme="minorHAnsi"/>
          <w:sz w:val="22"/>
          <w:szCs w:val="22"/>
        </w:rPr>
      </w:pPr>
      <w:r w:rsidRPr="003E1D82">
        <w:rPr>
          <w:rFonts w:asciiTheme="minorHAnsi" w:hAnsiTheme="minorHAnsi"/>
          <w:sz w:val="22"/>
          <w:szCs w:val="22"/>
        </w:rPr>
        <w:t>Teatr prowadzi także szeroką działalność edukacyjną, w tym w ramach Klubu Gońca Teatralnego.</w:t>
      </w:r>
    </w:p>
    <w:p w:rsidR="003E1D82" w:rsidRDefault="009535DE" w:rsidP="008418CA">
      <w:pPr>
        <w:rPr>
          <w:rFonts w:asciiTheme="minorHAnsi" w:hAnsiTheme="minorHAnsi"/>
          <w:sz w:val="22"/>
        </w:rPr>
      </w:pPr>
      <w:r w:rsidRPr="003E1D82">
        <w:rPr>
          <w:rFonts w:asciiTheme="minorHAnsi" w:hAnsiTheme="minorHAnsi"/>
          <w:sz w:val="22"/>
        </w:rPr>
        <w:t>Legnicka Biblioteka Publiczna</w:t>
      </w:r>
      <w:r w:rsidR="009C4B54">
        <w:rPr>
          <w:rFonts w:asciiTheme="minorHAnsi" w:hAnsiTheme="minorHAnsi"/>
          <w:sz w:val="22"/>
        </w:rPr>
        <w:t xml:space="preserve"> oprócz własnych 17 placówek</w:t>
      </w:r>
      <w:r w:rsidR="008D1861" w:rsidRPr="003E1D82">
        <w:rPr>
          <w:rFonts w:asciiTheme="minorHAnsi" w:hAnsiTheme="minorHAnsi"/>
          <w:sz w:val="22"/>
        </w:rPr>
        <w:t xml:space="preserve"> na terenie Miasta prowadzi także </w:t>
      </w:r>
      <w:r w:rsidR="009C4B54">
        <w:rPr>
          <w:rFonts w:asciiTheme="minorHAnsi" w:hAnsiTheme="minorHAnsi"/>
          <w:sz w:val="22"/>
        </w:rPr>
        <w:t xml:space="preserve">opiekę merytoryczną </w:t>
      </w:r>
      <w:r w:rsidR="008D1861" w:rsidRPr="003E1D82">
        <w:rPr>
          <w:rFonts w:asciiTheme="minorHAnsi" w:hAnsiTheme="minorHAnsi"/>
          <w:sz w:val="22"/>
        </w:rPr>
        <w:t>nad</w:t>
      </w:r>
      <w:r w:rsidRPr="003E1D82">
        <w:rPr>
          <w:rFonts w:asciiTheme="minorHAnsi" w:hAnsiTheme="minorHAnsi"/>
          <w:sz w:val="22"/>
        </w:rPr>
        <w:t xml:space="preserve"> 19 placówkami bibliotecznymi na terenie powiatu legnickiego.</w:t>
      </w:r>
    </w:p>
    <w:p w:rsidR="008418CA" w:rsidRPr="003E1D82" w:rsidRDefault="008418CA" w:rsidP="008418CA">
      <w:pPr>
        <w:rPr>
          <w:rFonts w:asciiTheme="minorHAnsi" w:hAnsiTheme="minorHAnsi"/>
          <w:sz w:val="22"/>
        </w:rPr>
      </w:pPr>
    </w:p>
    <w:p w:rsidR="009535DE" w:rsidRPr="008418CA" w:rsidRDefault="009535DE" w:rsidP="008418CA">
      <w:pPr>
        <w:pStyle w:val="Tekstpodstawowywcity3"/>
        <w:ind w:left="0"/>
        <w:rPr>
          <w:rFonts w:asciiTheme="minorHAnsi" w:hAnsiTheme="minorHAnsi"/>
          <w:sz w:val="22"/>
          <w:szCs w:val="22"/>
        </w:rPr>
      </w:pPr>
      <w:r w:rsidRPr="003E1D82">
        <w:rPr>
          <w:rFonts w:asciiTheme="minorHAnsi" w:hAnsiTheme="minorHAnsi"/>
          <w:sz w:val="22"/>
          <w:szCs w:val="22"/>
        </w:rPr>
        <w:t>Legnicka Biblioteka Publiczna prowadzi 15 filii, w tym</w:t>
      </w:r>
      <w:r w:rsidR="009C4B54">
        <w:rPr>
          <w:rFonts w:asciiTheme="minorHAnsi" w:hAnsiTheme="minorHAnsi"/>
          <w:sz w:val="22"/>
          <w:szCs w:val="22"/>
        </w:rPr>
        <w:t xml:space="preserve"> Filię Zbiorów Muzycznych i Specjalnych,</w:t>
      </w:r>
      <w:r w:rsidR="0033475A">
        <w:rPr>
          <w:rFonts w:asciiTheme="minorHAnsi" w:hAnsiTheme="minorHAnsi"/>
          <w:sz w:val="22"/>
          <w:szCs w:val="22"/>
        </w:rPr>
        <w:t xml:space="preserve"> 2 </w:t>
      </w:r>
      <w:r w:rsidRPr="003E1D82">
        <w:rPr>
          <w:rFonts w:asciiTheme="minorHAnsi" w:hAnsiTheme="minorHAnsi"/>
          <w:sz w:val="22"/>
          <w:szCs w:val="22"/>
        </w:rPr>
        <w:t>dziecięco-młodzieżowe i Ekobibliotekę</w:t>
      </w:r>
      <w:r w:rsidR="009C4B54">
        <w:rPr>
          <w:rFonts w:asciiTheme="minorHAnsi" w:hAnsiTheme="minorHAnsi"/>
          <w:sz w:val="22"/>
          <w:szCs w:val="22"/>
        </w:rPr>
        <w:t xml:space="preserve"> oraz Wypożyczalnię dla Dorosłych i Czytelnię Naukową</w:t>
      </w:r>
      <w:r w:rsidRPr="003E1D82">
        <w:rPr>
          <w:rFonts w:asciiTheme="minorHAnsi" w:hAnsiTheme="minorHAnsi"/>
          <w:sz w:val="22"/>
          <w:szCs w:val="22"/>
        </w:rPr>
        <w:t>.</w:t>
      </w:r>
      <w:r w:rsidR="0033475A">
        <w:rPr>
          <w:rFonts w:asciiTheme="minorHAnsi" w:hAnsiTheme="minorHAnsi"/>
          <w:sz w:val="22"/>
          <w:szCs w:val="22"/>
        </w:rPr>
        <w:t xml:space="preserve"> W </w:t>
      </w:r>
      <w:r w:rsidR="009C4B54">
        <w:rPr>
          <w:rFonts w:asciiTheme="minorHAnsi" w:hAnsiTheme="minorHAnsi"/>
          <w:sz w:val="22"/>
          <w:szCs w:val="22"/>
        </w:rPr>
        <w:t>2013</w:t>
      </w:r>
      <w:r w:rsidR="008D1861" w:rsidRPr="003E1D82">
        <w:rPr>
          <w:rFonts w:asciiTheme="minorHAnsi" w:hAnsiTheme="minorHAnsi"/>
          <w:sz w:val="22"/>
          <w:szCs w:val="22"/>
        </w:rPr>
        <w:t xml:space="preserve"> r. </w:t>
      </w:r>
      <w:r w:rsidR="009C4B54">
        <w:rPr>
          <w:rFonts w:asciiTheme="minorHAnsi" w:hAnsiTheme="minorHAnsi"/>
          <w:sz w:val="22"/>
          <w:szCs w:val="22"/>
        </w:rPr>
        <w:t>Księgozbiór Biblioteki stanowiło 327 106</w:t>
      </w:r>
      <w:r w:rsidRPr="003E1D82">
        <w:rPr>
          <w:rFonts w:asciiTheme="minorHAnsi" w:hAnsiTheme="minorHAnsi"/>
          <w:sz w:val="22"/>
          <w:szCs w:val="22"/>
        </w:rPr>
        <w:t xml:space="preserve"> wolumin</w:t>
      </w:r>
      <w:r w:rsidR="009C4B54">
        <w:rPr>
          <w:rFonts w:asciiTheme="minorHAnsi" w:hAnsiTheme="minorHAnsi"/>
          <w:sz w:val="22"/>
          <w:szCs w:val="22"/>
        </w:rPr>
        <w:t>ów</w:t>
      </w:r>
      <w:r w:rsidRPr="003E1D82">
        <w:rPr>
          <w:rFonts w:asciiTheme="minorHAnsi" w:hAnsiTheme="minorHAnsi"/>
          <w:sz w:val="22"/>
          <w:szCs w:val="22"/>
        </w:rPr>
        <w:t>. Ponadto instytucja posiada</w:t>
      </w:r>
      <w:r w:rsidR="008D1861" w:rsidRPr="003E1D82">
        <w:rPr>
          <w:rFonts w:asciiTheme="minorHAnsi" w:hAnsiTheme="minorHAnsi"/>
          <w:sz w:val="22"/>
          <w:szCs w:val="22"/>
        </w:rPr>
        <w:t>ła</w:t>
      </w:r>
      <w:r w:rsidRPr="003E1D82">
        <w:rPr>
          <w:rFonts w:asciiTheme="minorHAnsi" w:hAnsiTheme="minorHAnsi"/>
          <w:sz w:val="22"/>
          <w:szCs w:val="22"/>
        </w:rPr>
        <w:t xml:space="preserve"> </w:t>
      </w:r>
      <w:r w:rsidR="009C4B54">
        <w:rPr>
          <w:rFonts w:asciiTheme="minorHAnsi" w:hAnsiTheme="minorHAnsi"/>
          <w:sz w:val="22"/>
          <w:szCs w:val="22"/>
        </w:rPr>
        <w:t>60 775 jednostek</w:t>
      </w:r>
      <w:r w:rsidRPr="003E1D82">
        <w:rPr>
          <w:rFonts w:asciiTheme="minorHAnsi" w:hAnsiTheme="minorHAnsi"/>
          <w:sz w:val="22"/>
          <w:szCs w:val="22"/>
        </w:rPr>
        <w:t xml:space="preserve"> z</w:t>
      </w:r>
      <w:r w:rsidR="008D1861" w:rsidRPr="003E1D82">
        <w:rPr>
          <w:rFonts w:asciiTheme="minorHAnsi" w:hAnsiTheme="minorHAnsi"/>
          <w:sz w:val="22"/>
          <w:szCs w:val="22"/>
        </w:rPr>
        <w:t>biorów specjalnych i prenumerowała</w:t>
      </w:r>
      <w:r w:rsidR="009C4B54">
        <w:rPr>
          <w:rFonts w:asciiTheme="minorHAnsi" w:hAnsiTheme="minorHAnsi"/>
          <w:sz w:val="22"/>
          <w:szCs w:val="22"/>
        </w:rPr>
        <w:t xml:space="preserve"> 274  egzemplarze</w:t>
      </w:r>
      <w:r w:rsidRPr="003E1D82">
        <w:rPr>
          <w:rFonts w:asciiTheme="minorHAnsi" w:hAnsiTheme="minorHAnsi"/>
          <w:sz w:val="22"/>
          <w:szCs w:val="22"/>
        </w:rPr>
        <w:t xml:space="preserve"> czasopism.</w:t>
      </w:r>
      <w:r w:rsidR="008D1861" w:rsidRPr="003E1D82">
        <w:rPr>
          <w:rFonts w:asciiTheme="minorHAnsi" w:hAnsiTheme="minorHAnsi"/>
          <w:sz w:val="22"/>
          <w:szCs w:val="22"/>
        </w:rPr>
        <w:t xml:space="preserve"> Biblioteka</w:t>
      </w:r>
      <w:r w:rsidRPr="003E1D82">
        <w:rPr>
          <w:rFonts w:asciiTheme="minorHAnsi" w:hAnsiTheme="minorHAnsi"/>
          <w:sz w:val="22"/>
          <w:szCs w:val="22"/>
        </w:rPr>
        <w:t xml:space="preserve"> </w:t>
      </w:r>
      <w:r w:rsidR="008D1861" w:rsidRPr="003E1D82">
        <w:rPr>
          <w:rFonts w:asciiTheme="minorHAnsi" w:hAnsiTheme="minorHAnsi"/>
          <w:sz w:val="22"/>
          <w:szCs w:val="22"/>
        </w:rPr>
        <w:t>d</w:t>
      </w:r>
      <w:r w:rsidRPr="003E1D82">
        <w:rPr>
          <w:rFonts w:asciiTheme="minorHAnsi" w:hAnsiTheme="minorHAnsi"/>
          <w:sz w:val="22"/>
          <w:szCs w:val="22"/>
        </w:rPr>
        <w:t>ysponuje także liczącym się na Dolnym Śląsku księgozbiorem regionalnym, którego ważną część stanowi kolekcja p. Tadeusza Gumińskiego z  cennymi wydawnictwami z końca XIX i początku XX w. Istotnym uzupełnieniem księgozbioru regionalnego są współcześnie wydawane książki niemieckiego Wydawnictwa Henske-Neuman Verlag.</w:t>
      </w:r>
      <w:r w:rsidR="008418CA">
        <w:rPr>
          <w:rFonts w:asciiTheme="minorHAnsi" w:hAnsiTheme="minorHAnsi"/>
          <w:sz w:val="22"/>
          <w:szCs w:val="22"/>
        </w:rPr>
        <w:t xml:space="preserve"> </w:t>
      </w:r>
      <w:r w:rsidR="008418CA">
        <w:rPr>
          <w:rStyle w:val="Odwoanieprzypisudolnego"/>
          <w:rFonts w:asciiTheme="minorHAnsi" w:hAnsiTheme="minorHAnsi"/>
          <w:sz w:val="22"/>
        </w:rPr>
        <w:footnoteReference w:id="17"/>
      </w:r>
    </w:p>
    <w:p w:rsidR="008D1861" w:rsidRPr="003E1D82" w:rsidRDefault="009C7BFC" w:rsidP="003E1D82">
      <w:pPr>
        <w:rPr>
          <w:rFonts w:asciiTheme="minorHAnsi" w:hAnsiTheme="minorHAnsi"/>
          <w:sz w:val="22"/>
        </w:rPr>
      </w:pPr>
      <w:r w:rsidRPr="003E1D82">
        <w:rPr>
          <w:rFonts w:asciiTheme="minorHAnsi" w:eastAsia="Times New Roman" w:hAnsiTheme="minorHAnsi" w:cs="Times New Roman"/>
          <w:sz w:val="22"/>
          <w:lang w:eastAsia="pl-PL"/>
        </w:rPr>
        <w:t>Galeria Sztuki w Legnicy, istniejąca od 1971 roku</w:t>
      </w:r>
      <w:r w:rsidR="009C4B54">
        <w:rPr>
          <w:rFonts w:asciiTheme="minorHAnsi" w:eastAsia="Times New Roman" w:hAnsiTheme="minorHAnsi" w:cs="Times New Roman"/>
          <w:sz w:val="22"/>
          <w:lang w:eastAsia="pl-PL"/>
        </w:rPr>
        <w:t xml:space="preserve">, najpierw jako państwowe Biuro Wystaw </w:t>
      </w:r>
      <w:r w:rsidRPr="003E1D82">
        <w:rPr>
          <w:rFonts w:asciiTheme="minorHAnsi" w:eastAsia="Times New Roman" w:hAnsiTheme="minorHAnsi" w:cs="Times New Roman"/>
          <w:sz w:val="22"/>
          <w:lang w:eastAsia="pl-PL"/>
        </w:rPr>
        <w:t>A</w:t>
      </w:r>
      <w:r w:rsidR="009C4B54">
        <w:rPr>
          <w:rFonts w:asciiTheme="minorHAnsi" w:eastAsia="Times New Roman" w:hAnsiTheme="minorHAnsi" w:cs="Times New Roman"/>
          <w:sz w:val="22"/>
          <w:lang w:eastAsia="pl-PL"/>
        </w:rPr>
        <w:t>rtystycznych</w:t>
      </w:r>
      <w:r w:rsidRPr="003E1D82">
        <w:rPr>
          <w:rFonts w:asciiTheme="minorHAnsi" w:eastAsia="Times New Roman" w:hAnsiTheme="minorHAnsi" w:cs="Times New Roman"/>
          <w:sz w:val="22"/>
          <w:lang w:eastAsia="pl-PL"/>
        </w:rPr>
        <w:t>, obecnie jest miejską instytucją kultury. Zajmuje się upowszechnianiem i promocją sztuki współczesnej we wszystkich jej przejawach poprzez dzia</w:t>
      </w:r>
      <w:r w:rsidR="0033475A">
        <w:rPr>
          <w:rFonts w:asciiTheme="minorHAnsi" w:eastAsia="Times New Roman" w:hAnsiTheme="minorHAnsi" w:cs="Times New Roman"/>
          <w:sz w:val="22"/>
          <w:lang w:eastAsia="pl-PL"/>
        </w:rPr>
        <w:t>łalność wystawową, edukacyjną i </w:t>
      </w:r>
      <w:r w:rsidRPr="003E1D82">
        <w:rPr>
          <w:rFonts w:asciiTheme="minorHAnsi" w:eastAsia="Times New Roman" w:hAnsiTheme="minorHAnsi" w:cs="Times New Roman"/>
          <w:sz w:val="22"/>
          <w:lang w:eastAsia="pl-PL"/>
        </w:rPr>
        <w:t>gospodarczą.</w:t>
      </w:r>
      <w:r w:rsidR="008418CA">
        <w:rPr>
          <w:rStyle w:val="Odwoanieprzypisudolnego"/>
          <w:rFonts w:asciiTheme="minorHAnsi" w:eastAsia="Times New Roman" w:hAnsiTheme="minorHAnsi" w:cs="Times New Roman"/>
          <w:sz w:val="22"/>
          <w:lang w:eastAsia="pl-PL"/>
        </w:rPr>
        <w:footnoteReference w:id="18"/>
      </w:r>
      <w:r w:rsidR="008D1861" w:rsidRPr="003E1D82">
        <w:rPr>
          <w:rFonts w:asciiTheme="minorHAnsi" w:eastAsia="Times New Roman" w:hAnsiTheme="minorHAnsi" w:cs="Times New Roman"/>
          <w:sz w:val="22"/>
          <w:lang w:eastAsia="pl-PL"/>
        </w:rPr>
        <w:t xml:space="preserve"> </w:t>
      </w:r>
      <w:r w:rsidR="008D1861" w:rsidRPr="003E1D82">
        <w:rPr>
          <w:rFonts w:asciiTheme="minorHAnsi" w:hAnsiTheme="minorHAnsi"/>
          <w:sz w:val="22"/>
        </w:rPr>
        <w:t xml:space="preserve">Swoją działalność koncentruje wokół czterech priorytetów: </w:t>
      </w:r>
    </w:p>
    <w:p w:rsidR="008D1861" w:rsidRPr="003E1D82" w:rsidRDefault="008D1861" w:rsidP="00E6635A">
      <w:pPr>
        <w:pStyle w:val="Akapitzlist"/>
        <w:numPr>
          <w:ilvl w:val="0"/>
          <w:numId w:val="37"/>
        </w:numPr>
        <w:rPr>
          <w:rFonts w:asciiTheme="minorHAnsi" w:hAnsiTheme="minorHAnsi"/>
          <w:sz w:val="22"/>
        </w:rPr>
      </w:pPr>
      <w:r w:rsidRPr="003E1D82">
        <w:rPr>
          <w:rFonts w:asciiTheme="minorHAnsi" w:hAnsiTheme="minorHAnsi"/>
          <w:sz w:val="22"/>
        </w:rPr>
        <w:t xml:space="preserve">współczesnej sztuki złotniczej, </w:t>
      </w:r>
    </w:p>
    <w:p w:rsidR="008D1861" w:rsidRPr="003E1D82" w:rsidRDefault="008D1861" w:rsidP="00E6635A">
      <w:pPr>
        <w:pStyle w:val="Akapitzlist"/>
        <w:numPr>
          <w:ilvl w:val="0"/>
          <w:numId w:val="37"/>
        </w:numPr>
        <w:rPr>
          <w:rFonts w:asciiTheme="minorHAnsi" w:hAnsiTheme="minorHAnsi"/>
          <w:sz w:val="22"/>
        </w:rPr>
      </w:pPr>
      <w:r w:rsidRPr="003E1D82">
        <w:rPr>
          <w:rFonts w:asciiTheme="minorHAnsi" w:hAnsiTheme="minorHAnsi"/>
          <w:sz w:val="22"/>
        </w:rPr>
        <w:t xml:space="preserve">malarstwa młodych i multimediów, </w:t>
      </w:r>
    </w:p>
    <w:p w:rsidR="008D1861" w:rsidRPr="003E1D82" w:rsidRDefault="008D1861" w:rsidP="00E6635A">
      <w:pPr>
        <w:pStyle w:val="Akapitzlist"/>
        <w:numPr>
          <w:ilvl w:val="0"/>
          <w:numId w:val="37"/>
        </w:numPr>
        <w:rPr>
          <w:rFonts w:asciiTheme="minorHAnsi" w:hAnsiTheme="minorHAnsi"/>
          <w:sz w:val="22"/>
        </w:rPr>
      </w:pPr>
      <w:r w:rsidRPr="003E1D82">
        <w:rPr>
          <w:rFonts w:asciiTheme="minorHAnsi" w:hAnsiTheme="minorHAnsi"/>
          <w:sz w:val="22"/>
        </w:rPr>
        <w:t xml:space="preserve">sztuki lokalnej, </w:t>
      </w:r>
    </w:p>
    <w:p w:rsidR="008D1861" w:rsidRPr="003E1D82" w:rsidRDefault="008D1861" w:rsidP="00E6635A">
      <w:pPr>
        <w:pStyle w:val="Akapitzlist"/>
        <w:numPr>
          <w:ilvl w:val="0"/>
          <w:numId w:val="37"/>
        </w:numPr>
        <w:rPr>
          <w:rFonts w:asciiTheme="minorHAnsi" w:hAnsiTheme="minorHAnsi"/>
          <w:sz w:val="22"/>
        </w:rPr>
      </w:pPr>
      <w:r w:rsidRPr="003E1D82">
        <w:rPr>
          <w:rFonts w:asciiTheme="minorHAnsi" w:hAnsiTheme="minorHAnsi"/>
          <w:sz w:val="22"/>
        </w:rPr>
        <w:t xml:space="preserve">sztuki europejskiej. </w:t>
      </w:r>
    </w:p>
    <w:p w:rsidR="008D1861" w:rsidRDefault="008D1861" w:rsidP="003E1D82">
      <w:pPr>
        <w:rPr>
          <w:rFonts w:asciiTheme="minorHAnsi" w:eastAsia="Times New Roman" w:hAnsiTheme="minorHAnsi" w:cs="Times New Roman"/>
          <w:sz w:val="22"/>
          <w:lang w:eastAsia="pl-PL"/>
        </w:rPr>
      </w:pPr>
      <w:r w:rsidRPr="003E1D82">
        <w:rPr>
          <w:rFonts w:asciiTheme="minorHAnsi" w:eastAsia="Times New Roman" w:hAnsiTheme="minorHAnsi" w:cs="Times New Roman"/>
          <w:sz w:val="22"/>
          <w:lang w:eastAsia="pl-PL"/>
        </w:rPr>
        <w:t>W galerii prezentowane są  dzieła: malarstwa, rysun</w:t>
      </w:r>
      <w:r w:rsidR="009C7BFC" w:rsidRPr="003E1D82">
        <w:rPr>
          <w:rFonts w:asciiTheme="minorHAnsi" w:eastAsia="Times New Roman" w:hAnsiTheme="minorHAnsi" w:cs="Times New Roman"/>
          <w:sz w:val="22"/>
          <w:lang w:eastAsia="pl-PL"/>
        </w:rPr>
        <w:t>k</w:t>
      </w:r>
      <w:r w:rsidRPr="003E1D82">
        <w:rPr>
          <w:rFonts w:asciiTheme="minorHAnsi" w:eastAsia="Times New Roman" w:hAnsiTheme="minorHAnsi" w:cs="Times New Roman"/>
          <w:sz w:val="22"/>
          <w:lang w:eastAsia="pl-PL"/>
        </w:rPr>
        <w:t>u, grafiki, rzeźby, szkła, ceramiki, tkanin, obiektów i instalacji, sztuki</w:t>
      </w:r>
      <w:r w:rsidR="009C7BFC" w:rsidRPr="003E1D82">
        <w:rPr>
          <w:rFonts w:asciiTheme="minorHAnsi" w:eastAsia="Times New Roman" w:hAnsiTheme="minorHAnsi" w:cs="Times New Roman"/>
          <w:sz w:val="22"/>
          <w:lang w:eastAsia="pl-PL"/>
        </w:rPr>
        <w:t xml:space="preserve"> video, design</w:t>
      </w:r>
      <w:r w:rsidRPr="003E1D82">
        <w:rPr>
          <w:rFonts w:asciiTheme="minorHAnsi" w:eastAsia="Times New Roman" w:hAnsiTheme="minorHAnsi" w:cs="Times New Roman"/>
          <w:sz w:val="22"/>
          <w:lang w:eastAsia="pl-PL"/>
        </w:rPr>
        <w:t>u i złotnictwa</w:t>
      </w:r>
      <w:r w:rsidR="009C7BFC" w:rsidRPr="003E1D82">
        <w:rPr>
          <w:rFonts w:asciiTheme="minorHAnsi" w:eastAsia="Times New Roman" w:hAnsiTheme="minorHAnsi" w:cs="Times New Roman"/>
          <w:sz w:val="22"/>
          <w:lang w:eastAsia="pl-PL"/>
        </w:rPr>
        <w:t xml:space="preserve"> artystyczne</w:t>
      </w:r>
      <w:r w:rsidRPr="003E1D82">
        <w:rPr>
          <w:rFonts w:asciiTheme="minorHAnsi" w:eastAsia="Times New Roman" w:hAnsiTheme="minorHAnsi" w:cs="Times New Roman"/>
          <w:sz w:val="22"/>
          <w:lang w:eastAsia="pl-PL"/>
        </w:rPr>
        <w:t>go</w:t>
      </w:r>
      <w:r w:rsidR="008418CA">
        <w:rPr>
          <w:rFonts w:asciiTheme="minorHAnsi" w:eastAsia="Times New Roman" w:hAnsiTheme="minorHAnsi" w:cs="Times New Roman"/>
          <w:sz w:val="22"/>
          <w:lang w:eastAsia="pl-PL"/>
        </w:rPr>
        <w:t>.</w:t>
      </w:r>
    </w:p>
    <w:p w:rsidR="003E1D82" w:rsidRPr="003E1D82" w:rsidRDefault="003E1D82" w:rsidP="003E1D82">
      <w:pPr>
        <w:rPr>
          <w:rFonts w:asciiTheme="minorHAnsi" w:eastAsia="Times New Roman" w:hAnsiTheme="minorHAnsi" w:cs="Times New Roman"/>
          <w:sz w:val="22"/>
          <w:lang w:eastAsia="pl-PL"/>
        </w:rPr>
      </w:pPr>
    </w:p>
    <w:p w:rsidR="008D1861" w:rsidRPr="003E1D82" w:rsidRDefault="009C7BFC" w:rsidP="003E1D82">
      <w:pPr>
        <w:pStyle w:val="Tekstpodstawowywcity3"/>
        <w:ind w:left="0"/>
        <w:rPr>
          <w:rFonts w:asciiTheme="minorHAnsi" w:hAnsiTheme="minorHAnsi"/>
          <w:sz w:val="22"/>
          <w:szCs w:val="22"/>
        </w:rPr>
      </w:pPr>
      <w:r w:rsidRPr="003E1D82">
        <w:rPr>
          <w:rFonts w:asciiTheme="minorHAnsi" w:eastAsia="Times New Roman" w:hAnsiTheme="minorHAnsi" w:cs="Times New Roman"/>
          <w:bCs/>
          <w:sz w:val="22"/>
          <w:szCs w:val="22"/>
          <w:lang w:eastAsia="pl-PL"/>
        </w:rPr>
        <w:t>Galeria organizuje</w:t>
      </w:r>
      <w:r w:rsidR="008D1861" w:rsidRPr="003E1D82">
        <w:rPr>
          <w:rFonts w:asciiTheme="minorHAnsi" w:eastAsia="Times New Roman" w:hAnsiTheme="minorHAnsi" w:cs="Times New Roman"/>
          <w:sz w:val="22"/>
          <w:szCs w:val="22"/>
          <w:lang w:eastAsia="pl-PL"/>
        </w:rPr>
        <w:t xml:space="preserve"> </w:t>
      </w:r>
      <w:r w:rsidRPr="003E1D82">
        <w:rPr>
          <w:rFonts w:asciiTheme="minorHAnsi" w:eastAsia="Times New Roman" w:hAnsiTheme="minorHAnsi" w:cs="Times New Roman"/>
          <w:sz w:val="22"/>
          <w:szCs w:val="22"/>
          <w:lang w:eastAsia="pl-PL"/>
        </w:rPr>
        <w:t>wystawy indywidualne i zbiorowe prac artystów z Polski i zagranicy, akcje oświatowe i plenerowe, happeningi, warsztaty, projekcje filmowe, koncerty, konkursy, lekcje, wykłady i sesje naukowe poświęcone współczesn</w:t>
      </w:r>
      <w:r w:rsidR="008418CA">
        <w:rPr>
          <w:rFonts w:asciiTheme="minorHAnsi" w:eastAsia="Times New Roman" w:hAnsiTheme="minorHAnsi" w:cs="Times New Roman"/>
          <w:sz w:val="22"/>
          <w:szCs w:val="22"/>
          <w:lang w:eastAsia="pl-PL"/>
        </w:rPr>
        <w:t>ej sztuce, zwłaszcza złotniczej</w:t>
      </w:r>
      <w:r w:rsidR="003E1D82" w:rsidRPr="003E1D82">
        <w:rPr>
          <w:rFonts w:asciiTheme="minorHAnsi" w:hAnsiTheme="minorHAnsi"/>
          <w:sz w:val="22"/>
          <w:szCs w:val="22"/>
        </w:rPr>
        <w:t>,</w:t>
      </w:r>
      <w:r w:rsidR="009C4B54">
        <w:rPr>
          <w:rFonts w:asciiTheme="minorHAnsi" w:hAnsiTheme="minorHAnsi"/>
          <w:sz w:val="22"/>
          <w:szCs w:val="22"/>
        </w:rPr>
        <w:t xml:space="preserve"> a także</w:t>
      </w:r>
      <w:r w:rsidR="008418CA">
        <w:rPr>
          <w:rFonts w:asciiTheme="minorHAnsi" w:hAnsiTheme="minorHAnsi"/>
          <w:sz w:val="22"/>
          <w:szCs w:val="22"/>
        </w:rPr>
        <w:t xml:space="preserve"> </w:t>
      </w:r>
      <w:r w:rsidR="009C4B54">
        <w:rPr>
          <w:rFonts w:asciiTheme="minorHAnsi" w:hAnsiTheme="minorHAnsi"/>
          <w:sz w:val="22"/>
          <w:szCs w:val="22"/>
        </w:rPr>
        <w:t>organizuje</w:t>
      </w:r>
      <w:r w:rsidR="008D1861" w:rsidRPr="003E1D82">
        <w:rPr>
          <w:rFonts w:asciiTheme="minorHAnsi" w:hAnsiTheme="minorHAnsi"/>
          <w:sz w:val="22"/>
          <w:szCs w:val="22"/>
        </w:rPr>
        <w:t xml:space="preserve"> Legnicki Festiwal Srebra. O randze tej imprezy świadczą między innymi: </w:t>
      </w:r>
    </w:p>
    <w:p w:rsidR="009C4B54" w:rsidRDefault="009C4B54" w:rsidP="00E6635A">
      <w:pPr>
        <w:pStyle w:val="Tekstpodstawowywcity3"/>
        <w:numPr>
          <w:ilvl w:val="0"/>
          <w:numId w:val="38"/>
        </w:numPr>
        <w:spacing w:after="0"/>
        <w:rPr>
          <w:rFonts w:asciiTheme="minorHAnsi" w:hAnsiTheme="minorHAnsi"/>
          <w:sz w:val="22"/>
          <w:szCs w:val="22"/>
        </w:rPr>
      </w:pPr>
      <w:r>
        <w:rPr>
          <w:rFonts w:asciiTheme="minorHAnsi" w:hAnsiTheme="minorHAnsi"/>
          <w:sz w:val="22"/>
          <w:szCs w:val="22"/>
        </w:rPr>
        <w:t>międzynarodowe</w:t>
      </w:r>
      <w:r w:rsidR="008D1861" w:rsidRPr="009C4B54">
        <w:rPr>
          <w:rFonts w:asciiTheme="minorHAnsi" w:hAnsiTheme="minorHAnsi"/>
          <w:sz w:val="22"/>
          <w:szCs w:val="22"/>
        </w:rPr>
        <w:t xml:space="preserve"> jury </w:t>
      </w:r>
    </w:p>
    <w:p w:rsidR="009C4B54" w:rsidRDefault="008D1861" w:rsidP="00E6635A">
      <w:pPr>
        <w:pStyle w:val="Tekstpodstawowywcity3"/>
        <w:numPr>
          <w:ilvl w:val="0"/>
          <w:numId w:val="38"/>
        </w:numPr>
        <w:spacing w:after="0"/>
        <w:rPr>
          <w:rFonts w:asciiTheme="minorHAnsi" w:hAnsiTheme="minorHAnsi"/>
          <w:sz w:val="22"/>
          <w:szCs w:val="22"/>
        </w:rPr>
      </w:pPr>
      <w:r w:rsidRPr="009C4B54">
        <w:rPr>
          <w:rFonts w:asciiTheme="minorHAnsi" w:hAnsiTheme="minorHAnsi"/>
          <w:sz w:val="22"/>
          <w:szCs w:val="22"/>
        </w:rPr>
        <w:t>prezentacja</w:t>
      </w:r>
      <w:r w:rsidR="009C4B54" w:rsidRPr="009C4B54">
        <w:rPr>
          <w:rFonts w:asciiTheme="minorHAnsi" w:hAnsiTheme="minorHAnsi"/>
          <w:sz w:val="22"/>
          <w:szCs w:val="22"/>
        </w:rPr>
        <w:t xml:space="preserve"> dorobku</w:t>
      </w:r>
      <w:r w:rsidRPr="009C4B54">
        <w:rPr>
          <w:rFonts w:asciiTheme="minorHAnsi" w:hAnsiTheme="minorHAnsi"/>
          <w:sz w:val="22"/>
          <w:szCs w:val="22"/>
        </w:rPr>
        <w:t xml:space="preserve"> europejskich szkół złotniczych </w:t>
      </w:r>
    </w:p>
    <w:p w:rsidR="009C4B54" w:rsidRPr="009C4B54" w:rsidRDefault="008D1861" w:rsidP="00E6635A">
      <w:pPr>
        <w:pStyle w:val="Tekstpodstawowywcity3"/>
        <w:numPr>
          <w:ilvl w:val="0"/>
          <w:numId w:val="38"/>
        </w:numPr>
        <w:spacing w:after="0"/>
        <w:rPr>
          <w:rFonts w:asciiTheme="minorHAnsi" w:hAnsiTheme="minorHAnsi"/>
          <w:sz w:val="22"/>
          <w:szCs w:val="22"/>
        </w:rPr>
      </w:pPr>
      <w:r w:rsidRPr="009C4B54">
        <w:rPr>
          <w:rFonts w:asciiTheme="minorHAnsi" w:hAnsiTheme="minorHAnsi"/>
          <w:sz w:val="22"/>
          <w:szCs w:val="22"/>
        </w:rPr>
        <w:t>prezentacja twórczości wybitnych indywidualności polskiego i obcego</w:t>
      </w:r>
      <w:r w:rsidR="00BB7955">
        <w:rPr>
          <w:rFonts w:asciiTheme="minorHAnsi" w:hAnsiTheme="minorHAnsi"/>
          <w:sz w:val="22"/>
          <w:szCs w:val="22"/>
        </w:rPr>
        <w:t xml:space="preserve"> złotnictwa</w:t>
      </w:r>
      <w:r w:rsidR="003E1D82">
        <w:rPr>
          <w:rStyle w:val="Odwoanieprzypisudolnego"/>
          <w:rFonts w:asciiTheme="minorHAnsi" w:hAnsiTheme="minorHAnsi"/>
          <w:sz w:val="22"/>
          <w:szCs w:val="22"/>
        </w:rPr>
        <w:footnoteReference w:id="19"/>
      </w:r>
    </w:p>
    <w:p w:rsidR="003E1D82" w:rsidRDefault="003E1D82" w:rsidP="003E1D82">
      <w:pPr>
        <w:rPr>
          <w:rFonts w:asciiTheme="minorHAnsi" w:hAnsiTheme="minorHAnsi"/>
          <w:sz w:val="22"/>
        </w:rPr>
      </w:pPr>
      <w:r w:rsidRPr="003E1D82">
        <w:rPr>
          <w:rFonts w:asciiTheme="minorHAnsi" w:hAnsiTheme="minorHAnsi"/>
          <w:sz w:val="22"/>
        </w:rPr>
        <w:t>Obok pokazów prac artystów młodego pokolenia</w:t>
      </w:r>
      <w:r w:rsidR="004F4F66">
        <w:rPr>
          <w:rFonts w:asciiTheme="minorHAnsi" w:hAnsiTheme="minorHAnsi"/>
          <w:sz w:val="22"/>
        </w:rPr>
        <w:t xml:space="preserve"> w ramach Ogólnopolskiego Przeglądu Malarstwa Młodych „Promocje”</w:t>
      </w:r>
      <w:r w:rsidRPr="003E1D82">
        <w:rPr>
          <w:rFonts w:asciiTheme="minorHAnsi" w:hAnsiTheme="minorHAnsi"/>
          <w:sz w:val="22"/>
        </w:rPr>
        <w:t xml:space="preserve"> legnicka Galeria organizuje prezentacje twórczości wybitnych polskich artystów. Jest także organizatorem wystaw wynikających z programu Międzynarodowej Wystawy „Satyrykon”.</w:t>
      </w:r>
    </w:p>
    <w:p w:rsidR="003E1D82" w:rsidRPr="003E1D82" w:rsidRDefault="003E1D82" w:rsidP="003E1D82">
      <w:pPr>
        <w:rPr>
          <w:rFonts w:asciiTheme="minorHAnsi" w:hAnsiTheme="minorHAnsi"/>
          <w:sz w:val="22"/>
        </w:rPr>
      </w:pPr>
    </w:p>
    <w:p w:rsidR="009C7BFC" w:rsidRDefault="008D1861" w:rsidP="003E1D82">
      <w:pPr>
        <w:rPr>
          <w:rFonts w:asciiTheme="minorHAnsi" w:eastAsia="Times New Roman" w:hAnsiTheme="minorHAnsi" w:cs="Times New Roman"/>
          <w:sz w:val="22"/>
          <w:lang w:eastAsia="pl-PL"/>
        </w:rPr>
      </w:pPr>
      <w:r w:rsidRPr="003E1D82">
        <w:rPr>
          <w:rFonts w:asciiTheme="minorHAnsi" w:eastAsia="Times New Roman" w:hAnsiTheme="minorHAnsi" w:cs="Times New Roman"/>
          <w:bCs/>
          <w:sz w:val="22"/>
          <w:lang w:eastAsia="pl-PL"/>
        </w:rPr>
        <w:t>W</w:t>
      </w:r>
      <w:r w:rsidRPr="003E1D82">
        <w:rPr>
          <w:rFonts w:asciiTheme="minorHAnsi" w:eastAsia="Times New Roman" w:hAnsiTheme="minorHAnsi" w:cs="Times New Roman"/>
          <w:b/>
          <w:bCs/>
          <w:sz w:val="22"/>
          <w:lang w:eastAsia="pl-PL"/>
        </w:rPr>
        <w:t xml:space="preserve"> </w:t>
      </w:r>
      <w:r w:rsidRPr="003E1D82">
        <w:rPr>
          <w:rFonts w:asciiTheme="minorHAnsi" w:eastAsia="Times New Roman" w:hAnsiTheme="minorHAnsi" w:cs="Times New Roman"/>
          <w:bCs/>
          <w:sz w:val="22"/>
          <w:lang w:eastAsia="pl-PL"/>
        </w:rPr>
        <w:t>zbiorach Galerii znajdują się</w:t>
      </w:r>
      <w:r w:rsidRPr="003E1D82">
        <w:rPr>
          <w:rFonts w:asciiTheme="minorHAnsi" w:eastAsia="Times New Roman" w:hAnsiTheme="minorHAnsi" w:cs="Times New Roman"/>
          <w:b/>
          <w:bCs/>
          <w:sz w:val="22"/>
          <w:lang w:eastAsia="pl-PL"/>
        </w:rPr>
        <w:t xml:space="preserve"> </w:t>
      </w:r>
      <w:r w:rsidR="009C7BFC" w:rsidRPr="003E1D82">
        <w:rPr>
          <w:rFonts w:asciiTheme="minorHAnsi" w:eastAsia="Times New Roman" w:hAnsiTheme="minorHAnsi" w:cs="Times New Roman"/>
          <w:sz w:val="22"/>
          <w:lang w:eastAsia="pl-PL"/>
        </w:rPr>
        <w:t>dzieła sztuki współczesnej, głównie malarstwa, oraz unikatowej biżuterii artystycznej.</w:t>
      </w:r>
      <w:r w:rsidRPr="003E1D82">
        <w:rPr>
          <w:rFonts w:asciiTheme="minorHAnsi" w:eastAsia="Times New Roman" w:hAnsiTheme="minorHAnsi" w:cs="Times New Roman"/>
          <w:sz w:val="22"/>
          <w:lang w:eastAsia="pl-PL"/>
        </w:rPr>
        <w:t xml:space="preserve"> </w:t>
      </w:r>
      <w:r w:rsidR="009C7BFC" w:rsidRPr="003E1D82">
        <w:rPr>
          <w:rFonts w:asciiTheme="minorHAnsi" w:eastAsia="Times New Roman" w:hAnsiTheme="minorHAnsi" w:cs="Times New Roman"/>
          <w:bCs/>
          <w:sz w:val="22"/>
          <w:lang w:eastAsia="pl-PL"/>
        </w:rPr>
        <w:t>Galeria prowadzi</w:t>
      </w:r>
      <w:r w:rsidRPr="003E1D82">
        <w:rPr>
          <w:rFonts w:asciiTheme="minorHAnsi" w:eastAsia="Times New Roman" w:hAnsiTheme="minorHAnsi" w:cs="Times New Roman"/>
          <w:sz w:val="22"/>
          <w:lang w:eastAsia="pl-PL"/>
        </w:rPr>
        <w:t xml:space="preserve"> także </w:t>
      </w:r>
      <w:r w:rsidR="009C7BFC" w:rsidRPr="003E1D82">
        <w:rPr>
          <w:rFonts w:asciiTheme="minorHAnsi" w:eastAsia="Times New Roman" w:hAnsiTheme="minorHAnsi" w:cs="Times New Roman"/>
          <w:sz w:val="22"/>
          <w:lang w:eastAsia="pl-PL"/>
        </w:rPr>
        <w:t>działalność handlową dziełami sztuki (Kantor Sprzedaży Dzieł Sztuki „Niello”) i biżuterią artystyczną (Galeria Srebra Pod Przepiórczym Koszem)</w:t>
      </w:r>
      <w:r w:rsidR="004F4F66">
        <w:rPr>
          <w:rFonts w:asciiTheme="minorHAnsi" w:eastAsia="Times New Roman" w:hAnsiTheme="minorHAnsi" w:cs="Times New Roman"/>
          <w:sz w:val="22"/>
          <w:lang w:eastAsia="pl-PL"/>
        </w:rPr>
        <w:t>.</w:t>
      </w:r>
      <w:r w:rsidR="009C7BFC" w:rsidRPr="003E1D82">
        <w:rPr>
          <w:rStyle w:val="Odwoanieprzypisudolnego"/>
          <w:rFonts w:asciiTheme="minorHAnsi" w:eastAsia="Times New Roman" w:hAnsiTheme="minorHAnsi" w:cs="Times New Roman"/>
          <w:sz w:val="22"/>
          <w:lang w:eastAsia="pl-PL"/>
        </w:rPr>
        <w:footnoteReference w:id="20"/>
      </w:r>
    </w:p>
    <w:p w:rsidR="003E1D82" w:rsidRPr="003E1D82" w:rsidRDefault="003E1D82" w:rsidP="003E1D82">
      <w:pPr>
        <w:rPr>
          <w:rFonts w:asciiTheme="minorHAnsi" w:hAnsiTheme="minorHAnsi"/>
          <w:sz w:val="22"/>
        </w:rPr>
      </w:pPr>
    </w:p>
    <w:p w:rsidR="009535DE" w:rsidRPr="003E1D82" w:rsidRDefault="009535DE" w:rsidP="003E1D82">
      <w:pPr>
        <w:pStyle w:val="Tekstpodstawowywcity3"/>
        <w:ind w:left="0"/>
        <w:rPr>
          <w:rFonts w:asciiTheme="minorHAnsi" w:hAnsiTheme="minorHAnsi"/>
          <w:sz w:val="22"/>
          <w:szCs w:val="22"/>
        </w:rPr>
      </w:pPr>
      <w:r w:rsidRPr="003E1D82">
        <w:rPr>
          <w:rFonts w:asciiTheme="minorHAnsi" w:hAnsiTheme="minorHAnsi"/>
          <w:sz w:val="22"/>
          <w:szCs w:val="22"/>
        </w:rPr>
        <w:t>Legnickie Centrum Kultury jest instytucją kultury koncentrującą się na upowszechnianiu i promocji kultury ze szczególnym uwzględnieniem amatorskiej i  profesjonalnej twórczości artystycznej, na edukacji kulturalnej i wychowaniu przez sztukę.</w:t>
      </w:r>
    </w:p>
    <w:p w:rsidR="009535DE" w:rsidRPr="003E1D82" w:rsidRDefault="009535DE" w:rsidP="003E1D82">
      <w:pPr>
        <w:pStyle w:val="Tekstpodstawowywcity3"/>
        <w:ind w:left="0"/>
        <w:rPr>
          <w:rFonts w:asciiTheme="minorHAnsi" w:hAnsiTheme="minorHAnsi"/>
          <w:sz w:val="22"/>
          <w:szCs w:val="22"/>
        </w:rPr>
      </w:pPr>
      <w:r w:rsidRPr="003E1D82">
        <w:rPr>
          <w:rFonts w:asciiTheme="minorHAnsi" w:hAnsiTheme="minorHAnsi"/>
          <w:sz w:val="22"/>
          <w:szCs w:val="22"/>
        </w:rPr>
        <w:t xml:space="preserve">LCK jest organizatorem imprez o  zasięgu lokalnym, regionalnym, ogólnopolskim i międzynarodowym. </w:t>
      </w:r>
      <w:r w:rsidR="004F4F66">
        <w:rPr>
          <w:rFonts w:asciiTheme="minorHAnsi" w:hAnsiTheme="minorHAnsi"/>
          <w:sz w:val="22"/>
          <w:szCs w:val="22"/>
        </w:rPr>
        <w:t>Jego n</w:t>
      </w:r>
      <w:r w:rsidRPr="003E1D82">
        <w:rPr>
          <w:rFonts w:asciiTheme="minorHAnsi" w:hAnsiTheme="minorHAnsi"/>
          <w:sz w:val="22"/>
          <w:szCs w:val="22"/>
        </w:rPr>
        <w:t xml:space="preserve">ajbardziej znane przedsięwzięcia to: </w:t>
      </w:r>
    </w:p>
    <w:p w:rsidR="009535DE" w:rsidRPr="003E1D82" w:rsidRDefault="009535DE" w:rsidP="00E6635A">
      <w:pPr>
        <w:pStyle w:val="Tekstpodstawowywcity3"/>
        <w:numPr>
          <w:ilvl w:val="0"/>
          <w:numId w:val="36"/>
        </w:numPr>
        <w:spacing w:after="0"/>
        <w:rPr>
          <w:rFonts w:asciiTheme="minorHAnsi" w:hAnsiTheme="minorHAnsi"/>
          <w:sz w:val="22"/>
          <w:szCs w:val="22"/>
        </w:rPr>
      </w:pPr>
      <w:r w:rsidRPr="003E1D82">
        <w:rPr>
          <w:rFonts w:asciiTheme="minorHAnsi" w:hAnsiTheme="minorHAnsi"/>
          <w:sz w:val="22"/>
          <w:szCs w:val="22"/>
        </w:rPr>
        <w:t xml:space="preserve">Ogólnopolski Turniej Chórów „Legnica Cantat”, </w:t>
      </w:r>
    </w:p>
    <w:p w:rsidR="009535DE" w:rsidRPr="003E1D82" w:rsidRDefault="009535DE" w:rsidP="00E6635A">
      <w:pPr>
        <w:pStyle w:val="Tekstpodstawowywcity3"/>
        <w:numPr>
          <w:ilvl w:val="0"/>
          <w:numId w:val="36"/>
        </w:numPr>
        <w:spacing w:after="0"/>
        <w:rPr>
          <w:rFonts w:asciiTheme="minorHAnsi" w:hAnsiTheme="minorHAnsi"/>
          <w:sz w:val="22"/>
          <w:szCs w:val="22"/>
        </w:rPr>
      </w:pPr>
      <w:r w:rsidRPr="003E1D82">
        <w:rPr>
          <w:rFonts w:asciiTheme="minorHAnsi" w:hAnsiTheme="minorHAnsi"/>
          <w:sz w:val="22"/>
          <w:szCs w:val="22"/>
        </w:rPr>
        <w:t xml:space="preserve">Międzynarodowa Wystawa „Satyrykon”, </w:t>
      </w:r>
    </w:p>
    <w:p w:rsidR="009535DE" w:rsidRPr="003E1D82" w:rsidRDefault="004F4F66" w:rsidP="00E6635A">
      <w:pPr>
        <w:pStyle w:val="Tekstpodstawowywcity3"/>
        <w:numPr>
          <w:ilvl w:val="0"/>
          <w:numId w:val="36"/>
        </w:numPr>
        <w:spacing w:after="0"/>
        <w:rPr>
          <w:rFonts w:asciiTheme="minorHAnsi" w:hAnsiTheme="minorHAnsi"/>
          <w:sz w:val="22"/>
          <w:szCs w:val="22"/>
        </w:rPr>
      </w:pPr>
      <w:r>
        <w:rPr>
          <w:rFonts w:asciiTheme="minorHAnsi" w:hAnsiTheme="minorHAnsi"/>
          <w:sz w:val="22"/>
          <w:szCs w:val="22"/>
        </w:rPr>
        <w:t xml:space="preserve">Legnickie </w:t>
      </w:r>
      <w:r w:rsidR="009535DE" w:rsidRPr="003E1D82">
        <w:rPr>
          <w:rFonts w:asciiTheme="minorHAnsi" w:hAnsiTheme="minorHAnsi"/>
          <w:sz w:val="22"/>
          <w:szCs w:val="22"/>
        </w:rPr>
        <w:t xml:space="preserve">Conversatorium Organowe, </w:t>
      </w:r>
    </w:p>
    <w:p w:rsidR="009535DE" w:rsidRPr="003E1D82" w:rsidRDefault="009535DE" w:rsidP="00E6635A">
      <w:pPr>
        <w:pStyle w:val="Tekstpodstawowywcity3"/>
        <w:numPr>
          <w:ilvl w:val="0"/>
          <w:numId w:val="36"/>
        </w:numPr>
        <w:spacing w:after="0"/>
        <w:rPr>
          <w:rFonts w:asciiTheme="minorHAnsi" w:hAnsiTheme="minorHAnsi"/>
          <w:sz w:val="22"/>
          <w:szCs w:val="22"/>
        </w:rPr>
      </w:pPr>
      <w:r w:rsidRPr="003E1D82">
        <w:rPr>
          <w:rFonts w:asciiTheme="minorHAnsi" w:hAnsiTheme="minorHAnsi"/>
          <w:sz w:val="22"/>
          <w:szCs w:val="22"/>
        </w:rPr>
        <w:t xml:space="preserve">Legnickie Wieczory Organowe, </w:t>
      </w:r>
    </w:p>
    <w:p w:rsidR="009535DE" w:rsidRDefault="004F4F66" w:rsidP="00E6635A">
      <w:pPr>
        <w:pStyle w:val="Tekstpodstawowywcity3"/>
        <w:numPr>
          <w:ilvl w:val="0"/>
          <w:numId w:val="36"/>
        </w:numPr>
        <w:spacing w:after="0"/>
        <w:rPr>
          <w:rFonts w:asciiTheme="minorHAnsi" w:hAnsiTheme="minorHAnsi"/>
          <w:sz w:val="22"/>
          <w:szCs w:val="22"/>
        </w:rPr>
      </w:pPr>
      <w:r>
        <w:rPr>
          <w:rFonts w:asciiTheme="minorHAnsi" w:hAnsiTheme="minorHAnsi"/>
          <w:sz w:val="22"/>
          <w:szCs w:val="22"/>
        </w:rPr>
        <w:t>Legnicka</w:t>
      </w:r>
      <w:r w:rsidR="009535DE" w:rsidRPr="003E1D82">
        <w:rPr>
          <w:rFonts w:asciiTheme="minorHAnsi" w:hAnsiTheme="minorHAnsi"/>
          <w:sz w:val="22"/>
          <w:szCs w:val="22"/>
        </w:rPr>
        <w:t xml:space="preserve"> Akademia Filmowa - Warsztaty Filmu Animowanego. </w:t>
      </w:r>
    </w:p>
    <w:p w:rsidR="004F4F66" w:rsidRDefault="004F4F66" w:rsidP="00E6635A">
      <w:pPr>
        <w:pStyle w:val="Tekstpodstawowywcity3"/>
        <w:numPr>
          <w:ilvl w:val="0"/>
          <w:numId w:val="36"/>
        </w:numPr>
        <w:spacing w:after="0"/>
        <w:rPr>
          <w:rFonts w:asciiTheme="minorHAnsi" w:hAnsiTheme="minorHAnsi"/>
          <w:sz w:val="22"/>
          <w:szCs w:val="22"/>
        </w:rPr>
      </w:pPr>
      <w:r>
        <w:rPr>
          <w:rFonts w:asciiTheme="minorHAnsi" w:hAnsiTheme="minorHAnsi"/>
          <w:sz w:val="22"/>
          <w:szCs w:val="22"/>
        </w:rPr>
        <w:t>Międzynarodowy Turniej Tańca Towarzyskiego o „Złotego Lwa”,</w:t>
      </w:r>
    </w:p>
    <w:p w:rsidR="004F4F66" w:rsidRPr="003E1D82" w:rsidRDefault="004F4F66" w:rsidP="00E6635A">
      <w:pPr>
        <w:pStyle w:val="Tekstpodstawowywcity3"/>
        <w:numPr>
          <w:ilvl w:val="0"/>
          <w:numId w:val="36"/>
        </w:numPr>
        <w:spacing w:after="0"/>
        <w:rPr>
          <w:rFonts w:asciiTheme="minorHAnsi" w:hAnsiTheme="minorHAnsi"/>
          <w:sz w:val="22"/>
          <w:szCs w:val="22"/>
        </w:rPr>
      </w:pPr>
      <w:r>
        <w:rPr>
          <w:rFonts w:asciiTheme="minorHAnsi" w:hAnsiTheme="minorHAnsi"/>
          <w:sz w:val="22"/>
          <w:szCs w:val="22"/>
        </w:rPr>
        <w:t>Przegląd Kapel Rockowych o Puchar Prezydenta Legnicy.</w:t>
      </w:r>
    </w:p>
    <w:p w:rsidR="003E1D82" w:rsidRPr="003E1D82" w:rsidRDefault="008418CA" w:rsidP="003E1D82">
      <w:pPr>
        <w:pStyle w:val="Tekstpodstawowywcity3"/>
        <w:ind w:left="0"/>
        <w:rPr>
          <w:rFonts w:asciiTheme="minorHAnsi" w:hAnsiTheme="minorHAnsi"/>
          <w:sz w:val="22"/>
          <w:szCs w:val="22"/>
        </w:rPr>
      </w:pPr>
      <w:r>
        <w:rPr>
          <w:rFonts w:asciiTheme="minorHAnsi" w:hAnsiTheme="minorHAnsi"/>
          <w:sz w:val="22"/>
          <w:szCs w:val="22"/>
        </w:rPr>
        <w:t xml:space="preserve">LCK jest także </w:t>
      </w:r>
      <w:r w:rsidR="009535DE" w:rsidRPr="003E1D82">
        <w:rPr>
          <w:rFonts w:asciiTheme="minorHAnsi" w:hAnsiTheme="minorHAnsi"/>
          <w:sz w:val="22"/>
          <w:szCs w:val="22"/>
        </w:rPr>
        <w:t>organizatorem wystaw plastycznych i fotograficznych, festynów majowych i rodzinnych, koncertów jazzowych, koncertów noworocznych, koncertów zespołów folklorystycznych, w tym także z zagranicy, imprez w ramach Dni Legnicy itp.</w:t>
      </w:r>
    </w:p>
    <w:p w:rsidR="009C7BFC" w:rsidRDefault="009535DE" w:rsidP="008418CA">
      <w:pPr>
        <w:pStyle w:val="Tekstpodstawowywcity3"/>
        <w:ind w:left="0"/>
        <w:rPr>
          <w:rStyle w:val="Odwoanieprzypisudolnego"/>
          <w:rFonts w:asciiTheme="minorHAnsi" w:hAnsiTheme="minorHAnsi"/>
          <w:sz w:val="22"/>
          <w:szCs w:val="22"/>
        </w:rPr>
      </w:pPr>
      <w:r w:rsidRPr="003E1D82">
        <w:rPr>
          <w:rFonts w:asciiTheme="minorHAnsi" w:hAnsiTheme="minorHAnsi"/>
          <w:sz w:val="22"/>
          <w:szCs w:val="22"/>
        </w:rPr>
        <w:t>Innym równie ważnym zadaniem</w:t>
      </w:r>
      <w:r w:rsidR="004F4F66">
        <w:rPr>
          <w:rFonts w:asciiTheme="minorHAnsi" w:hAnsiTheme="minorHAnsi"/>
          <w:sz w:val="22"/>
          <w:szCs w:val="22"/>
        </w:rPr>
        <w:t xml:space="preserve"> LCK</w:t>
      </w:r>
      <w:r w:rsidRPr="003E1D82">
        <w:rPr>
          <w:rFonts w:asciiTheme="minorHAnsi" w:hAnsiTheme="minorHAnsi"/>
          <w:sz w:val="22"/>
          <w:szCs w:val="22"/>
        </w:rPr>
        <w:t xml:space="preserve"> jest organizowanie zespołowego uczestnictwa w kulturze oraz różnych form indywidualnej aktywności kulturalnej poprzez prowadzenie zespołów, klubów i sekcji zainteresowań</w:t>
      </w:r>
      <w:r w:rsidR="004F4F66">
        <w:rPr>
          <w:rFonts w:asciiTheme="minorHAnsi" w:hAnsiTheme="minorHAnsi"/>
          <w:sz w:val="22"/>
          <w:szCs w:val="22"/>
        </w:rPr>
        <w:t>, wśród których warto wymienić:</w:t>
      </w:r>
      <w:r w:rsidRPr="003E1D82">
        <w:rPr>
          <w:rFonts w:asciiTheme="minorHAnsi" w:hAnsiTheme="minorHAnsi"/>
          <w:sz w:val="22"/>
          <w:szCs w:val="22"/>
        </w:rPr>
        <w:t xml:space="preserve"> Zespół Pieśni i Tańca „Legnica”, Klub Tańca Towarzyskiego „Lew”, Klub Filmowy „Laterna Magica”, Klub Miłośników Filmu, Klub Kultury Wschodu, Studio Piosenki, Klub Tańca Flamenco, Zespół Baro Drom (romski). Współprowadzi </w:t>
      </w:r>
      <w:r w:rsidR="004F4F66">
        <w:rPr>
          <w:rFonts w:asciiTheme="minorHAnsi" w:hAnsiTheme="minorHAnsi"/>
          <w:sz w:val="22"/>
          <w:szCs w:val="22"/>
        </w:rPr>
        <w:t xml:space="preserve">także </w:t>
      </w:r>
      <w:r w:rsidRPr="003E1D82">
        <w:rPr>
          <w:rFonts w:asciiTheme="minorHAnsi" w:hAnsiTheme="minorHAnsi"/>
          <w:sz w:val="22"/>
          <w:szCs w:val="22"/>
        </w:rPr>
        <w:t>Łemkowski Zespół Pieśni i Tańca „Kyczera”.</w:t>
      </w:r>
      <w:r w:rsidR="008418CA" w:rsidRPr="008418CA">
        <w:rPr>
          <w:rStyle w:val="Odwoanieprzypisudolnego"/>
          <w:rFonts w:asciiTheme="minorHAnsi" w:hAnsiTheme="minorHAnsi"/>
          <w:sz w:val="22"/>
          <w:szCs w:val="22"/>
        </w:rPr>
        <w:t xml:space="preserve"> </w:t>
      </w:r>
      <w:r w:rsidR="008418CA">
        <w:rPr>
          <w:rStyle w:val="Odwoanieprzypisudolnego"/>
          <w:rFonts w:asciiTheme="minorHAnsi" w:hAnsiTheme="minorHAnsi"/>
          <w:sz w:val="22"/>
          <w:szCs w:val="22"/>
        </w:rPr>
        <w:footnoteReference w:id="21"/>
      </w:r>
    </w:p>
    <w:p w:rsidR="00607AFB" w:rsidRPr="00563EF2" w:rsidRDefault="00607AFB" w:rsidP="00FD7676">
      <w:pPr>
        <w:rPr>
          <w:rFonts w:asciiTheme="minorHAnsi" w:hAnsiTheme="minorHAnsi"/>
          <w:sz w:val="22"/>
        </w:rPr>
      </w:pPr>
    </w:p>
    <w:p w:rsidR="00450A71" w:rsidRPr="00563EF2" w:rsidRDefault="00450A71" w:rsidP="00FD7676">
      <w:pPr>
        <w:rPr>
          <w:rFonts w:asciiTheme="minorHAnsi" w:hAnsiTheme="minorHAnsi"/>
          <w:sz w:val="22"/>
        </w:rPr>
      </w:pPr>
    </w:p>
    <w:p w:rsidR="000535DD" w:rsidRPr="00563EF2" w:rsidRDefault="00450A71" w:rsidP="00FD7676">
      <w:pPr>
        <w:rPr>
          <w:rFonts w:asciiTheme="minorHAnsi" w:hAnsiTheme="minorHAnsi"/>
          <w:sz w:val="22"/>
        </w:rPr>
      </w:pPr>
      <w:r w:rsidRPr="00563EF2">
        <w:rPr>
          <w:rFonts w:asciiTheme="minorHAnsi" w:hAnsiTheme="minorHAnsi"/>
          <w:sz w:val="22"/>
        </w:rPr>
        <w:t xml:space="preserve">  </w:t>
      </w:r>
    </w:p>
    <w:p w:rsidR="00236251" w:rsidRPr="00563EF2" w:rsidRDefault="00236251" w:rsidP="00FD7676">
      <w:pPr>
        <w:spacing w:after="160"/>
        <w:rPr>
          <w:rFonts w:asciiTheme="minorHAnsi" w:hAnsiTheme="minorHAnsi"/>
          <w:sz w:val="22"/>
        </w:rPr>
      </w:pPr>
      <w:r w:rsidRPr="00563EF2">
        <w:rPr>
          <w:rFonts w:asciiTheme="minorHAnsi" w:hAnsiTheme="minorHAnsi"/>
          <w:sz w:val="22"/>
        </w:rPr>
        <w:br w:type="page"/>
      </w:r>
    </w:p>
    <w:p w:rsidR="00450A71" w:rsidRPr="00563EF2" w:rsidRDefault="00450A71" w:rsidP="00EC5484">
      <w:pPr>
        <w:pStyle w:val="Nagwek2"/>
      </w:pPr>
      <w:bookmarkStart w:id="35" w:name="_Toc399756322"/>
      <w:r w:rsidRPr="00563EF2">
        <w:t>Sfera gospodarczo-ekonomiczna</w:t>
      </w:r>
      <w:bookmarkEnd w:id="35"/>
    </w:p>
    <w:p w:rsidR="00450A71" w:rsidRPr="00563EF2" w:rsidRDefault="00450A71" w:rsidP="00FD7676">
      <w:pPr>
        <w:rPr>
          <w:rFonts w:asciiTheme="minorHAnsi" w:hAnsiTheme="minorHAnsi"/>
          <w:sz w:val="22"/>
        </w:rPr>
      </w:pPr>
    </w:p>
    <w:p w:rsidR="007E3A89" w:rsidRPr="00563EF2" w:rsidRDefault="007E3A89" w:rsidP="00FD7676">
      <w:pPr>
        <w:rPr>
          <w:rFonts w:asciiTheme="minorHAnsi" w:hAnsiTheme="minorHAnsi"/>
          <w:sz w:val="22"/>
        </w:rPr>
      </w:pPr>
      <w:r w:rsidRPr="00563EF2">
        <w:rPr>
          <w:rFonts w:asciiTheme="minorHAnsi" w:hAnsiTheme="minorHAnsi"/>
          <w:sz w:val="22"/>
        </w:rPr>
        <w:t xml:space="preserve">Legnica stanowi największe miasto Legnicko-Głogowskiego Okręgu </w:t>
      </w:r>
      <w:r w:rsidR="0033475A">
        <w:rPr>
          <w:rFonts w:asciiTheme="minorHAnsi" w:hAnsiTheme="minorHAnsi"/>
          <w:sz w:val="22"/>
        </w:rPr>
        <w:t>Miedziowego (LGOM), złożonego z </w:t>
      </w:r>
      <w:r w:rsidRPr="00563EF2">
        <w:rPr>
          <w:rFonts w:asciiTheme="minorHAnsi" w:hAnsiTheme="minorHAnsi"/>
          <w:sz w:val="22"/>
        </w:rPr>
        <w:t>pięciu powiatów</w:t>
      </w:r>
      <w:r w:rsidR="00F20511">
        <w:rPr>
          <w:rFonts w:asciiTheme="minorHAnsi" w:hAnsiTheme="minorHAnsi"/>
          <w:sz w:val="22"/>
        </w:rPr>
        <w:t>,</w:t>
      </w:r>
      <w:r w:rsidRPr="00563EF2">
        <w:rPr>
          <w:rFonts w:asciiTheme="minorHAnsi" w:hAnsiTheme="minorHAnsi"/>
          <w:sz w:val="22"/>
        </w:rPr>
        <w:t xml:space="preserve"> na terenie których rozmieszczone są kopalnie i zakłady Kombinatu Górniczo-Hutniczego Miedzi KGHM „Polska Mi</w:t>
      </w:r>
      <w:r w:rsidR="00F20511">
        <w:rPr>
          <w:rFonts w:asciiTheme="minorHAnsi" w:hAnsiTheme="minorHAnsi"/>
          <w:sz w:val="22"/>
        </w:rPr>
        <w:t xml:space="preserve">edź” S.A, który jest jednym </w:t>
      </w:r>
      <w:r w:rsidRPr="00563EF2">
        <w:rPr>
          <w:rFonts w:asciiTheme="minorHAnsi" w:hAnsiTheme="minorHAnsi"/>
          <w:sz w:val="22"/>
        </w:rPr>
        <w:t>ze światowych liderów wydobycia miedzi i srebra. Główną oś tego obszaru miejsko-gospodarczego, oprócz Legnicy, stanowią  miasta: Lubin, Polkowice i Głogów.</w:t>
      </w:r>
      <w:r w:rsidR="00CD2F2A" w:rsidRPr="00563EF2">
        <w:rPr>
          <w:rFonts w:asciiTheme="minorHAnsi" w:hAnsiTheme="minorHAnsi"/>
          <w:sz w:val="22"/>
        </w:rPr>
        <w:t xml:space="preserve"> Cechą charakterystyczną dla Legnicy jest jej najwyższy stopień zdywersyfikowania działalności gospodarczej spośród miast LGOM oraz aktywność w kierunku zmniejszenia monokultury gospodarczej przemysłu wydobywczo-hutniczego. </w:t>
      </w:r>
    </w:p>
    <w:p w:rsidR="007E3A89" w:rsidRPr="00563EF2" w:rsidRDefault="007E3A89" w:rsidP="00FD7676">
      <w:pPr>
        <w:rPr>
          <w:rFonts w:asciiTheme="minorHAnsi" w:hAnsiTheme="minorHAnsi"/>
          <w:sz w:val="22"/>
        </w:rPr>
      </w:pPr>
    </w:p>
    <w:p w:rsidR="00C6407C" w:rsidRPr="00563EF2" w:rsidRDefault="007E3A89" w:rsidP="00FD7676">
      <w:pPr>
        <w:rPr>
          <w:rFonts w:asciiTheme="minorHAnsi" w:hAnsiTheme="minorHAnsi"/>
          <w:sz w:val="22"/>
        </w:rPr>
      </w:pPr>
      <w:r w:rsidRPr="00563EF2">
        <w:rPr>
          <w:rFonts w:asciiTheme="minorHAnsi" w:hAnsiTheme="minorHAnsi"/>
          <w:sz w:val="22"/>
        </w:rPr>
        <w:t>Na terenie Miasta Legnica w 2012 r. funkcjonowało 13 297 podmiotów gospodarczych, z czego przedsiębiorstwa prywatne stanowiły 94,8%. Liczba przedsiębiorstw zarejestrowanych na terenie Legnicy w przeliczeniu na 10 000 mieszkańców systematycznie rosła od 2004 r.</w:t>
      </w:r>
      <w:r w:rsidR="00F20511">
        <w:rPr>
          <w:rFonts w:asciiTheme="minorHAnsi" w:hAnsiTheme="minorHAnsi"/>
          <w:sz w:val="22"/>
        </w:rPr>
        <w:t>,</w:t>
      </w:r>
      <w:r w:rsidRPr="00563EF2">
        <w:rPr>
          <w:rFonts w:asciiTheme="minorHAnsi" w:hAnsiTheme="minorHAnsi"/>
          <w:sz w:val="22"/>
        </w:rPr>
        <w:t xml:space="preserve"> o</w:t>
      </w:r>
      <w:r w:rsidR="0033475A">
        <w:rPr>
          <w:rFonts w:asciiTheme="minorHAnsi" w:hAnsiTheme="minorHAnsi"/>
          <w:sz w:val="22"/>
        </w:rPr>
        <w:t>siągając swój szczyt w </w:t>
      </w:r>
      <w:r w:rsidRPr="00563EF2">
        <w:rPr>
          <w:rFonts w:asciiTheme="minorHAnsi" w:hAnsiTheme="minorHAnsi"/>
          <w:sz w:val="22"/>
        </w:rPr>
        <w:t xml:space="preserve">2010 r. – 1 310 podmiotów/ 10 000 osób. W 2011 r. zanotowano powrót do poziomu z roku 2009, po czym w 2012 r. liczba przedsiębiorstw ponownie wzrosła i wynosiła 1 298 podmiotów/ 10 000 mieszkańców. Brak znaczących spadków liczby przedsiębiorstw w latach 2008-2012 przypadających na okres silnego oddziaływania globalnego kryzysu gospodarczego świadczy o stabilności i </w:t>
      </w:r>
      <w:r w:rsidR="00FD4BAB" w:rsidRPr="00563EF2">
        <w:rPr>
          <w:rFonts w:asciiTheme="minorHAnsi" w:hAnsiTheme="minorHAnsi"/>
          <w:sz w:val="22"/>
        </w:rPr>
        <w:t>dobrej</w:t>
      </w:r>
      <w:r w:rsidRPr="00563EF2">
        <w:rPr>
          <w:rFonts w:asciiTheme="minorHAnsi" w:hAnsiTheme="minorHAnsi"/>
          <w:sz w:val="22"/>
        </w:rPr>
        <w:t xml:space="preserve"> </w:t>
      </w:r>
      <w:r w:rsidR="00FD4BAB" w:rsidRPr="00563EF2">
        <w:rPr>
          <w:rFonts w:asciiTheme="minorHAnsi" w:hAnsiTheme="minorHAnsi"/>
          <w:sz w:val="22"/>
        </w:rPr>
        <w:t>sytuacji</w:t>
      </w:r>
      <w:r w:rsidRPr="00563EF2">
        <w:rPr>
          <w:rFonts w:asciiTheme="minorHAnsi" w:hAnsiTheme="minorHAnsi"/>
          <w:sz w:val="22"/>
        </w:rPr>
        <w:t xml:space="preserve"> ekonomicznej podmiotów gospodarczych w Legnicy.</w:t>
      </w: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5A0296" w:rsidRPr="00EA4219">
        <w:rPr>
          <w:rFonts w:asciiTheme="minorHAnsi" w:hAnsiTheme="minorHAnsi"/>
          <w:sz w:val="20"/>
          <w:szCs w:val="22"/>
        </w:rPr>
        <w:fldChar w:fldCharType="begin"/>
      </w:r>
      <w:r w:rsidR="005A0296" w:rsidRPr="00EA4219">
        <w:rPr>
          <w:rFonts w:asciiTheme="minorHAnsi" w:hAnsiTheme="minorHAnsi"/>
          <w:sz w:val="20"/>
          <w:szCs w:val="22"/>
        </w:rPr>
        <w:instrText xml:space="preserve"> SEQ Wykres \* ARABIC </w:instrText>
      </w:r>
      <w:r w:rsidR="005A0296" w:rsidRPr="00EA4219">
        <w:rPr>
          <w:rFonts w:asciiTheme="minorHAnsi" w:hAnsiTheme="minorHAnsi"/>
          <w:sz w:val="20"/>
          <w:szCs w:val="22"/>
        </w:rPr>
        <w:fldChar w:fldCharType="separate"/>
      </w:r>
      <w:r w:rsidR="007B2916">
        <w:rPr>
          <w:rFonts w:asciiTheme="minorHAnsi" w:hAnsiTheme="minorHAnsi"/>
          <w:noProof/>
          <w:sz w:val="20"/>
          <w:szCs w:val="22"/>
        </w:rPr>
        <w:t>16</w:t>
      </w:r>
      <w:r w:rsidR="005A0296" w:rsidRPr="00EA4219">
        <w:rPr>
          <w:rFonts w:asciiTheme="minorHAnsi" w:hAnsiTheme="minorHAnsi"/>
          <w:sz w:val="20"/>
          <w:szCs w:val="22"/>
        </w:rPr>
        <w:fldChar w:fldCharType="end"/>
      </w:r>
      <w:r w:rsidRPr="00EA4219">
        <w:rPr>
          <w:rFonts w:asciiTheme="minorHAnsi" w:hAnsiTheme="minorHAnsi"/>
          <w:sz w:val="20"/>
          <w:szCs w:val="22"/>
        </w:rPr>
        <w:t xml:space="preserve">. Liczba przedsiębiorstw zarejestrowanych na terenie Legnicy </w:t>
      </w:r>
      <w:r w:rsidRPr="00EA4219">
        <w:rPr>
          <w:rFonts w:asciiTheme="minorHAnsi" w:hAnsiTheme="minorHAnsi"/>
          <w:noProof/>
          <w:sz w:val="20"/>
          <w:szCs w:val="22"/>
        </w:rPr>
        <w:t xml:space="preserve"> w latach 2002-2012</w:t>
      </w:r>
    </w:p>
    <w:p w:rsidR="007E3A89" w:rsidRPr="00563EF2" w:rsidRDefault="007E3A89" w:rsidP="00FD7676">
      <w:pPr>
        <w:rPr>
          <w:rFonts w:asciiTheme="minorHAnsi" w:hAnsiTheme="minorHAnsi"/>
          <w:sz w:val="22"/>
        </w:rPr>
      </w:pPr>
      <w:r w:rsidRPr="00563EF2">
        <w:rPr>
          <w:rFonts w:asciiTheme="minorHAnsi" w:hAnsiTheme="minorHAnsi"/>
          <w:noProof/>
          <w:sz w:val="22"/>
          <w:lang w:eastAsia="pl-PL"/>
        </w:rPr>
        <w:drawing>
          <wp:inline distT="0" distB="0" distL="0" distR="0" wp14:anchorId="4FA150D7" wp14:editId="7AA715F4">
            <wp:extent cx="5764265" cy="3264196"/>
            <wp:effectExtent l="19050" t="0" r="26935" b="0"/>
            <wp:docPr id="1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E3A89" w:rsidRPr="00A50D78" w:rsidRDefault="007E3A89"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 xml:space="preserve">Bank Danych Lokalnych, </w:t>
      </w:r>
      <w:r w:rsidRPr="00A50D78">
        <w:rPr>
          <w:rFonts w:asciiTheme="minorHAnsi" w:hAnsiTheme="minorHAnsi"/>
          <w:sz w:val="20"/>
        </w:rPr>
        <w:t>GUS.</w:t>
      </w:r>
    </w:p>
    <w:p w:rsidR="0005194B" w:rsidRPr="00563EF2" w:rsidRDefault="0005194B" w:rsidP="00FD7676">
      <w:pPr>
        <w:rPr>
          <w:rFonts w:asciiTheme="minorHAnsi" w:hAnsiTheme="minorHAnsi"/>
          <w:sz w:val="22"/>
        </w:rPr>
      </w:pPr>
    </w:p>
    <w:p w:rsidR="007E3A89" w:rsidRPr="00563EF2" w:rsidRDefault="007E3A89" w:rsidP="00FD7676">
      <w:pPr>
        <w:rPr>
          <w:rFonts w:asciiTheme="minorHAnsi" w:hAnsiTheme="minorHAnsi"/>
          <w:sz w:val="22"/>
        </w:rPr>
      </w:pPr>
      <w:r w:rsidRPr="00563EF2">
        <w:rPr>
          <w:rFonts w:asciiTheme="minorHAnsi" w:hAnsiTheme="minorHAnsi"/>
          <w:sz w:val="22"/>
        </w:rPr>
        <w:t>Liczba podmiotów gospodarczych w Legnicy przypadających na 10 tys. mieszkańców wynosiła w 2012 r. 1</w:t>
      </w:r>
      <w:r w:rsidR="00CD2F2A" w:rsidRPr="00563EF2">
        <w:rPr>
          <w:rFonts w:asciiTheme="minorHAnsi" w:hAnsiTheme="minorHAnsi"/>
          <w:sz w:val="22"/>
        </w:rPr>
        <w:t xml:space="preserve"> </w:t>
      </w:r>
      <w:r w:rsidRPr="00563EF2">
        <w:rPr>
          <w:rFonts w:asciiTheme="minorHAnsi" w:hAnsiTheme="minorHAnsi"/>
          <w:sz w:val="22"/>
        </w:rPr>
        <w:t>298, oznacza to, iż była wyższa</w:t>
      </w:r>
      <w:r w:rsidR="00F20511">
        <w:rPr>
          <w:rFonts w:asciiTheme="minorHAnsi" w:hAnsiTheme="minorHAnsi"/>
          <w:sz w:val="22"/>
        </w:rPr>
        <w:t>,</w:t>
      </w:r>
      <w:r w:rsidRPr="00563EF2">
        <w:rPr>
          <w:rFonts w:asciiTheme="minorHAnsi" w:hAnsiTheme="minorHAnsi"/>
          <w:sz w:val="22"/>
        </w:rPr>
        <w:t xml:space="preserve"> aniżeli średnia dla kraju i województwa. W porównaniu z ważnymi ośrodkami miejskimi regionu wskaźnik nasycenia przedsiębiorstw</w:t>
      </w:r>
      <w:r w:rsidR="0033475A">
        <w:rPr>
          <w:rFonts w:asciiTheme="minorHAnsi" w:hAnsiTheme="minorHAnsi"/>
          <w:sz w:val="22"/>
        </w:rPr>
        <w:t xml:space="preserve"> w Legnicy był wyższy</w:t>
      </w:r>
      <w:r w:rsidR="00F20511">
        <w:rPr>
          <w:rFonts w:asciiTheme="minorHAnsi" w:hAnsiTheme="minorHAnsi"/>
          <w:sz w:val="22"/>
        </w:rPr>
        <w:t>,</w:t>
      </w:r>
      <w:r w:rsidR="0033475A">
        <w:rPr>
          <w:rFonts w:asciiTheme="minorHAnsi" w:hAnsiTheme="minorHAnsi"/>
          <w:sz w:val="22"/>
        </w:rPr>
        <w:t xml:space="preserve"> aniżeli w </w:t>
      </w:r>
      <w:r w:rsidR="00F20511">
        <w:rPr>
          <w:rFonts w:asciiTheme="minorHAnsi" w:hAnsiTheme="minorHAnsi"/>
          <w:sz w:val="22"/>
        </w:rPr>
        <w:t>Wałbrzychu i Lubinie</w:t>
      </w:r>
      <w:r w:rsidRPr="00563EF2">
        <w:rPr>
          <w:rFonts w:asciiTheme="minorHAnsi" w:hAnsiTheme="minorHAnsi"/>
          <w:sz w:val="22"/>
        </w:rPr>
        <w:t xml:space="preserve">, natomiast niższy niż we Wrocławiu i Jeleniej Górze. </w:t>
      </w:r>
    </w:p>
    <w:p w:rsidR="00A7721D" w:rsidRPr="00563EF2" w:rsidRDefault="00A7721D" w:rsidP="00FD7676">
      <w:pPr>
        <w:rPr>
          <w:rFonts w:asciiTheme="minorHAnsi" w:hAnsiTheme="minorHAnsi"/>
          <w:sz w:val="22"/>
        </w:rPr>
      </w:pP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00307DD7"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30</w:t>
      </w:r>
      <w:r w:rsidR="00017794" w:rsidRPr="00EA4219">
        <w:rPr>
          <w:rFonts w:asciiTheme="minorHAnsi" w:hAnsiTheme="minorHAnsi"/>
          <w:sz w:val="20"/>
          <w:szCs w:val="22"/>
        </w:rPr>
        <w:fldChar w:fldCharType="end"/>
      </w:r>
      <w:r w:rsidRPr="00EA4219">
        <w:rPr>
          <w:rFonts w:asciiTheme="minorHAnsi" w:hAnsiTheme="minorHAnsi"/>
          <w:sz w:val="20"/>
          <w:szCs w:val="22"/>
        </w:rPr>
        <w:t xml:space="preserve">. Liczba </w:t>
      </w:r>
      <w:r w:rsidRPr="00EA4219">
        <w:rPr>
          <w:rFonts w:asciiTheme="minorHAnsi" w:eastAsia="Times New Roman" w:hAnsiTheme="minorHAnsi" w:cs="Arial"/>
          <w:sz w:val="20"/>
          <w:szCs w:val="22"/>
        </w:rPr>
        <w:t>podmiotów gospodarczych wpisanych do rejestru REGON na 10 tys. mieszkańców w 2012 r.</w:t>
      </w:r>
    </w:p>
    <w:tbl>
      <w:tblPr>
        <w:tblW w:w="89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1278"/>
        <w:gridCol w:w="1278"/>
        <w:gridCol w:w="1278"/>
        <w:gridCol w:w="1278"/>
        <w:gridCol w:w="1278"/>
        <w:gridCol w:w="1278"/>
      </w:tblGrid>
      <w:tr w:rsidR="007E3A89" w:rsidRPr="00563EF2" w:rsidTr="00BB11E8">
        <w:trPr>
          <w:trHeight w:val="277"/>
        </w:trPr>
        <w:tc>
          <w:tcPr>
            <w:tcW w:w="1277" w:type="dxa"/>
            <w:shd w:val="clear" w:color="auto" w:fill="auto"/>
            <w:noWrap/>
            <w:vAlign w:val="bottom"/>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Polska</w:t>
            </w:r>
          </w:p>
        </w:tc>
        <w:tc>
          <w:tcPr>
            <w:tcW w:w="1278" w:type="dxa"/>
            <w:shd w:val="clear" w:color="auto" w:fill="auto"/>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Woj. dolnośląskie</w:t>
            </w:r>
          </w:p>
        </w:tc>
        <w:tc>
          <w:tcPr>
            <w:tcW w:w="1278" w:type="dxa"/>
            <w:shd w:val="clear" w:color="auto" w:fill="538135" w:themeFill="accent6" w:themeFillShade="BF"/>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shd w:val="clear" w:color="auto" w:fill="538135" w:themeFill="accent6" w:themeFillShade="BF"/>
              </w:rPr>
              <w:t>Legnica</w:t>
            </w:r>
            <w:r w:rsidRPr="00563EF2">
              <w:rPr>
                <w:rFonts w:asciiTheme="minorHAnsi" w:eastAsia="Times New Roman" w:hAnsiTheme="minorHAnsi" w:cs="Arial"/>
                <w:b/>
                <w:sz w:val="22"/>
              </w:rPr>
              <w:t xml:space="preserve"> </w:t>
            </w:r>
          </w:p>
        </w:tc>
        <w:tc>
          <w:tcPr>
            <w:tcW w:w="1278" w:type="dxa"/>
            <w:shd w:val="clear" w:color="auto" w:fill="auto"/>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 xml:space="preserve">Wrocław </w:t>
            </w:r>
          </w:p>
        </w:tc>
        <w:tc>
          <w:tcPr>
            <w:tcW w:w="1278" w:type="dxa"/>
            <w:shd w:val="clear" w:color="auto" w:fill="auto"/>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 xml:space="preserve">Jelenia Góra </w:t>
            </w:r>
          </w:p>
        </w:tc>
        <w:tc>
          <w:tcPr>
            <w:tcW w:w="1278" w:type="dxa"/>
            <w:shd w:val="clear" w:color="auto" w:fill="auto"/>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 xml:space="preserve">Wałbrzych </w:t>
            </w:r>
          </w:p>
        </w:tc>
        <w:tc>
          <w:tcPr>
            <w:tcW w:w="1278" w:type="dxa"/>
            <w:shd w:val="clear" w:color="auto" w:fill="auto"/>
            <w:noWrap/>
            <w:vAlign w:val="center"/>
            <w:hideMark/>
          </w:tcPr>
          <w:p w:rsidR="007E3A89" w:rsidRPr="00563EF2" w:rsidRDefault="007E3A89" w:rsidP="00FD7676">
            <w:pPr>
              <w:rPr>
                <w:rFonts w:asciiTheme="minorHAnsi" w:eastAsia="Times New Roman" w:hAnsiTheme="minorHAnsi" w:cs="Arial"/>
                <w:b/>
              </w:rPr>
            </w:pPr>
            <w:r w:rsidRPr="00563EF2">
              <w:rPr>
                <w:rFonts w:asciiTheme="minorHAnsi" w:eastAsia="Times New Roman" w:hAnsiTheme="minorHAnsi" w:cs="Arial"/>
                <w:b/>
                <w:sz w:val="22"/>
              </w:rPr>
              <w:t xml:space="preserve">Lubin </w:t>
            </w:r>
          </w:p>
        </w:tc>
      </w:tr>
      <w:tr w:rsidR="007E3A89" w:rsidRPr="00563EF2" w:rsidTr="00BB11E8">
        <w:trPr>
          <w:trHeight w:val="277"/>
        </w:trPr>
        <w:tc>
          <w:tcPr>
            <w:tcW w:w="1277"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1032</w:t>
            </w:r>
          </w:p>
        </w:tc>
        <w:tc>
          <w:tcPr>
            <w:tcW w:w="1278"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1156</w:t>
            </w:r>
          </w:p>
        </w:tc>
        <w:tc>
          <w:tcPr>
            <w:tcW w:w="1278" w:type="dxa"/>
            <w:shd w:val="clear" w:color="auto" w:fill="A8D08D" w:themeFill="accent6" w:themeFillTint="99"/>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1298</w:t>
            </w:r>
          </w:p>
        </w:tc>
        <w:tc>
          <w:tcPr>
            <w:tcW w:w="1278"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1665</w:t>
            </w:r>
          </w:p>
        </w:tc>
        <w:tc>
          <w:tcPr>
            <w:tcW w:w="1278"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1523</w:t>
            </w:r>
          </w:p>
        </w:tc>
        <w:tc>
          <w:tcPr>
            <w:tcW w:w="1278"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1176</w:t>
            </w:r>
          </w:p>
        </w:tc>
        <w:tc>
          <w:tcPr>
            <w:tcW w:w="1278"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994</w:t>
            </w:r>
          </w:p>
        </w:tc>
      </w:tr>
    </w:tbl>
    <w:p w:rsidR="007E3A89" w:rsidRPr="00A50D78" w:rsidRDefault="007E3A89"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00A50D78">
        <w:rPr>
          <w:rFonts w:asciiTheme="minorHAnsi" w:hAnsiTheme="minorHAnsi"/>
          <w:sz w:val="20"/>
        </w:rPr>
        <w:t xml:space="preserve"> GUS</w:t>
      </w:r>
      <w:r w:rsidR="008B3862">
        <w:rPr>
          <w:rFonts w:asciiTheme="minorHAnsi" w:hAnsiTheme="minorHAnsi"/>
          <w:sz w:val="20"/>
        </w:rPr>
        <w:t>.</w:t>
      </w:r>
    </w:p>
    <w:p w:rsidR="0005194B" w:rsidRPr="00563EF2" w:rsidRDefault="00652D3C" w:rsidP="00FD7676">
      <w:pPr>
        <w:rPr>
          <w:rFonts w:asciiTheme="minorHAnsi" w:hAnsiTheme="minorHAnsi"/>
          <w:sz w:val="22"/>
        </w:rPr>
      </w:pPr>
      <w:r w:rsidRPr="00563EF2">
        <w:rPr>
          <w:rFonts w:asciiTheme="minorHAnsi" w:hAnsiTheme="minorHAnsi"/>
          <w:sz w:val="22"/>
        </w:rPr>
        <w:t xml:space="preserve">Najliczniejszą grupę przedsiębiorstw stanowiły osoby fizyczne prowadzące własną działalność gospodarczą, wg danych GUS na koniec 2012 r. ich udział wynosił 72,1% (9 085 podmiotów). </w:t>
      </w:r>
    </w:p>
    <w:p w:rsidR="00A75503" w:rsidRPr="00563EF2" w:rsidRDefault="00A75503" w:rsidP="00FD7676">
      <w:pPr>
        <w:rPr>
          <w:rFonts w:asciiTheme="minorHAnsi" w:hAnsiTheme="minorHAnsi"/>
          <w:sz w:val="22"/>
        </w:rPr>
      </w:pPr>
    </w:p>
    <w:p w:rsidR="00A75503" w:rsidRPr="00EA4219" w:rsidRDefault="00A75503" w:rsidP="00FD7676">
      <w:pPr>
        <w:pStyle w:val="Legenda"/>
        <w:keepNext/>
        <w:spacing w:line="276" w:lineRule="auto"/>
        <w:rPr>
          <w:rFonts w:asciiTheme="minorHAnsi" w:hAnsiTheme="minorHAnsi"/>
          <w:sz w:val="20"/>
        </w:rPr>
      </w:pPr>
      <w:r w:rsidRPr="00EA4219">
        <w:rPr>
          <w:rFonts w:asciiTheme="minorHAnsi" w:hAnsiTheme="minorHAnsi"/>
          <w:sz w:val="20"/>
        </w:rPr>
        <w:t xml:space="preserve">Tabela </w:t>
      </w:r>
      <w:r w:rsidR="00017794" w:rsidRPr="00EA4219">
        <w:rPr>
          <w:rFonts w:asciiTheme="minorHAnsi" w:hAnsiTheme="minorHAnsi"/>
          <w:sz w:val="20"/>
        </w:rPr>
        <w:fldChar w:fldCharType="begin"/>
      </w:r>
      <w:r w:rsidRPr="00EA4219">
        <w:rPr>
          <w:rFonts w:asciiTheme="minorHAnsi" w:hAnsiTheme="minorHAnsi"/>
          <w:sz w:val="20"/>
        </w:rPr>
        <w:instrText xml:space="preserve"> SEQ Tabela \* ARABIC </w:instrText>
      </w:r>
      <w:r w:rsidR="00017794" w:rsidRPr="00EA4219">
        <w:rPr>
          <w:rFonts w:asciiTheme="minorHAnsi" w:hAnsiTheme="minorHAnsi"/>
          <w:sz w:val="20"/>
        </w:rPr>
        <w:fldChar w:fldCharType="separate"/>
      </w:r>
      <w:r w:rsidR="007B2916">
        <w:rPr>
          <w:rFonts w:asciiTheme="minorHAnsi" w:hAnsiTheme="minorHAnsi"/>
          <w:noProof/>
          <w:sz w:val="20"/>
        </w:rPr>
        <w:t>31</w:t>
      </w:r>
      <w:r w:rsidR="00017794" w:rsidRPr="00EA4219">
        <w:rPr>
          <w:rFonts w:asciiTheme="minorHAnsi" w:hAnsiTheme="minorHAnsi"/>
          <w:sz w:val="20"/>
        </w:rPr>
        <w:fldChar w:fldCharType="end"/>
      </w:r>
      <w:r w:rsidRPr="00EA4219">
        <w:rPr>
          <w:rFonts w:asciiTheme="minorHAnsi" w:hAnsiTheme="minorHAnsi"/>
          <w:sz w:val="20"/>
        </w:rPr>
        <w:t>. Struktura wielkości przedsiębiorstw w Legnicy w latach 2008-2012</w:t>
      </w:r>
    </w:p>
    <w:tbl>
      <w:tblPr>
        <w:tblStyle w:val="Jasnasiatkaakcent5"/>
        <w:tblW w:w="5760" w:type="dxa"/>
        <w:tblLook w:val="04A0" w:firstRow="1" w:lastRow="0" w:firstColumn="1" w:lastColumn="0" w:noHBand="0" w:noVBand="1"/>
      </w:tblPr>
      <w:tblGrid>
        <w:gridCol w:w="960"/>
        <w:gridCol w:w="960"/>
        <w:gridCol w:w="960"/>
        <w:gridCol w:w="960"/>
        <w:gridCol w:w="960"/>
        <w:gridCol w:w="960"/>
      </w:tblGrid>
      <w:tr w:rsidR="00A75503" w:rsidRPr="00563EF2" w:rsidTr="008E1C1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p>
        </w:tc>
        <w:tc>
          <w:tcPr>
            <w:tcW w:w="960" w:type="dxa"/>
            <w:noWrap/>
            <w:hideMark/>
          </w:tcPr>
          <w:p w:rsidR="00A75503" w:rsidRPr="00563EF2" w:rsidRDefault="00A75503"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2008</w:t>
            </w:r>
          </w:p>
        </w:tc>
        <w:tc>
          <w:tcPr>
            <w:tcW w:w="960" w:type="dxa"/>
            <w:noWrap/>
            <w:hideMark/>
          </w:tcPr>
          <w:p w:rsidR="00A75503" w:rsidRPr="00563EF2" w:rsidRDefault="00A75503"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2009</w:t>
            </w:r>
          </w:p>
        </w:tc>
        <w:tc>
          <w:tcPr>
            <w:tcW w:w="960" w:type="dxa"/>
            <w:noWrap/>
            <w:hideMark/>
          </w:tcPr>
          <w:p w:rsidR="00A75503" w:rsidRPr="00563EF2" w:rsidRDefault="00A75503"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2010</w:t>
            </w:r>
          </w:p>
        </w:tc>
        <w:tc>
          <w:tcPr>
            <w:tcW w:w="960" w:type="dxa"/>
            <w:noWrap/>
            <w:hideMark/>
          </w:tcPr>
          <w:p w:rsidR="00A75503" w:rsidRPr="00563EF2" w:rsidRDefault="00A75503"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2011</w:t>
            </w:r>
          </w:p>
        </w:tc>
        <w:tc>
          <w:tcPr>
            <w:tcW w:w="960" w:type="dxa"/>
            <w:noWrap/>
            <w:hideMark/>
          </w:tcPr>
          <w:p w:rsidR="00A75503" w:rsidRPr="00563EF2" w:rsidRDefault="00A75503" w:rsidP="00FD767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2012</w:t>
            </w:r>
          </w:p>
        </w:tc>
      </w:tr>
      <w:tr w:rsidR="00A75503" w:rsidRPr="00563EF2" w:rsidTr="008E1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0-9</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12511</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12633</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13072</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12476</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12821</w:t>
            </w:r>
          </w:p>
        </w:tc>
      </w:tr>
      <w:tr w:rsidR="00A75503" w:rsidRPr="00563EF2" w:rsidTr="008E1C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10-49</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349</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373</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371</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393</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345</w:t>
            </w:r>
          </w:p>
        </w:tc>
      </w:tr>
      <w:tr w:rsidR="00A75503" w:rsidRPr="00563EF2" w:rsidTr="008E1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50-249</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87</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91</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91</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86</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115</w:t>
            </w:r>
          </w:p>
        </w:tc>
      </w:tr>
      <w:tr w:rsidR="00A75503" w:rsidRPr="00563EF2" w:rsidTr="008E1C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250-999</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w:t>
            </w:r>
          </w:p>
        </w:tc>
        <w:tc>
          <w:tcPr>
            <w:tcW w:w="960" w:type="dxa"/>
            <w:noWrap/>
            <w:hideMark/>
          </w:tcPr>
          <w:p w:rsidR="00A75503" w:rsidRPr="00563EF2" w:rsidRDefault="00A75503"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11</w:t>
            </w:r>
          </w:p>
        </w:tc>
      </w:tr>
      <w:tr w:rsidR="00A75503" w:rsidRPr="00563EF2" w:rsidTr="008E1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A75503" w:rsidRPr="00563EF2" w:rsidRDefault="00A75503" w:rsidP="00FD7676">
            <w:pPr>
              <w:jc w:val="left"/>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1000 &lt;</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4</w:t>
            </w:r>
          </w:p>
        </w:tc>
        <w:tc>
          <w:tcPr>
            <w:tcW w:w="960" w:type="dxa"/>
            <w:noWrap/>
            <w:hideMark/>
          </w:tcPr>
          <w:p w:rsidR="00A75503" w:rsidRPr="00563EF2" w:rsidRDefault="00A75503"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l-PL"/>
              </w:rPr>
            </w:pPr>
            <w:r w:rsidRPr="00563EF2">
              <w:rPr>
                <w:rFonts w:asciiTheme="minorHAnsi" w:eastAsia="Times New Roman" w:hAnsiTheme="minorHAnsi" w:cs="Arial"/>
                <w:sz w:val="20"/>
                <w:szCs w:val="20"/>
                <w:lang w:eastAsia="pl-PL"/>
              </w:rPr>
              <w:t>5</w:t>
            </w:r>
          </w:p>
        </w:tc>
      </w:tr>
    </w:tbl>
    <w:p w:rsidR="00A75503" w:rsidRPr="00A50D78" w:rsidRDefault="00A75503" w:rsidP="00FD7676">
      <w:pPr>
        <w:rPr>
          <w:rFonts w:asciiTheme="minorHAnsi" w:hAnsiTheme="minorHAnsi"/>
          <w:sz w:val="20"/>
        </w:rPr>
      </w:pPr>
      <w:r w:rsidRPr="00A50D78">
        <w:rPr>
          <w:rFonts w:asciiTheme="minorHAnsi" w:hAnsiTheme="minorHAnsi"/>
          <w:sz w:val="20"/>
        </w:rPr>
        <w:t>Źródło: Opracowanie własne na podstaw</w:t>
      </w:r>
      <w:r w:rsidR="00A50D78">
        <w:rPr>
          <w:rFonts w:asciiTheme="minorHAnsi" w:hAnsiTheme="minorHAnsi"/>
          <w:sz w:val="20"/>
        </w:rPr>
        <w:t>ie: Bank Danych Lokalnych, GUS</w:t>
      </w:r>
      <w:r w:rsidR="008B3862">
        <w:rPr>
          <w:rFonts w:asciiTheme="minorHAnsi" w:hAnsiTheme="minorHAnsi"/>
          <w:sz w:val="20"/>
        </w:rPr>
        <w:t>.</w:t>
      </w:r>
    </w:p>
    <w:p w:rsidR="00A75503" w:rsidRPr="00563EF2" w:rsidRDefault="00A75503" w:rsidP="00FD7676">
      <w:pPr>
        <w:rPr>
          <w:rFonts w:asciiTheme="minorHAnsi" w:hAnsiTheme="minorHAnsi"/>
          <w:sz w:val="22"/>
        </w:rPr>
      </w:pPr>
    </w:p>
    <w:p w:rsidR="00A75503" w:rsidRPr="00563EF2" w:rsidRDefault="00F20511" w:rsidP="00FD7676">
      <w:pPr>
        <w:rPr>
          <w:rFonts w:asciiTheme="minorHAnsi" w:hAnsiTheme="minorHAnsi"/>
          <w:sz w:val="22"/>
        </w:rPr>
      </w:pPr>
      <w:r>
        <w:rPr>
          <w:rFonts w:asciiTheme="minorHAnsi" w:hAnsiTheme="minorHAnsi"/>
          <w:sz w:val="22"/>
        </w:rPr>
        <w:t>Spadek liczby przedsiębiorstw po</w:t>
      </w:r>
      <w:r w:rsidR="00A75503" w:rsidRPr="00563EF2">
        <w:rPr>
          <w:rFonts w:asciiTheme="minorHAnsi" w:hAnsiTheme="minorHAnsi"/>
          <w:sz w:val="22"/>
        </w:rPr>
        <w:t xml:space="preserve"> 2010 r. odbił się najwidoczniej na mikroprzedsiębiorstwach zatrudniających do 9 osób, ich liczba zmniejszyła się bowiem o 596 podmiotów. Jest to naturalne zjawisko, bowiem to najmniejsze prze</w:t>
      </w:r>
      <w:r w:rsidR="003C67A9">
        <w:rPr>
          <w:rFonts w:asciiTheme="minorHAnsi" w:hAnsiTheme="minorHAnsi"/>
          <w:sz w:val="22"/>
        </w:rPr>
        <w:t>dsiębiorstwa są najbardziej wrażliwe na wahania rynku</w:t>
      </w:r>
      <w:r w:rsidR="00A75503" w:rsidRPr="00563EF2">
        <w:rPr>
          <w:rFonts w:asciiTheme="minorHAnsi" w:hAnsiTheme="minorHAnsi"/>
          <w:sz w:val="22"/>
        </w:rPr>
        <w:t xml:space="preserve"> i zmiany koniunktury gospodarczej. Co ciekawe w 2012 r. zanotowano wzrost przedsiębiorstw zatrudniających pow. 1 000 osób (jeden podmiot) oraz przedsiębiorstw średnich (o 29 podmiotów) zatrudniających </w:t>
      </w:r>
      <w:r w:rsidR="00267988" w:rsidRPr="00563EF2">
        <w:rPr>
          <w:rFonts w:asciiTheme="minorHAnsi" w:hAnsiTheme="minorHAnsi"/>
          <w:sz w:val="22"/>
        </w:rPr>
        <w:t xml:space="preserve">od 50 do 249 osób, co miało związek z rozszerzeniem działalności przez część przedsiębiorstw w Legnicy. </w:t>
      </w:r>
      <w:r w:rsidR="00A75503" w:rsidRPr="00563EF2">
        <w:rPr>
          <w:rFonts w:asciiTheme="minorHAnsi" w:hAnsiTheme="minorHAnsi"/>
          <w:sz w:val="22"/>
        </w:rPr>
        <w:t xml:space="preserve"> </w:t>
      </w:r>
    </w:p>
    <w:p w:rsidR="00236251" w:rsidRPr="00563EF2" w:rsidRDefault="00236251" w:rsidP="00FD7676">
      <w:pPr>
        <w:rPr>
          <w:rFonts w:asciiTheme="minorHAnsi" w:hAnsiTheme="minorHAnsi"/>
          <w:sz w:val="22"/>
        </w:rPr>
      </w:pPr>
    </w:p>
    <w:p w:rsidR="00236251" w:rsidRPr="00563EF2" w:rsidRDefault="007E3A89" w:rsidP="00FD7676">
      <w:pPr>
        <w:rPr>
          <w:rFonts w:asciiTheme="minorHAnsi" w:hAnsiTheme="minorHAnsi"/>
          <w:sz w:val="22"/>
        </w:rPr>
      </w:pPr>
      <w:r w:rsidRPr="00563EF2">
        <w:rPr>
          <w:rFonts w:asciiTheme="minorHAnsi" w:hAnsiTheme="minorHAnsi"/>
          <w:sz w:val="22"/>
        </w:rPr>
        <w:t>Najwięcej podmiotów</w:t>
      </w:r>
      <w:r w:rsidR="00FD4BAB" w:rsidRPr="00563EF2">
        <w:rPr>
          <w:rFonts w:asciiTheme="minorHAnsi" w:hAnsiTheme="minorHAnsi"/>
          <w:sz w:val="22"/>
        </w:rPr>
        <w:t xml:space="preserve"> gospodarczych na terenie Legnicy</w:t>
      </w:r>
      <w:r w:rsidRPr="00563EF2">
        <w:rPr>
          <w:rFonts w:asciiTheme="minorHAnsi" w:hAnsiTheme="minorHAnsi"/>
          <w:sz w:val="22"/>
        </w:rPr>
        <w:t xml:space="preserve"> prowadziło </w:t>
      </w:r>
      <w:r w:rsidR="0033475A">
        <w:rPr>
          <w:rFonts w:asciiTheme="minorHAnsi" w:hAnsiTheme="minorHAnsi"/>
          <w:sz w:val="22"/>
        </w:rPr>
        <w:t>działalność w sektorze handlu i </w:t>
      </w:r>
      <w:r w:rsidRPr="00563EF2">
        <w:rPr>
          <w:rFonts w:asciiTheme="minorHAnsi" w:hAnsiTheme="minorHAnsi"/>
          <w:sz w:val="22"/>
        </w:rPr>
        <w:t>usługach naprawczych - 26%  podmiotów (3 457 przedsiębiorstw</w:t>
      </w:r>
      <w:r w:rsidR="00F20511">
        <w:rPr>
          <w:rFonts w:asciiTheme="minorHAnsi" w:hAnsiTheme="minorHAnsi"/>
          <w:sz w:val="22"/>
        </w:rPr>
        <w:t>) oraz działalność</w:t>
      </w:r>
      <w:r w:rsidR="0033475A">
        <w:rPr>
          <w:rFonts w:asciiTheme="minorHAnsi" w:hAnsiTheme="minorHAnsi"/>
          <w:sz w:val="22"/>
        </w:rPr>
        <w:t xml:space="preserve"> związaną z </w:t>
      </w:r>
      <w:r w:rsidRPr="00563EF2">
        <w:rPr>
          <w:rFonts w:asciiTheme="minorHAnsi" w:hAnsiTheme="minorHAnsi"/>
          <w:sz w:val="22"/>
        </w:rPr>
        <w:t>obsługą rynku nieruchomości – 13,13% podmiotów (1 746 przedsiębiorstw). Warto odnotować także sporą liczbę przedsiębiorstw zajmujących się działalnością profesjonalną, naukową</w:t>
      </w:r>
      <w:r w:rsidR="00FD4BAB" w:rsidRPr="00563EF2">
        <w:rPr>
          <w:rFonts w:asciiTheme="minorHAnsi" w:hAnsiTheme="minorHAnsi"/>
          <w:sz w:val="22"/>
        </w:rPr>
        <w:t xml:space="preserve"> i techniczną – 1 257 podmiotów</w:t>
      </w:r>
      <w:r w:rsidRPr="00563EF2">
        <w:rPr>
          <w:rFonts w:asciiTheme="minorHAnsi" w:hAnsiTheme="minorHAnsi"/>
          <w:sz w:val="22"/>
        </w:rPr>
        <w:t>.</w:t>
      </w:r>
      <w:r w:rsidR="00236251" w:rsidRPr="00563EF2">
        <w:rPr>
          <w:rFonts w:asciiTheme="minorHAnsi" w:hAnsiTheme="minorHAnsi"/>
          <w:sz w:val="22"/>
        </w:rPr>
        <w:t xml:space="preserve"> Charakterystyczną tendencją zaobserwowaną w ostatnich latach była również tendencja wzrostowa podmiotów państwowych. W 2012 r. funkcjonowało ich 3-krotnie więcej</w:t>
      </w:r>
      <w:r w:rsidR="00F20511">
        <w:rPr>
          <w:rFonts w:asciiTheme="minorHAnsi" w:hAnsiTheme="minorHAnsi"/>
          <w:sz w:val="22"/>
        </w:rPr>
        <w:t>,</w:t>
      </w:r>
      <w:r w:rsidR="00236251" w:rsidRPr="00563EF2">
        <w:rPr>
          <w:rFonts w:asciiTheme="minorHAnsi" w:hAnsiTheme="minorHAnsi"/>
          <w:sz w:val="22"/>
        </w:rPr>
        <w:t xml:space="preserve"> aniżeli w 2002 r.  </w:t>
      </w:r>
    </w:p>
    <w:p w:rsidR="007E3A89" w:rsidRPr="00563EF2" w:rsidRDefault="007E3A89" w:rsidP="00FD7676">
      <w:pPr>
        <w:rPr>
          <w:rFonts w:asciiTheme="minorHAnsi" w:hAnsiTheme="minorHAnsi"/>
          <w:sz w:val="22"/>
        </w:rPr>
      </w:pPr>
    </w:p>
    <w:p w:rsidR="007E3A89" w:rsidRPr="00563EF2" w:rsidRDefault="007E3A89" w:rsidP="00FD7676">
      <w:pPr>
        <w:rPr>
          <w:rFonts w:asciiTheme="minorHAnsi" w:hAnsiTheme="minorHAnsi"/>
          <w:sz w:val="22"/>
        </w:rPr>
      </w:pP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5A0296" w:rsidRPr="00EA4219">
        <w:rPr>
          <w:rFonts w:asciiTheme="minorHAnsi" w:hAnsiTheme="minorHAnsi"/>
          <w:sz w:val="20"/>
          <w:szCs w:val="22"/>
        </w:rPr>
        <w:fldChar w:fldCharType="begin"/>
      </w:r>
      <w:r w:rsidR="005A0296" w:rsidRPr="00EA4219">
        <w:rPr>
          <w:rFonts w:asciiTheme="minorHAnsi" w:hAnsiTheme="minorHAnsi"/>
          <w:sz w:val="20"/>
          <w:szCs w:val="22"/>
        </w:rPr>
        <w:instrText xml:space="preserve"> SEQ Wykres \* ARABIC </w:instrText>
      </w:r>
      <w:r w:rsidR="005A0296" w:rsidRPr="00EA4219">
        <w:rPr>
          <w:rFonts w:asciiTheme="minorHAnsi" w:hAnsiTheme="minorHAnsi"/>
          <w:sz w:val="20"/>
          <w:szCs w:val="22"/>
        </w:rPr>
        <w:fldChar w:fldCharType="separate"/>
      </w:r>
      <w:r w:rsidR="007B2916">
        <w:rPr>
          <w:rFonts w:asciiTheme="minorHAnsi" w:hAnsiTheme="minorHAnsi"/>
          <w:noProof/>
          <w:sz w:val="20"/>
          <w:szCs w:val="22"/>
        </w:rPr>
        <w:t>17</w:t>
      </w:r>
      <w:r w:rsidR="005A0296" w:rsidRPr="00EA4219">
        <w:rPr>
          <w:rFonts w:asciiTheme="minorHAnsi" w:hAnsiTheme="minorHAnsi"/>
          <w:sz w:val="20"/>
          <w:szCs w:val="22"/>
        </w:rPr>
        <w:fldChar w:fldCharType="end"/>
      </w:r>
      <w:r w:rsidRPr="00EA4219">
        <w:rPr>
          <w:rFonts w:asciiTheme="minorHAnsi" w:hAnsiTheme="minorHAnsi"/>
          <w:sz w:val="20"/>
          <w:szCs w:val="22"/>
        </w:rPr>
        <w:t>. Struktura przedsiębiorstw zarejestrowanych na terenie Legnicy wg PKD 2007 w 2012 r.</w:t>
      </w:r>
    </w:p>
    <w:p w:rsidR="007E3A89" w:rsidRPr="00563EF2" w:rsidRDefault="007E3A89" w:rsidP="00FD7676">
      <w:pPr>
        <w:rPr>
          <w:rFonts w:asciiTheme="minorHAnsi" w:hAnsiTheme="minorHAnsi"/>
          <w:sz w:val="22"/>
        </w:rPr>
      </w:pPr>
      <w:r w:rsidRPr="00563EF2">
        <w:rPr>
          <w:rFonts w:asciiTheme="minorHAnsi" w:hAnsiTheme="minorHAnsi"/>
          <w:noProof/>
          <w:sz w:val="22"/>
          <w:lang w:eastAsia="pl-PL"/>
        </w:rPr>
        <w:drawing>
          <wp:inline distT="0" distB="0" distL="0" distR="0" wp14:anchorId="77022746" wp14:editId="28A9AF61">
            <wp:extent cx="6392383" cy="5645889"/>
            <wp:effectExtent l="19050" t="0" r="27467"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E3A89" w:rsidRPr="00A50D78" w:rsidRDefault="007E3A89"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00A50D78" w:rsidRPr="00A50D78">
        <w:rPr>
          <w:rFonts w:asciiTheme="minorHAnsi" w:hAnsiTheme="minorHAnsi"/>
          <w:sz w:val="20"/>
        </w:rPr>
        <w:t>, GUS</w:t>
      </w:r>
      <w:r w:rsidR="008B3862">
        <w:rPr>
          <w:rFonts w:asciiTheme="minorHAnsi" w:hAnsiTheme="minorHAnsi"/>
          <w:sz w:val="20"/>
        </w:rPr>
        <w:t>.</w:t>
      </w:r>
    </w:p>
    <w:p w:rsidR="0005194B" w:rsidRPr="00563EF2" w:rsidRDefault="0005194B" w:rsidP="00FD7676">
      <w:pPr>
        <w:rPr>
          <w:rFonts w:asciiTheme="minorHAnsi" w:hAnsiTheme="minorHAnsi"/>
          <w:b/>
          <w:sz w:val="22"/>
        </w:rPr>
      </w:pPr>
    </w:p>
    <w:p w:rsidR="00BA448B" w:rsidRPr="00563EF2" w:rsidRDefault="00BA448B" w:rsidP="00EC5484">
      <w:pPr>
        <w:pStyle w:val="Nagwek3"/>
        <w:rPr>
          <w:b w:val="0"/>
        </w:rPr>
      </w:pPr>
      <w:bookmarkStart w:id="36" w:name="_Toc399756323"/>
      <w:r w:rsidRPr="00563EF2">
        <w:rPr>
          <w:b w:val="0"/>
        </w:rPr>
        <w:t>Instytucje otoczenia biznesu</w:t>
      </w:r>
      <w:bookmarkEnd w:id="36"/>
    </w:p>
    <w:p w:rsidR="00BA448B" w:rsidRPr="00563EF2" w:rsidRDefault="00BA448B" w:rsidP="00FD7676">
      <w:pPr>
        <w:rPr>
          <w:rFonts w:asciiTheme="minorHAnsi" w:hAnsiTheme="minorHAnsi"/>
          <w:sz w:val="22"/>
        </w:rPr>
      </w:pPr>
    </w:p>
    <w:p w:rsidR="00BA448B" w:rsidRPr="00563EF2" w:rsidRDefault="00BA448B" w:rsidP="00FD7676">
      <w:pPr>
        <w:rPr>
          <w:rFonts w:asciiTheme="minorHAnsi" w:hAnsiTheme="minorHAnsi"/>
          <w:sz w:val="22"/>
        </w:rPr>
      </w:pPr>
      <w:r w:rsidRPr="00563EF2">
        <w:rPr>
          <w:rFonts w:asciiTheme="minorHAnsi" w:hAnsiTheme="minorHAnsi"/>
          <w:sz w:val="22"/>
        </w:rPr>
        <w:t>W celu zmniejszenia zależności od przemysłu wydobywczego miasta i gminy LGOM stawiają na dywersyfikację gospodarczą. Przejawem tych działań są, oprócz inwestycji lokalnego hegemona gospodarczego jakim jest KGHM  „Polska Miedź” S.A., takie inicjatywy jak: stworzenie Legnickiej Specjalnej Strefy Ekonomicznej, obejmującej tereny inwestycyjne w ramach 15 podstref o łącznej powierzchni 1 071 ha, czy utworzenie Strefy Aktywności Gospodarczej.</w:t>
      </w:r>
    </w:p>
    <w:p w:rsidR="00BA448B" w:rsidRPr="00563EF2" w:rsidRDefault="00BA448B" w:rsidP="00FD7676">
      <w:pPr>
        <w:rPr>
          <w:rFonts w:asciiTheme="minorHAnsi" w:hAnsiTheme="minorHAnsi"/>
          <w:sz w:val="22"/>
        </w:rPr>
      </w:pPr>
    </w:p>
    <w:p w:rsidR="00BA448B" w:rsidRPr="00563EF2" w:rsidRDefault="00BA448B" w:rsidP="00FD7676">
      <w:pPr>
        <w:rPr>
          <w:rFonts w:asciiTheme="minorHAnsi" w:hAnsiTheme="minorHAnsi"/>
          <w:sz w:val="22"/>
        </w:rPr>
      </w:pPr>
      <w:r w:rsidRPr="00563EF2">
        <w:rPr>
          <w:rFonts w:asciiTheme="minorHAnsi" w:hAnsiTheme="minorHAnsi"/>
          <w:sz w:val="22"/>
          <w:u w:val="single"/>
        </w:rPr>
        <w:t>Podstrefa Legnica Legnickiej Specjalnej Strefy Ekonomicznej</w:t>
      </w:r>
      <w:r w:rsidRPr="00563EF2">
        <w:rPr>
          <w:rFonts w:asciiTheme="minorHAnsi" w:hAnsiTheme="minorHAnsi"/>
          <w:sz w:val="22"/>
        </w:rPr>
        <w:t xml:space="preserve"> zajmuje </w:t>
      </w:r>
      <w:r w:rsidR="0033475A">
        <w:rPr>
          <w:rFonts w:asciiTheme="minorHAnsi" w:hAnsiTheme="minorHAnsi"/>
          <w:sz w:val="22"/>
        </w:rPr>
        <w:t>teren o powierzchni 76, 46 ha i </w:t>
      </w:r>
      <w:r w:rsidRPr="00563EF2">
        <w:rPr>
          <w:rFonts w:asciiTheme="minorHAnsi" w:hAnsiTheme="minorHAnsi"/>
          <w:sz w:val="22"/>
        </w:rPr>
        <w:t xml:space="preserve">zagospodarowana jest w 72,93% przez 14 firm. </w:t>
      </w:r>
    </w:p>
    <w:p w:rsidR="00BA448B" w:rsidRPr="00EA4219" w:rsidRDefault="00BA448B"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Mapa </w:t>
      </w:r>
      <w:r w:rsidR="00017794" w:rsidRPr="00EA4219">
        <w:rPr>
          <w:rFonts w:asciiTheme="minorHAnsi" w:hAnsiTheme="minorHAnsi"/>
          <w:sz w:val="20"/>
          <w:szCs w:val="22"/>
        </w:rPr>
        <w:fldChar w:fldCharType="begin"/>
      </w:r>
      <w:r w:rsidR="00997C36" w:rsidRPr="00EA4219">
        <w:rPr>
          <w:rFonts w:asciiTheme="minorHAnsi" w:hAnsiTheme="minorHAnsi"/>
          <w:sz w:val="20"/>
          <w:szCs w:val="22"/>
        </w:rPr>
        <w:instrText xml:space="preserve"> SEQ Mapa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3</w:t>
      </w:r>
      <w:r w:rsidR="00017794" w:rsidRPr="00EA4219">
        <w:rPr>
          <w:rFonts w:asciiTheme="minorHAnsi" w:hAnsiTheme="minorHAnsi"/>
          <w:sz w:val="20"/>
          <w:szCs w:val="22"/>
        </w:rPr>
        <w:fldChar w:fldCharType="end"/>
      </w:r>
      <w:r w:rsidRPr="00EA4219">
        <w:rPr>
          <w:rFonts w:asciiTheme="minorHAnsi" w:hAnsiTheme="minorHAnsi"/>
          <w:sz w:val="20"/>
          <w:szCs w:val="22"/>
        </w:rPr>
        <w:t>. Zagospodarowanie działek Podstrefy Legnica LSSE (stan na 2012 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4283"/>
      </w:tblGrid>
      <w:tr w:rsidR="00BA448B" w:rsidRPr="00563EF2" w:rsidTr="00BA448B">
        <w:tc>
          <w:tcPr>
            <w:tcW w:w="5004" w:type="dxa"/>
          </w:tcPr>
          <w:p w:rsidR="00BA448B" w:rsidRPr="00563EF2" w:rsidRDefault="00BA448B" w:rsidP="00FD7676">
            <w:pPr>
              <w:rPr>
                <w:rFonts w:asciiTheme="minorHAnsi" w:hAnsiTheme="minorHAnsi"/>
              </w:rPr>
            </w:pPr>
            <w:r w:rsidRPr="00563EF2">
              <w:rPr>
                <w:rFonts w:asciiTheme="minorHAnsi" w:hAnsiTheme="minorHAnsi"/>
                <w:noProof/>
                <w:lang w:eastAsia="pl-PL"/>
              </w:rPr>
              <w:drawing>
                <wp:inline distT="0" distB="0" distL="0" distR="0" wp14:anchorId="10B9D4F6" wp14:editId="442BA819">
                  <wp:extent cx="3622040" cy="4286885"/>
                  <wp:effectExtent l="19050" t="0" r="0" b="0"/>
                  <wp:docPr id="30" name="Obraz 3" descr="legnica_201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nica_2012_EN"/>
                          <pic:cNvPicPr>
                            <a:picLocks noChangeAspect="1" noChangeArrowheads="1"/>
                          </pic:cNvPicPr>
                        </pic:nvPicPr>
                        <pic:blipFill>
                          <a:blip r:embed="rId46"/>
                          <a:srcRect/>
                          <a:stretch>
                            <a:fillRect/>
                          </a:stretch>
                        </pic:blipFill>
                        <pic:spPr bwMode="auto">
                          <a:xfrm>
                            <a:off x="0" y="0"/>
                            <a:ext cx="3622040" cy="4286885"/>
                          </a:xfrm>
                          <a:prstGeom prst="rect">
                            <a:avLst/>
                          </a:prstGeom>
                          <a:noFill/>
                          <a:ln w="9525">
                            <a:noFill/>
                            <a:miter lim="800000"/>
                            <a:headEnd/>
                            <a:tailEnd/>
                          </a:ln>
                        </pic:spPr>
                      </pic:pic>
                    </a:graphicData>
                  </a:graphic>
                </wp:inline>
              </w:drawing>
            </w:r>
          </w:p>
        </w:tc>
        <w:tc>
          <w:tcPr>
            <w:tcW w:w="4284" w:type="dxa"/>
          </w:tcPr>
          <w:p w:rsidR="00BA448B" w:rsidRPr="00563EF2" w:rsidRDefault="00BA448B" w:rsidP="00FD7676">
            <w:pPr>
              <w:rPr>
                <w:rFonts w:asciiTheme="minorHAnsi" w:hAnsiTheme="minorHAnsi"/>
              </w:rPr>
            </w:pPr>
            <w:r w:rsidRPr="00563EF2">
              <w:rPr>
                <w:rFonts w:asciiTheme="minorHAnsi" w:hAnsiTheme="minorHAnsi"/>
                <w:noProof/>
                <w:lang w:eastAsia="pl-PL"/>
              </w:rPr>
              <w:drawing>
                <wp:inline distT="0" distB="0" distL="0" distR="0" wp14:anchorId="59DCB2E7" wp14:editId="02C8305F">
                  <wp:extent cx="3073798" cy="4286992"/>
                  <wp:effectExtent l="19050" t="0" r="0" b="0"/>
                  <wp:docPr id="33" name="Obraz 12" descr="C:\Users\hp\Desktop\Legnica_II_201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Legnica_II_2010_EN.jpg"/>
                          <pic:cNvPicPr>
                            <a:picLocks noChangeAspect="1" noChangeArrowheads="1"/>
                          </pic:cNvPicPr>
                        </pic:nvPicPr>
                        <pic:blipFill>
                          <a:blip r:embed="rId47"/>
                          <a:srcRect/>
                          <a:stretch>
                            <a:fillRect/>
                          </a:stretch>
                        </pic:blipFill>
                        <pic:spPr bwMode="auto">
                          <a:xfrm>
                            <a:off x="0" y="0"/>
                            <a:ext cx="3077724" cy="4292468"/>
                          </a:xfrm>
                          <a:prstGeom prst="rect">
                            <a:avLst/>
                          </a:prstGeom>
                          <a:noFill/>
                          <a:ln w="9525">
                            <a:noFill/>
                            <a:miter lim="800000"/>
                            <a:headEnd/>
                            <a:tailEnd/>
                          </a:ln>
                        </pic:spPr>
                      </pic:pic>
                    </a:graphicData>
                  </a:graphic>
                </wp:inline>
              </w:drawing>
            </w:r>
          </w:p>
        </w:tc>
      </w:tr>
      <w:tr w:rsidR="00BA448B" w:rsidRPr="00563EF2" w:rsidTr="00BA448B">
        <w:tc>
          <w:tcPr>
            <w:tcW w:w="9288" w:type="dxa"/>
            <w:gridSpan w:val="2"/>
          </w:tcPr>
          <w:p w:rsidR="00BA448B" w:rsidRPr="00563EF2" w:rsidRDefault="00BA448B" w:rsidP="00FD7676">
            <w:pPr>
              <w:rPr>
                <w:rFonts w:asciiTheme="minorHAnsi" w:hAnsiTheme="minorHAnsi"/>
              </w:rPr>
            </w:pPr>
            <w:r w:rsidRPr="00A50D78">
              <w:rPr>
                <w:rFonts w:asciiTheme="minorHAnsi" w:hAnsiTheme="minorHAnsi"/>
                <w:sz w:val="20"/>
              </w:rPr>
              <w:t>Źródło: http://lsse.eu/podstrefy/legnica/galeria/</w:t>
            </w:r>
          </w:p>
        </w:tc>
      </w:tr>
    </w:tbl>
    <w:p w:rsidR="00BA448B" w:rsidRPr="00563EF2" w:rsidRDefault="00BA448B" w:rsidP="00FD7676">
      <w:pPr>
        <w:rPr>
          <w:rFonts w:asciiTheme="minorHAnsi" w:hAnsiTheme="minorHAnsi"/>
          <w:sz w:val="22"/>
        </w:rPr>
      </w:pPr>
    </w:p>
    <w:p w:rsidR="00BA448B" w:rsidRPr="00563EF2" w:rsidRDefault="00BA448B" w:rsidP="00FD7676">
      <w:pPr>
        <w:rPr>
          <w:rFonts w:asciiTheme="minorHAnsi" w:hAnsiTheme="minorHAnsi"/>
          <w:sz w:val="22"/>
        </w:rPr>
      </w:pPr>
      <w:r w:rsidRPr="00563EF2">
        <w:rPr>
          <w:rFonts w:asciiTheme="minorHAnsi" w:hAnsiTheme="minorHAnsi"/>
          <w:sz w:val="22"/>
        </w:rPr>
        <w:t>LSSE oferuje przedsiębiorstwom pomoc publiczną w postaci zwolnienia z podatku dochodowego</w:t>
      </w:r>
      <w:r w:rsidR="00285D95" w:rsidRPr="00563EF2">
        <w:rPr>
          <w:rFonts w:asciiTheme="minorHAnsi" w:hAnsiTheme="minorHAnsi"/>
          <w:sz w:val="22"/>
        </w:rPr>
        <w:t xml:space="preserve"> oraz atrakcyjn</w:t>
      </w:r>
      <w:r w:rsidR="00F20511">
        <w:rPr>
          <w:rFonts w:asciiTheme="minorHAnsi" w:hAnsiTheme="minorHAnsi"/>
          <w:sz w:val="22"/>
        </w:rPr>
        <w:t>i</w:t>
      </w:r>
      <w:r w:rsidR="00285D95" w:rsidRPr="00563EF2">
        <w:rPr>
          <w:rFonts w:asciiTheme="minorHAnsi" w:hAnsiTheme="minorHAnsi"/>
          <w:sz w:val="22"/>
        </w:rPr>
        <w:t>e zlokalizowane</w:t>
      </w:r>
      <w:r w:rsidR="003B7D0C" w:rsidRPr="00563EF2">
        <w:rPr>
          <w:rFonts w:asciiTheme="minorHAnsi" w:hAnsiTheme="minorHAnsi"/>
          <w:sz w:val="22"/>
        </w:rPr>
        <w:t xml:space="preserve">, wysokiej jakości tereny inwestycyjne przygotowane pod zabudowę przemysłową i usługową, wyposażone w infrastrukturę techniczną. </w:t>
      </w:r>
    </w:p>
    <w:p w:rsidR="00285D95" w:rsidRPr="00EA4219" w:rsidRDefault="00285D95" w:rsidP="00FD7676">
      <w:pPr>
        <w:rPr>
          <w:rFonts w:asciiTheme="minorHAnsi" w:hAnsiTheme="minorHAnsi"/>
          <w:sz w:val="20"/>
        </w:rPr>
      </w:pPr>
    </w:p>
    <w:p w:rsidR="006E0315" w:rsidRPr="00EA4219" w:rsidRDefault="006E0315"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00997C36"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32</w:t>
      </w:r>
      <w:r w:rsidR="00017794" w:rsidRPr="00EA4219">
        <w:rPr>
          <w:rFonts w:asciiTheme="minorHAnsi" w:hAnsiTheme="minorHAnsi"/>
          <w:sz w:val="20"/>
          <w:szCs w:val="22"/>
        </w:rPr>
        <w:fldChar w:fldCharType="end"/>
      </w:r>
      <w:r w:rsidRPr="00EA4219">
        <w:rPr>
          <w:rFonts w:asciiTheme="minorHAnsi" w:hAnsiTheme="minorHAnsi"/>
          <w:sz w:val="20"/>
          <w:szCs w:val="22"/>
        </w:rPr>
        <w:t>. Lista przedsiębiorców, którzy zainwestowali w Podstrefie Legnica</w:t>
      </w:r>
      <w:r w:rsidRPr="00EA4219">
        <w:rPr>
          <w:rFonts w:asciiTheme="minorHAnsi" w:hAnsiTheme="minorHAnsi"/>
          <w:noProof/>
          <w:sz w:val="20"/>
          <w:szCs w:val="22"/>
        </w:rPr>
        <w:t xml:space="preserve"> (stan na 03.2013 r.)</w:t>
      </w:r>
    </w:p>
    <w:tbl>
      <w:tblPr>
        <w:tblStyle w:val="Jasnasiatkaakcent11"/>
        <w:tblW w:w="0" w:type="auto"/>
        <w:tblLook w:val="04A0" w:firstRow="1" w:lastRow="0" w:firstColumn="1" w:lastColumn="0" w:noHBand="0" w:noVBand="1"/>
      </w:tblPr>
      <w:tblGrid>
        <w:gridCol w:w="2315"/>
        <w:gridCol w:w="2755"/>
        <w:gridCol w:w="2268"/>
        <w:gridCol w:w="1950"/>
      </w:tblGrid>
      <w:tr w:rsidR="003B7D0C" w:rsidRPr="00C640C5" w:rsidTr="008E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3B7D0C" w:rsidP="00FD7676">
            <w:pPr>
              <w:rPr>
                <w:rFonts w:asciiTheme="minorHAnsi" w:hAnsiTheme="minorHAnsi"/>
                <w:sz w:val="20"/>
              </w:rPr>
            </w:pPr>
            <w:r w:rsidRPr="00C640C5">
              <w:rPr>
                <w:rFonts w:asciiTheme="minorHAnsi" w:hAnsiTheme="minorHAnsi"/>
                <w:sz w:val="20"/>
              </w:rPr>
              <w:t>Inwestor</w:t>
            </w:r>
          </w:p>
        </w:tc>
        <w:tc>
          <w:tcPr>
            <w:tcW w:w="2755" w:type="dxa"/>
          </w:tcPr>
          <w:p w:rsidR="003B7D0C" w:rsidRPr="00C640C5" w:rsidRDefault="003B7D0C"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Kraj pochodzenia kapitału</w:t>
            </w:r>
            <w:r w:rsidR="006E0315" w:rsidRPr="00C640C5">
              <w:rPr>
                <w:rFonts w:asciiTheme="minorHAnsi" w:hAnsiTheme="minorHAnsi"/>
                <w:sz w:val="20"/>
              </w:rPr>
              <w:t xml:space="preserve"> (wg głównego udziałowca)</w:t>
            </w:r>
          </w:p>
        </w:tc>
        <w:tc>
          <w:tcPr>
            <w:tcW w:w="2268" w:type="dxa"/>
          </w:tcPr>
          <w:p w:rsidR="003B7D0C" w:rsidRPr="00C640C5" w:rsidRDefault="003B7D0C"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Poniesione nakłady inwestycyjne</w:t>
            </w:r>
            <w:r w:rsidR="006E0315" w:rsidRPr="00C640C5">
              <w:rPr>
                <w:rFonts w:asciiTheme="minorHAnsi" w:hAnsiTheme="minorHAnsi"/>
                <w:sz w:val="20"/>
              </w:rPr>
              <w:t xml:space="preserve"> (w zł)</w:t>
            </w:r>
          </w:p>
        </w:tc>
        <w:tc>
          <w:tcPr>
            <w:tcW w:w="1950" w:type="dxa"/>
          </w:tcPr>
          <w:p w:rsidR="003B7D0C" w:rsidRPr="00C640C5" w:rsidRDefault="003B7D0C"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Liczba zatrudnionych</w:t>
            </w:r>
          </w:p>
        </w:tc>
      </w:tr>
      <w:tr w:rsidR="003B7D0C"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3B7D0C" w:rsidP="00FD7676">
            <w:pPr>
              <w:rPr>
                <w:rFonts w:asciiTheme="minorHAnsi" w:hAnsiTheme="minorHAnsi"/>
                <w:sz w:val="20"/>
              </w:rPr>
            </w:pPr>
            <w:r w:rsidRPr="00C640C5">
              <w:rPr>
                <w:rFonts w:asciiTheme="minorHAnsi" w:hAnsiTheme="minorHAnsi"/>
                <w:sz w:val="20"/>
              </w:rPr>
              <w:t>Winkelmann Sp. z o.o.</w:t>
            </w:r>
          </w:p>
        </w:tc>
        <w:tc>
          <w:tcPr>
            <w:tcW w:w="2755"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304 397 250</w:t>
            </w:r>
          </w:p>
        </w:tc>
        <w:tc>
          <w:tcPr>
            <w:tcW w:w="1950"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1 072</w:t>
            </w:r>
          </w:p>
        </w:tc>
      </w:tr>
      <w:tr w:rsidR="003B7D0C"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Uzin Polska Produkty Budowlane Sp. z o.o.</w:t>
            </w:r>
          </w:p>
        </w:tc>
        <w:tc>
          <w:tcPr>
            <w:tcW w:w="2755"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14 617 873</w:t>
            </w:r>
          </w:p>
        </w:tc>
        <w:tc>
          <w:tcPr>
            <w:tcW w:w="1950"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18</w:t>
            </w:r>
          </w:p>
        </w:tc>
      </w:tr>
      <w:tr w:rsidR="003B7D0C"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Viessmann Technika Grzewcza Sp. z o.o.</w:t>
            </w:r>
          </w:p>
        </w:tc>
        <w:tc>
          <w:tcPr>
            <w:tcW w:w="2755"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118 382 720</w:t>
            </w:r>
          </w:p>
        </w:tc>
        <w:tc>
          <w:tcPr>
            <w:tcW w:w="1950"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454</w:t>
            </w:r>
          </w:p>
        </w:tc>
      </w:tr>
      <w:tr w:rsidR="003B7D0C"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Gates Polska Sp. z o.o.</w:t>
            </w:r>
          </w:p>
        </w:tc>
        <w:tc>
          <w:tcPr>
            <w:tcW w:w="2755"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USA</w:t>
            </w:r>
          </w:p>
        </w:tc>
        <w:tc>
          <w:tcPr>
            <w:tcW w:w="2268"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272 083 875</w:t>
            </w:r>
          </w:p>
        </w:tc>
        <w:tc>
          <w:tcPr>
            <w:tcW w:w="1950"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498</w:t>
            </w:r>
          </w:p>
        </w:tc>
      </w:tr>
      <w:tr w:rsidR="003B7D0C"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C + P Systemy Meblowe Sp. z o.o.</w:t>
            </w:r>
          </w:p>
        </w:tc>
        <w:tc>
          <w:tcPr>
            <w:tcW w:w="2755"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24 154 701</w:t>
            </w:r>
          </w:p>
        </w:tc>
        <w:tc>
          <w:tcPr>
            <w:tcW w:w="1950"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117</w:t>
            </w:r>
          </w:p>
        </w:tc>
      </w:tr>
      <w:tr w:rsidR="003B7D0C"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Brugmann Fabryka Grzejników Sp. z o.o.</w:t>
            </w:r>
          </w:p>
        </w:tc>
        <w:tc>
          <w:tcPr>
            <w:tcW w:w="2755"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Holandia</w:t>
            </w:r>
          </w:p>
        </w:tc>
        <w:tc>
          <w:tcPr>
            <w:tcW w:w="2268"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55 709 825</w:t>
            </w:r>
          </w:p>
        </w:tc>
        <w:tc>
          <w:tcPr>
            <w:tcW w:w="1950"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80</w:t>
            </w:r>
          </w:p>
        </w:tc>
      </w:tr>
      <w:tr w:rsidR="003B7D0C"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ANIMAK-KOPCZA S.C. J.E. Kopcza</w:t>
            </w:r>
          </w:p>
        </w:tc>
        <w:tc>
          <w:tcPr>
            <w:tcW w:w="2755"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Polska</w:t>
            </w:r>
          </w:p>
        </w:tc>
        <w:tc>
          <w:tcPr>
            <w:tcW w:w="2268"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8 060 089</w:t>
            </w:r>
          </w:p>
        </w:tc>
        <w:tc>
          <w:tcPr>
            <w:tcW w:w="1950"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39</w:t>
            </w:r>
          </w:p>
        </w:tc>
      </w:tr>
      <w:tr w:rsidR="003B7D0C"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Faurecia Legnica Sp. z o.o.</w:t>
            </w:r>
          </w:p>
        </w:tc>
        <w:tc>
          <w:tcPr>
            <w:tcW w:w="2755"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Francja</w:t>
            </w:r>
          </w:p>
        </w:tc>
        <w:tc>
          <w:tcPr>
            <w:tcW w:w="2268"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164 657 000</w:t>
            </w:r>
          </w:p>
        </w:tc>
        <w:tc>
          <w:tcPr>
            <w:tcW w:w="1950"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324</w:t>
            </w:r>
          </w:p>
        </w:tc>
      </w:tr>
      <w:tr w:rsidR="003B7D0C"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6E0315" w:rsidRPr="00C640C5" w:rsidRDefault="006E0315" w:rsidP="00FD7676">
            <w:pPr>
              <w:rPr>
                <w:rFonts w:asciiTheme="minorHAnsi" w:hAnsiTheme="minorHAnsi"/>
                <w:sz w:val="20"/>
              </w:rPr>
            </w:pPr>
            <w:r w:rsidRPr="00C640C5">
              <w:rPr>
                <w:rFonts w:asciiTheme="minorHAnsi" w:hAnsiTheme="minorHAnsi"/>
                <w:sz w:val="20"/>
              </w:rPr>
              <w:t>Rileta Sp. z o.o.</w:t>
            </w:r>
          </w:p>
        </w:tc>
        <w:tc>
          <w:tcPr>
            <w:tcW w:w="2755"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 xml:space="preserve">Niemcy </w:t>
            </w:r>
          </w:p>
        </w:tc>
        <w:tc>
          <w:tcPr>
            <w:tcW w:w="2268"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22 284 737</w:t>
            </w:r>
          </w:p>
        </w:tc>
        <w:tc>
          <w:tcPr>
            <w:tcW w:w="1950" w:type="dxa"/>
          </w:tcPr>
          <w:p w:rsidR="003B7D0C"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101</w:t>
            </w:r>
          </w:p>
        </w:tc>
      </w:tr>
      <w:tr w:rsidR="003B7D0C"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3B7D0C" w:rsidRPr="00C640C5" w:rsidRDefault="006E0315" w:rsidP="00FD7676">
            <w:pPr>
              <w:rPr>
                <w:rFonts w:asciiTheme="minorHAnsi" w:hAnsiTheme="minorHAnsi"/>
                <w:sz w:val="20"/>
              </w:rPr>
            </w:pPr>
            <w:r w:rsidRPr="00C640C5">
              <w:rPr>
                <w:rFonts w:asciiTheme="minorHAnsi" w:hAnsiTheme="minorHAnsi"/>
                <w:sz w:val="20"/>
              </w:rPr>
              <w:t>Wezi-Tec Sp. z o.o.</w:t>
            </w:r>
          </w:p>
        </w:tc>
        <w:tc>
          <w:tcPr>
            <w:tcW w:w="2755"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96 097 950</w:t>
            </w:r>
          </w:p>
        </w:tc>
        <w:tc>
          <w:tcPr>
            <w:tcW w:w="1950" w:type="dxa"/>
          </w:tcPr>
          <w:p w:rsidR="003B7D0C"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341</w:t>
            </w:r>
          </w:p>
        </w:tc>
      </w:tr>
      <w:tr w:rsidR="006E0315" w:rsidRPr="00C640C5" w:rsidTr="008E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6E0315" w:rsidRPr="00C640C5" w:rsidRDefault="006E0315" w:rsidP="00FD7676">
            <w:pPr>
              <w:rPr>
                <w:rFonts w:asciiTheme="minorHAnsi" w:hAnsiTheme="minorHAnsi"/>
                <w:sz w:val="20"/>
              </w:rPr>
            </w:pPr>
            <w:r w:rsidRPr="00C640C5">
              <w:rPr>
                <w:rFonts w:asciiTheme="minorHAnsi" w:hAnsiTheme="minorHAnsi"/>
                <w:sz w:val="20"/>
              </w:rPr>
              <w:t>TBMeca Poland Sp. z o.o.</w:t>
            </w:r>
          </w:p>
        </w:tc>
        <w:tc>
          <w:tcPr>
            <w:tcW w:w="2755" w:type="dxa"/>
          </w:tcPr>
          <w:p w:rsidR="006E0315"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Holandia</w:t>
            </w:r>
          </w:p>
        </w:tc>
        <w:tc>
          <w:tcPr>
            <w:tcW w:w="2268" w:type="dxa"/>
          </w:tcPr>
          <w:p w:rsidR="006E0315"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66 873 907</w:t>
            </w:r>
          </w:p>
        </w:tc>
        <w:tc>
          <w:tcPr>
            <w:tcW w:w="1950" w:type="dxa"/>
          </w:tcPr>
          <w:p w:rsidR="006E0315" w:rsidRPr="00C640C5" w:rsidRDefault="006E0315"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108</w:t>
            </w:r>
          </w:p>
        </w:tc>
      </w:tr>
      <w:tr w:rsidR="006E0315" w:rsidRPr="00C640C5" w:rsidTr="008E1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6E0315" w:rsidRPr="00C640C5" w:rsidRDefault="006E0315" w:rsidP="00FD7676">
            <w:pPr>
              <w:rPr>
                <w:rFonts w:asciiTheme="minorHAnsi" w:hAnsiTheme="minorHAnsi"/>
                <w:sz w:val="20"/>
              </w:rPr>
            </w:pPr>
            <w:r w:rsidRPr="00C640C5">
              <w:rPr>
                <w:rFonts w:asciiTheme="minorHAnsi" w:hAnsiTheme="minorHAnsi"/>
                <w:sz w:val="20"/>
              </w:rPr>
              <w:t>Haerter Technika Wytłaczania Sp. z o.o.</w:t>
            </w:r>
          </w:p>
        </w:tc>
        <w:tc>
          <w:tcPr>
            <w:tcW w:w="2755" w:type="dxa"/>
          </w:tcPr>
          <w:p w:rsidR="006E0315"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Niemcy</w:t>
            </w:r>
          </w:p>
        </w:tc>
        <w:tc>
          <w:tcPr>
            <w:tcW w:w="2268" w:type="dxa"/>
          </w:tcPr>
          <w:p w:rsidR="006E0315"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78 354 238</w:t>
            </w:r>
          </w:p>
        </w:tc>
        <w:tc>
          <w:tcPr>
            <w:tcW w:w="1950" w:type="dxa"/>
          </w:tcPr>
          <w:p w:rsidR="006E0315" w:rsidRPr="00C640C5" w:rsidRDefault="006E0315"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215</w:t>
            </w:r>
          </w:p>
        </w:tc>
      </w:tr>
    </w:tbl>
    <w:p w:rsidR="00865253" w:rsidRPr="00A50D78" w:rsidRDefault="006E0315" w:rsidP="00FD7676">
      <w:pPr>
        <w:rPr>
          <w:rFonts w:asciiTheme="minorHAnsi" w:hAnsiTheme="minorHAnsi"/>
          <w:sz w:val="20"/>
        </w:rPr>
      </w:pPr>
      <w:r w:rsidRPr="00A50D78">
        <w:rPr>
          <w:rFonts w:asciiTheme="minorHAnsi" w:hAnsiTheme="minorHAnsi"/>
          <w:sz w:val="20"/>
        </w:rPr>
        <w:t xml:space="preserve">Źródło: </w:t>
      </w:r>
      <w:r w:rsidRPr="00A50D78">
        <w:rPr>
          <w:rFonts w:asciiTheme="minorHAnsi" w:hAnsiTheme="minorHAnsi"/>
          <w:i/>
          <w:sz w:val="20"/>
        </w:rPr>
        <w:t>Legnicki przewodnik inwestora</w:t>
      </w:r>
      <w:r w:rsidRPr="00A50D78">
        <w:rPr>
          <w:rFonts w:asciiTheme="minorHAnsi" w:hAnsiTheme="minorHAnsi"/>
          <w:sz w:val="20"/>
        </w:rPr>
        <w:t xml:space="preserve">, </w:t>
      </w:r>
      <w:r w:rsidR="00475894" w:rsidRPr="00A50D78">
        <w:rPr>
          <w:rFonts w:asciiTheme="minorHAnsi" w:hAnsiTheme="minorHAnsi"/>
          <w:sz w:val="20"/>
        </w:rPr>
        <w:t xml:space="preserve">Urząd Miasta Legnicy, 2013 r. </w:t>
      </w:r>
    </w:p>
    <w:p w:rsidR="00285D95" w:rsidRPr="00563EF2" w:rsidRDefault="00285D95" w:rsidP="00FD7676">
      <w:pPr>
        <w:pStyle w:val="NormalnyWeb"/>
        <w:spacing w:line="276" w:lineRule="auto"/>
        <w:jc w:val="both"/>
        <w:rPr>
          <w:rFonts w:asciiTheme="minorHAnsi" w:hAnsiTheme="minorHAnsi"/>
          <w:color w:val="000000" w:themeColor="text1"/>
          <w:sz w:val="22"/>
          <w:szCs w:val="22"/>
        </w:rPr>
      </w:pPr>
      <w:r w:rsidRPr="00563EF2">
        <w:rPr>
          <w:rFonts w:asciiTheme="minorHAnsi" w:hAnsiTheme="minorHAnsi"/>
          <w:color w:val="000000" w:themeColor="text1"/>
          <w:sz w:val="22"/>
          <w:szCs w:val="22"/>
        </w:rPr>
        <w:t xml:space="preserve">23 lipca 2013 </w:t>
      </w:r>
      <w:hyperlink r:id="rId48" w:tooltip="Rada Ministrów w Polsce" w:history="1">
        <w:r w:rsidRPr="00563EF2">
          <w:rPr>
            <w:rStyle w:val="Hipercze"/>
            <w:rFonts w:asciiTheme="minorHAnsi" w:hAnsiTheme="minorHAnsi"/>
            <w:color w:val="000000" w:themeColor="text1"/>
            <w:sz w:val="22"/>
            <w:szCs w:val="22"/>
            <w:u w:val="none"/>
          </w:rPr>
          <w:t>Rada Ministrów</w:t>
        </w:r>
      </w:hyperlink>
      <w:r w:rsidRPr="00563EF2">
        <w:rPr>
          <w:rFonts w:asciiTheme="minorHAnsi" w:hAnsiTheme="minorHAnsi"/>
          <w:color w:val="000000" w:themeColor="text1"/>
          <w:sz w:val="22"/>
          <w:szCs w:val="22"/>
        </w:rPr>
        <w:t xml:space="preserve"> zmieniła 14 rozporządzeń dotyczących SSE, przedłużając funkcjonowanie stref do </w:t>
      </w:r>
      <w:r w:rsidRPr="00563EF2">
        <w:rPr>
          <w:rFonts w:asciiTheme="minorHAnsi" w:hAnsiTheme="minorHAnsi"/>
          <w:bCs/>
          <w:color w:val="000000" w:themeColor="text1"/>
          <w:sz w:val="22"/>
          <w:szCs w:val="22"/>
        </w:rPr>
        <w:t>31 grudnia 2026 r. Warto zatem wykorzystać ten okres do przyciągnięcia jak największej liczby inwestorów do Legnicy.</w:t>
      </w:r>
    </w:p>
    <w:p w:rsidR="00865253" w:rsidRPr="00563EF2" w:rsidRDefault="00DB47B2" w:rsidP="0033475A">
      <w:pPr>
        <w:pStyle w:val="NormalnyWeb"/>
        <w:spacing w:line="276" w:lineRule="auto"/>
        <w:jc w:val="both"/>
        <w:rPr>
          <w:rFonts w:asciiTheme="minorHAnsi" w:hAnsiTheme="minorHAnsi"/>
          <w:sz w:val="22"/>
          <w:szCs w:val="22"/>
        </w:rPr>
      </w:pPr>
      <w:r w:rsidRPr="00563EF2">
        <w:rPr>
          <w:rFonts w:asciiTheme="minorHAnsi" w:hAnsiTheme="minorHAnsi"/>
          <w:sz w:val="22"/>
          <w:szCs w:val="22"/>
        </w:rPr>
        <w:t>Strefa Aktywności Gospodarczej</w:t>
      </w:r>
      <w:r w:rsidR="00865253" w:rsidRPr="00563EF2">
        <w:rPr>
          <w:rFonts w:asciiTheme="minorHAnsi" w:hAnsiTheme="minorHAnsi"/>
          <w:sz w:val="22"/>
          <w:szCs w:val="22"/>
        </w:rPr>
        <w:t xml:space="preserve"> (SAG) spółka z ograniczoną odpowiedzialnością jest firmą, w której Gmina Legnica posiada 100 % udziałów. SAG zarządza lotniskiem i terenem przyległym, użytkowanym do 1992 roku przez Wojska Federacji Rosyjskiej, o powierzchni ponad 200 hektarów. Dzięki zainwestowaniu kilkudziesięciu milionów złotych (przez różne podmioty gospodarcze) powstały na tym terenie doskonałe warunki do prowadzenia działalności gospodarczej (zagospodarowano budynki oraz zbudowano od podstaw lub zmodernizowano instalacje: wodnokan</w:t>
      </w:r>
      <w:r w:rsidR="0033475A">
        <w:rPr>
          <w:rFonts w:asciiTheme="minorHAnsi" w:hAnsiTheme="minorHAnsi"/>
          <w:sz w:val="22"/>
          <w:szCs w:val="22"/>
        </w:rPr>
        <w:t>alizacyjną, telekomunikacyjną i </w:t>
      </w:r>
      <w:r w:rsidR="00865253" w:rsidRPr="00563EF2">
        <w:rPr>
          <w:rFonts w:asciiTheme="minorHAnsi" w:hAnsiTheme="minorHAnsi"/>
          <w:sz w:val="22"/>
          <w:szCs w:val="22"/>
        </w:rPr>
        <w:t xml:space="preserve">energetyczną). </w:t>
      </w:r>
    </w:p>
    <w:p w:rsidR="00865253" w:rsidRPr="00563EF2" w:rsidRDefault="00865253" w:rsidP="00FD7676">
      <w:pPr>
        <w:spacing w:before="100" w:beforeAutospacing="1" w:after="100" w:afterAutospacing="1"/>
        <w:rPr>
          <w:rFonts w:asciiTheme="minorHAnsi" w:eastAsia="Times New Roman" w:hAnsiTheme="minorHAnsi" w:cs="Times New Roman"/>
          <w:sz w:val="22"/>
          <w:lang w:eastAsia="pl-PL"/>
        </w:rPr>
      </w:pPr>
      <w:r w:rsidRPr="00563EF2">
        <w:rPr>
          <w:rFonts w:asciiTheme="minorHAnsi" w:eastAsia="Times New Roman" w:hAnsiTheme="minorHAnsi" w:cs="Times New Roman"/>
          <w:sz w:val="22"/>
          <w:lang w:eastAsia="pl-PL"/>
        </w:rPr>
        <w:t>Na obszarze zarządzanym przez SAG funkcjonuje ponad 20 różnej wielkości firm, zatrudniających blisko 600 osób.  W pobliżu lotniska powstało duże centrum handlowe. Między innymi uruchomiono hipermarkety: Auchan, Castorama. Funkcjonują także markety Media Expert, Avans, Neonet, Jysk, Pepco, C&amp;A. Działalność produkcyjną realizują firmy Mercus i Gruca.  Grupa Żywiec S.A. uruchomił</w:t>
      </w:r>
      <w:r w:rsidR="003C67A9">
        <w:rPr>
          <w:rFonts w:asciiTheme="minorHAnsi" w:eastAsia="Times New Roman" w:hAnsiTheme="minorHAnsi" w:cs="Times New Roman"/>
          <w:sz w:val="22"/>
          <w:lang w:eastAsia="pl-PL"/>
        </w:rPr>
        <w:t>a</w:t>
      </w:r>
      <w:r w:rsidRPr="00563EF2">
        <w:rPr>
          <w:rFonts w:asciiTheme="minorHAnsi" w:eastAsia="Times New Roman" w:hAnsiTheme="minorHAnsi" w:cs="Times New Roman"/>
          <w:sz w:val="22"/>
          <w:lang w:eastAsia="pl-PL"/>
        </w:rPr>
        <w:t xml:space="preserve"> na jej terenie swo</w:t>
      </w:r>
      <w:r w:rsidR="003C67A9">
        <w:rPr>
          <w:rFonts w:asciiTheme="minorHAnsi" w:eastAsia="Times New Roman" w:hAnsiTheme="minorHAnsi" w:cs="Times New Roman"/>
          <w:sz w:val="22"/>
          <w:lang w:eastAsia="pl-PL"/>
        </w:rPr>
        <w:t>je</w:t>
      </w:r>
      <w:r w:rsidRPr="00563EF2">
        <w:rPr>
          <w:rFonts w:asciiTheme="minorHAnsi" w:eastAsia="Times New Roman" w:hAnsiTheme="minorHAnsi" w:cs="Times New Roman"/>
          <w:sz w:val="22"/>
          <w:lang w:eastAsia="pl-PL"/>
        </w:rPr>
        <w:t xml:space="preserve"> centr</w:t>
      </w:r>
      <w:r w:rsidR="003C67A9">
        <w:rPr>
          <w:rFonts w:asciiTheme="minorHAnsi" w:eastAsia="Times New Roman" w:hAnsiTheme="minorHAnsi" w:cs="Times New Roman"/>
          <w:sz w:val="22"/>
          <w:lang w:eastAsia="pl-PL"/>
        </w:rPr>
        <w:t>um</w:t>
      </w:r>
      <w:r w:rsidRPr="00563EF2">
        <w:rPr>
          <w:rFonts w:asciiTheme="minorHAnsi" w:eastAsia="Times New Roman" w:hAnsiTheme="minorHAnsi" w:cs="Times New Roman"/>
          <w:sz w:val="22"/>
          <w:lang w:eastAsia="pl-PL"/>
        </w:rPr>
        <w:t xml:space="preserve"> logistyczne</w:t>
      </w:r>
      <w:r w:rsidRPr="00563EF2">
        <w:rPr>
          <w:rStyle w:val="Odwoanieprzypisudolnego"/>
          <w:rFonts w:asciiTheme="minorHAnsi" w:eastAsia="Times New Roman" w:hAnsiTheme="minorHAnsi" w:cs="Times New Roman"/>
          <w:sz w:val="22"/>
          <w:lang w:eastAsia="pl-PL"/>
        </w:rPr>
        <w:footnoteReference w:id="22"/>
      </w:r>
      <w:r w:rsidRPr="00563EF2">
        <w:rPr>
          <w:rFonts w:asciiTheme="minorHAnsi" w:eastAsia="Times New Roman" w:hAnsiTheme="minorHAnsi" w:cs="Times New Roman"/>
          <w:sz w:val="22"/>
          <w:lang w:eastAsia="pl-PL"/>
        </w:rPr>
        <w:t xml:space="preserve">. </w:t>
      </w:r>
    </w:p>
    <w:p w:rsidR="00865253" w:rsidRPr="00563EF2" w:rsidRDefault="0043480A" w:rsidP="00FD7676">
      <w:pPr>
        <w:rPr>
          <w:rFonts w:asciiTheme="minorHAnsi" w:hAnsiTheme="minorHAnsi"/>
          <w:sz w:val="22"/>
        </w:rPr>
      </w:pPr>
      <w:r w:rsidRPr="00563EF2">
        <w:rPr>
          <w:rFonts w:asciiTheme="minorHAnsi" w:hAnsiTheme="minorHAnsi"/>
          <w:sz w:val="22"/>
        </w:rPr>
        <w:t xml:space="preserve">Kolejną ważną dla rozwoju przedsiębiorczości instytucją funkcjonującą na terenie Legnicy jest należący do grupy kapitałowej KGHM Polska Miedź S.A. park technologiczny KGHM Letia S.A., którego misją jest kreowanie konkurencyjnej i innowacyjnej gospodarki regionu, poprzez tworzenie korzystnych warunków dla rozwoju inwestycji. </w:t>
      </w:r>
    </w:p>
    <w:p w:rsidR="00DF361C" w:rsidRPr="00563EF2" w:rsidRDefault="00DF361C" w:rsidP="00FD7676">
      <w:pPr>
        <w:rPr>
          <w:rFonts w:asciiTheme="minorHAnsi" w:hAnsiTheme="minorHAnsi"/>
          <w:sz w:val="22"/>
        </w:rPr>
      </w:pPr>
    </w:p>
    <w:p w:rsidR="0043480A" w:rsidRPr="00563EF2" w:rsidRDefault="0043480A" w:rsidP="00FD7676">
      <w:pPr>
        <w:rPr>
          <w:rFonts w:asciiTheme="minorHAnsi" w:hAnsiTheme="minorHAnsi"/>
          <w:sz w:val="22"/>
        </w:rPr>
      </w:pPr>
      <w:r w:rsidRPr="00563EF2">
        <w:rPr>
          <w:rFonts w:asciiTheme="minorHAnsi" w:hAnsiTheme="minorHAnsi"/>
          <w:sz w:val="22"/>
        </w:rPr>
        <w:t>Spółka dysponuje 30 ha gruntów inwestycyjnych oraz dwoma biurowcami położonymi przy legnickiej Hucie Miedzi, a także nowoczesnym biurowcem położonym w centrum Legnicy, o powierzchni ponad 8 000 m², oferującym wynajem wysokiej klasy biur i sal konferencyjnych, dysponującym foyer wystawienniczym, pracownią komputerową, laboratorium rapid prototyping, zapleczem gastronomicznym i hotelarskim.</w:t>
      </w:r>
    </w:p>
    <w:p w:rsidR="00DF361C" w:rsidRPr="00563EF2" w:rsidRDefault="00DF361C" w:rsidP="00FD7676">
      <w:pPr>
        <w:rPr>
          <w:rFonts w:asciiTheme="minorHAnsi" w:hAnsiTheme="minorHAnsi"/>
          <w:sz w:val="22"/>
        </w:rPr>
      </w:pPr>
    </w:p>
    <w:p w:rsidR="005137A7" w:rsidRPr="00563EF2" w:rsidRDefault="005137A7" w:rsidP="00FD7676">
      <w:pPr>
        <w:rPr>
          <w:rFonts w:asciiTheme="minorHAnsi" w:hAnsiTheme="minorHAnsi"/>
          <w:sz w:val="22"/>
        </w:rPr>
      </w:pPr>
      <w:r w:rsidRPr="00563EF2">
        <w:rPr>
          <w:rFonts w:asciiTheme="minorHAnsi" w:hAnsiTheme="minorHAnsi"/>
          <w:sz w:val="22"/>
        </w:rPr>
        <w:t>Inwestorzy zainteresowani podjęciem współpracy mogą liczyć na różne przywileje, m.in. możność korzystania z</w:t>
      </w:r>
      <w:r w:rsidR="00E96088">
        <w:rPr>
          <w:rFonts w:asciiTheme="minorHAnsi" w:hAnsiTheme="minorHAnsi"/>
          <w:sz w:val="22"/>
        </w:rPr>
        <w:t xml:space="preserve"> zaplecza usługowego parku tech</w:t>
      </w:r>
      <w:r w:rsidRPr="00563EF2">
        <w:rPr>
          <w:rFonts w:asciiTheme="minorHAnsi" w:hAnsiTheme="minorHAnsi"/>
          <w:sz w:val="22"/>
        </w:rPr>
        <w:t>nol</w:t>
      </w:r>
      <w:r w:rsidR="00E96088">
        <w:rPr>
          <w:rFonts w:asciiTheme="minorHAnsi" w:hAnsiTheme="minorHAnsi"/>
          <w:sz w:val="22"/>
        </w:rPr>
        <w:t>o</w:t>
      </w:r>
      <w:r w:rsidRPr="00563EF2">
        <w:rPr>
          <w:rFonts w:asciiTheme="minorHAnsi" w:hAnsiTheme="minorHAnsi"/>
          <w:sz w:val="22"/>
        </w:rPr>
        <w:t xml:space="preserve">gicznego, jak i objęcia działalności statusem Specjalnej Strefy Ekonomicznej i zwolnienia podatkowego na okres 5 lat. </w:t>
      </w:r>
      <w:r w:rsidR="006D4674" w:rsidRPr="00563EF2">
        <w:rPr>
          <w:rStyle w:val="Odwoanieprzypisudolnego"/>
          <w:rFonts w:asciiTheme="minorHAnsi" w:hAnsiTheme="minorHAnsi"/>
          <w:sz w:val="22"/>
        </w:rPr>
        <w:footnoteReference w:id="23"/>
      </w:r>
    </w:p>
    <w:p w:rsidR="0010032B" w:rsidRDefault="0010032B" w:rsidP="00FD7676">
      <w:pPr>
        <w:rPr>
          <w:rFonts w:asciiTheme="minorHAnsi" w:hAnsiTheme="minorHAnsi"/>
          <w:sz w:val="22"/>
        </w:rPr>
      </w:pPr>
    </w:p>
    <w:p w:rsidR="0010032B" w:rsidRDefault="0010032B" w:rsidP="00FD7676">
      <w:pPr>
        <w:rPr>
          <w:rFonts w:asciiTheme="minorHAnsi" w:hAnsiTheme="minorHAnsi"/>
          <w:sz w:val="22"/>
        </w:rPr>
      </w:pPr>
      <w:r>
        <w:rPr>
          <w:rFonts w:asciiTheme="minorHAnsi" w:hAnsiTheme="minorHAnsi"/>
          <w:sz w:val="22"/>
        </w:rPr>
        <w:br w:type="page"/>
      </w:r>
    </w:p>
    <w:p w:rsidR="00FC5D28" w:rsidRPr="00563EF2" w:rsidRDefault="00FC5D28" w:rsidP="00FD7676">
      <w:pPr>
        <w:rPr>
          <w:rFonts w:asciiTheme="minorHAnsi" w:hAnsiTheme="minorHAnsi"/>
          <w:sz w:val="22"/>
        </w:rPr>
      </w:pPr>
      <w:r w:rsidRPr="00563EF2">
        <w:rPr>
          <w:rFonts w:asciiTheme="minorHAnsi" w:hAnsiTheme="minorHAnsi"/>
          <w:sz w:val="22"/>
        </w:rPr>
        <w:t>Ponadto jednostkami otoczenia biznesu wspierającymi lokalnych przedsiębiorców są:</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Cech Rzemiosł Różnych,</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Legnicki Klub Biznesu,</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Agencja Rozwoju Regionalnego „ARLEG” S.A.,</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Rada Federacji Stowarzyszeń Naukowo-Technicznych NOT „Zagłębia Miedziowego”,</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Federacja Pracodawców Polski Zachodniej,</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Izba Przemysłowo-Handlowa,</w:t>
      </w:r>
    </w:p>
    <w:p w:rsidR="00FC5D28" w:rsidRPr="00563EF2" w:rsidRDefault="00FC5D28" w:rsidP="00BC166D">
      <w:pPr>
        <w:pStyle w:val="Akapitzlist"/>
        <w:numPr>
          <w:ilvl w:val="0"/>
          <w:numId w:val="29"/>
        </w:numPr>
        <w:rPr>
          <w:rFonts w:asciiTheme="minorHAnsi" w:hAnsiTheme="minorHAnsi"/>
          <w:sz w:val="22"/>
        </w:rPr>
      </w:pPr>
      <w:r w:rsidRPr="00563EF2">
        <w:rPr>
          <w:rFonts w:asciiTheme="minorHAnsi" w:hAnsiTheme="minorHAnsi"/>
          <w:sz w:val="22"/>
        </w:rPr>
        <w:t>Punkt Obsługi Funduszu Pożyczkowego Polskiej Fundacji Przedsiębiorczości w Szczecinie.</w:t>
      </w:r>
    </w:p>
    <w:p w:rsidR="00ED0DD8" w:rsidRPr="00563EF2" w:rsidRDefault="00ED0DD8" w:rsidP="00FD7676">
      <w:pPr>
        <w:rPr>
          <w:rFonts w:asciiTheme="minorHAnsi" w:hAnsiTheme="minorHAnsi"/>
          <w:sz w:val="22"/>
        </w:rPr>
      </w:pPr>
    </w:p>
    <w:p w:rsidR="00DB47B2" w:rsidRPr="00563EF2" w:rsidRDefault="00CD4EB2" w:rsidP="00EC5484">
      <w:pPr>
        <w:pStyle w:val="Nagwek3"/>
        <w:rPr>
          <w:b w:val="0"/>
        </w:rPr>
      </w:pPr>
      <w:bookmarkStart w:id="37" w:name="_Toc399756324"/>
      <w:r w:rsidRPr="00563EF2">
        <w:rPr>
          <w:b w:val="0"/>
        </w:rPr>
        <w:t>Tereny inwestycyjne</w:t>
      </w:r>
      <w:bookmarkEnd w:id="37"/>
    </w:p>
    <w:p w:rsidR="006D4674" w:rsidRPr="00563EF2" w:rsidRDefault="006D4674" w:rsidP="00FD7676">
      <w:pPr>
        <w:rPr>
          <w:rFonts w:asciiTheme="minorHAnsi" w:hAnsiTheme="minorHAnsi"/>
          <w:b/>
          <w:sz w:val="22"/>
        </w:rPr>
      </w:pPr>
    </w:p>
    <w:p w:rsidR="000C3ED9" w:rsidRPr="00563EF2" w:rsidRDefault="00CD4EB2" w:rsidP="00CD4EB2">
      <w:pPr>
        <w:spacing w:after="200"/>
        <w:rPr>
          <w:rFonts w:asciiTheme="minorHAnsi" w:hAnsiTheme="minorHAnsi"/>
          <w:sz w:val="22"/>
        </w:rPr>
      </w:pPr>
      <w:r w:rsidRPr="00563EF2">
        <w:rPr>
          <w:rFonts w:asciiTheme="minorHAnsi" w:hAnsiTheme="minorHAnsi"/>
          <w:sz w:val="22"/>
        </w:rPr>
        <w:t>Miasto Legnica posiada liczne tereny o wysokiej atrakcyjności inwestycyjnej zarówno dla działalności gospodarczej , handlowej</w:t>
      </w:r>
      <w:r w:rsidR="00F20511">
        <w:rPr>
          <w:rFonts w:asciiTheme="minorHAnsi" w:hAnsiTheme="minorHAnsi"/>
          <w:sz w:val="22"/>
        </w:rPr>
        <w:t>,</w:t>
      </w:r>
      <w:r w:rsidRPr="00563EF2">
        <w:rPr>
          <w:rFonts w:asciiTheme="minorHAnsi" w:hAnsiTheme="minorHAnsi"/>
          <w:sz w:val="22"/>
        </w:rPr>
        <w:t xml:space="preserve"> jak i deweloperskiej.</w:t>
      </w:r>
      <w:r w:rsidR="007958F8" w:rsidRPr="00563EF2">
        <w:rPr>
          <w:rFonts w:asciiTheme="minorHAnsi" w:hAnsiTheme="minorHAnsi"/>
          <w:sz w:val="22"/>
        </w:rPr>
        <w:t xml:space="preserve"> Tereny te obejmują zarówno tereny zlokalizowane na obrzeżach miasta przy najważniejszych szlakach komunikacyjnych, jak i  w wewnętrznej strukturze miasta.</w:t>
      </w:r>
      <w:r w:rsidRPr="00563EF2">
        <w:rPr>
          <w:rFonts w:asciiTheme="minorHAnsi" w:hAnsiTheme="minorHAnsi"/>
          <w:sz w:val="22"/>
        </w:rPr>
        <w:t xml:space="preserve"> Łączna powierzchnia terenów przeznaczonych pod inwestycje to 1018,41 ha (około 19% powierzchni Miasta)</w:t>
      </w:r>
      <w:r w:rsidR="00F20511">
        <w:rPr>
          <w:rFonts w:asciiTheme="minorHAnsi" w:hAnsiTheme="minorHAnsi"/>
          <w:sz w:val="22"/>
        </w:rPr>
        <w:t>.</w:t>
      </w:r>
    </w:p>
    <w:p w:rsidR="000C3ED9" w:rsidRPr="00EA4219" w:rsidRDefault="000C3ED9" w:rsidP="00FD7676">
      <w:pPr>
        <w:pStyle w:val="Legenda"/>
        <w:keepNext/>
        <w:spacing w:line="276" w:lineRule="auto"/>
        <w:rPr>
          <w:rFonts w:asciiTheme="minorHAnsi" w:hAnsiTheme="minorHAnsi"/>
          <w:sz w:val="20"/>
        </w:rPr>
      </w:pPr>
      <w:r w:rsidRPr="00EA4219">
        <w:rPr>
          <w:rFonts w:asciiTheme="minorHAnsi" w:hAnsiTheme="minorHAnsi"/>
          <w:sz w:val="20"/>
        </w:rPr>
        <w:t xml:space="preserve">Tabela </w:t>
      </w:r>
      <w:r w:rsidR="00017794" w:rsidRPr="00EA4219">
        <w:rPr>
          <w:rFonts w:asciiTheme="minorHAnsi" w:hAnsiTheme="minorHAnsi"/>
          <w:sz w:val="20"/>
        </w:rPr>
        <w:fldChar w:fldCharType="begin"/>
      </w:r>
      <w:r w:rsidR="002C322A" w:rsidRPr="00EA4219">
        <w:rPr>
          <w:rFonts w:asciiTheme="minorHAnsi" w:hAnsiTheme="minorHAnsi"/>
          <w:sz w:val="20"/>
        </w:rPr>
        <w:instrText xml:space="preserve"> SEQ Tabela \* ARABIC </w:instrText>
      </w:r>
      <w:r w:rsidR="00017794" w:rsidRPr="00EA4219">
        <w:rPr>
          <w:rFonts w:asciiTheme="minorHAnsi" w:hAnsiTheme="minorHAnsi"/>
          <w:sz w:val="20"/>
        </w:rPr>
        <w:fldChar w:fldCharType="separate"/>
      </w:r>
      <w:r w:rsidR="007B2916">
        <w:rPr>
          <w:rFonts w:asciiTheme="minorHAnsi" w:hAnsiTheme="minorHAnsi"/>
          <w:noProof/>
          <w:sz w:val="20"/>
        </w:rPr>
        <w:t>33</w:t>
      </w:r>
      <w:r w:rsidR="00017794" w:rsidRPr="00EA4219">
        <w:rPr>
          <w:rFonts w:asciiTheme="minorHAnsi" w:hAnsiTheme="minorHAnsi"/>
          <w:sz w:val="20"/>
        </w:rPr>
        <w:fldChar w:fldCharType="end"/>
      </w:r>
      <w:r w:rsidRPr="00EA4219">
        <w:rPr>
          <w:rFonts w:asciiTheme="minorHAnsi" w:hAnsiTheme="minorHAnsi"/>
          <w:sz w:val="20"/>
        </w:rPr>
        <w:t>. Tereny atrakcyjne pod względem  inwestycyjnym  wyznaczone w "Mapie dostępności i wartości inwestycyjnej miasta Legnicy"</w:t>
      </w:r>
    </w:p>
    <w:tbl>
      <w:tblPr>
        <w:tblStyle w:val="Jasnasiatkaakcent11"/>
        <w:tblW w:w="9629" w:type="dxa"/>
        <w:tblLook w:val="04A0" w:firstRow="1" w:lastRow="0" w:firstColumn="1" w:lastColumn="0" w:noHBand="0" w:noVBand="1"/>
      </w:tblPr>
      <w:tblGrid>
        <w:gridCol w:w="557"/>
        <w:gridCol w:w="6096"/>
        <w:gridCol w:w="1616"/>
        <w:gridCol w:w="1438"/>
      </w:tblGrid>
      <w:tr w:rsidR="000C3ED9" w:rsidRPr="00C640C5" w:rsidTr="00E757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lef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Lp.</w:t>
            </w:r>
          </w:p>
        </w:tc>
        <w:tc>
          <w:tcPr>
            <w:tcW w:w="6096" w:type="dxa"/>
            <w:noWrap/>
            <w:hideMark/>
          </w:tcPr>
          <w:p w:rsidR="000C3ED9" w:rsidRPr="00C640C5" w:rsidRDefault="000C3ED9" w:rsidP="00FD7676">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Tereny inwestycyjne o dominujących funkcjach wytyczone na "Mapie dostę</w:t>
            </w:r>
            <w:r w:rsidR="00E96088" w:rsidRPr="00C640C5">
              <w:rPr>
                <w:rFonts w:asciiTheme="minorHAnsi" w:eastAsia="Times New Roman" w:hAnsiTheme="minorHAnsi" w:cs="Times New Roman"/>
                <w:color w:val="000000"/>
                <w:sz w:val="22"/>
                <w:lang w:eastAsia="pl-PL"/>
              </w:rPr>
              <w:t>p</w:t>
            </w:r>
            <w:r w:rsidRPr="00C640C5">
              <w:rPr>
                <w:rFonts w:asciiTheme="minorHAnsi" w:eastAsia="Times New Roman" w:hAnsiTheme="minorHAnsi" w:cs="Times New Roman"/>
                <w:color w:val="000000"/>
                <w:sz w:val="22"/>
                <w:lang w:eastAsia="pl-PL"/>
              </w:rPr>
              <w:t>ności i wartości inwestycyjnej Miasta Legnicy"</w:t>
            </w:r>
          </w:p>
        </w:tc>
        <w:tc>
          <w:tcPr>
            <w:tcW w:w="1616" w:type="dxa"/>
            <w:noWrap/>
            <w:hideMark/>
          </w:tcPr>
          <w:p w:rsidR="000C3ED9" w:rsidRPr="00C640C5" w:rsidRDefault="000C3ED9" w:rsidP="00FD7676">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Liczba terenów inwestycyjnych</w:t>
            </w:r>
          </w:p>
        </w:tc>
        <w:tc>
          <w:tcPr>
            <w:tcW w:w="1360" w:type="dxa"/>
            <w:noWrap/>
            <w:hideMark/>
          </w:tcPr>
          <w:p w:rsidR="000C3ED9" w:rsidRPr="00C640C5" w:rsidRDefault="000C3ED9" w:rsidP="00FD7676">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Łączna powierzchnia (ha)</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usługi</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220,61</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produkcja, usługi</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7</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247,26</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3</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usługi</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7</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44,21</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4</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5</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82,47</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5</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i wielorodzinna, usługi</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4</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74,72</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6</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wielorodzinna, usługi</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36,94</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7</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usługi (obsługa komunikacji samochodowej)</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13,63</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8</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w:t>
            </w:r>
            <w:r w:rsidR="00F20511">
              <w:rPr>
                <w:rFonts w:asciiTheme="minorHAnsi" w:eastAsia="Times New Roman" w:hAnsiTheme="minorHAnsi" w:cs="Times New Roman"/>
                <w:color w:val="000000"/>
                <w:sz w:val="22"/>
                <w:lang w:eastAsia="pl-PL"/>
              </w:rPr>
              <w:t>a</w:t>
            </w:r>
            <w:r w:rsidRPr="00C640C5">
              <w:rPr>
                <w:rFonts w:asciiTheme="minorHAnsi" w:eastAsia="Times New Roman" w:hAnsiTheme="minorHAnsi" w:cs="Times New Roman"/>
                <w:color w:val="000000"/>
                <w:sz w:val="22"/>
                <w:lang w:eastAsia="pl-PL"/>
              </w:rPr>
              <w:t>niowa, wielorodzinna</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9,33</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9</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produkcja, usługi</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71,63</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10</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usługi (centrum logistyczne)</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65,19</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11</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produkcja</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53,48</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12</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usługi sportu i rekreacji</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27,26</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13</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produkcja, usługi</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21,81</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14</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usługi sportu i rekreacji</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17,46</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15</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 xml:space="preserve">usługi, produkcja, obsługa komunikacji samochodowej </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11,69</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16</w:t>
            </w:r>
          </w:p>
        </w:tc>
        <w:tc>
          <w:tcPr>
            <w:tcW w:w="6096" w:type="dxa"/>
            <w:noWrap/>
            <w:hideMark/>
          </w:tcPr>
          <w:p w:rsidR="000C3ED9" w:rsidRPr="00C640C5" w:rsidRDefault="000C3ED9" w:rsidP="00FD7676">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i mieszkaniowo-usługowa</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11,34</w:t>
            </w:r>
          </w:p>
        </w:tc>
      </w:tr>
      <w:tr w:rsidR="000C3ED9" w:rsidRPr="00C640C5" w:rsidTr="00E757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rsidR="000C3ED9" w:rsidRPr="00C640C5" w:rsidRDefault="000C3ED9" w:rsidP="00FD7676">
            <w:pPr>
              <w:jc w:val="righ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17</w:t>
            </w:r>
          </w:p>
        </w:tc>
        <w:tc>
          <w:tcPr>
            <w:tcW w:w="6096" w:type="dxa"/>
            <w:noWrap/>
            <w:hideMark/>
          </w:tcPr>
          <w:p w:rsidR="000C3ED9" w:rsidRPr="00C640C5" w:rsidRDefault="000C3ED9" w:rsidP="00FD767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zabudowa mieszkaniowa jednorodzinna i wielorodzinna</w:t>
            </w:r>
          </w:p>
        </w:tc>
        <w:tc>
          <w:tcPr>
            <w:tcW w:w="1616"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w:t>
            </w:r>
          </w:p>
        </w:tc>
        <w:tc>
          <w:tcPr>
            <w:tcW w:w="1360" w:type="dxa"/>
            <w:noWrap/>
            <w:hideMark/>
          </w:tcPr>
          <w:p w:rsidR="000C3ED9" w:rsidRPr="00C640C5" w:rsidRDefault="000C3ED9" w:rsidP="00FD767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9,38</w:t>
            </w:r>
          </w:p>
        </w:tc>
      </w:tr>
      <w:tr w:rsidR="000C3ED9" w:rsidRPr="00C640C5" w:rsidTr="00E757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3" w:type="dxa"/>
            <w:gridSpan w:val="2"/>
            <w:noWrap/>
            <w:hideMark/>
          </w:tcPr>
          <w:p w:rsidR="000C3ED9" w:rsidRPr="00C640C5" w:rsidRDefault="000C3ED9" w:rsidP="00FD7676">
            <w:pPr>
              <w:jc w:val="left"/>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Razem</w:t>
            </w:r>
          </w:p>
        </w:tc>
        <w:tc>
          <w:tcPr>
            <w:tcW w:w="1616"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49</w:t>
            </w:r>
          </w:p>
        </w:tc>
        <w:tc>
          <w:tcPr>
            <w:tcW w:w="1360" w:type="dxa"/>
            <w:noWrap/>
            <w:hideMark/>
          </w:tcPr>
          <w:p w:rsidR="000C3ED9" w:rsidRPr="00C640C5" w:rsidRDefault="000C3ED9" w:rsidP="00FD767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lang w:eastAsia="pl-PL"/>
              </w:rPr>
            </w:pPr>
            <w:r w:rsidRPr="00C640C5">
              <w:rPr>
                <w:rFonts w:asciiTheme="minorHAnsi" w:eastAsia="Times New Roman" w:hAnsiTheme="minorHAnsi" w:cs="Times New Roman"/>
                <w:color w:val="000000"/>
                <w:sz w:val="22"/>
                <w:lang w:eastAsia="pl-PL"/>
              </w:rPr>
              <w:t>1018,41</w:t>
            </w:r>
          </w:p>
        </w:tc>
      </w:tr>
    </w:tbl>
    <w:p w:rsidR="00616FAE" w:rsidRPr="00A50D78" w:rsidRDefault="000C3ED9" w:rsidP="00FD7676">
      <w:pPr>
        <w:spacing w:after="200"/>
        <w:rPr>
          <w:rFonts w:asciiTheme="minorHAnsi" w:hAnsiTheme="minorHAnsi"/>
          <w:sz w:val="20"/>
        </w:rPr>
      </w:pPr>
      <w:r w:rsidRPr="00A50D78">
        <w:rPr>
          <w:rFonts w:asciiTheme="minorHAnsi" w:hAnsiTheme="minorHAnsi"/>
          <w:sz w:val="20"/>
        </w:rPr>
        <w:t>Źródło</w:t>
      </w:r>
      <w:r w:rsidRPr="00A50D78">
        <w:rPr>
          <w:rFonts w:asciiTheme="minorHAnsi" w:hAnsiTheme="minorHAnsi"/>
          <w:i/>
          <w:sz w:val="20"/>
        </w:rPr>
        <w:t>: Studium uwarunkowań i kierunków zagospodarowania przestrzennego Miasta Legnicy</w:t>
      </w:r>
      <w:r w:rsidRPr="00A50D78">
        <w:rPr>
          <w:rFonts w:asciiTheme="minorHAnsi" w:hAnsiTheme="minorHAnsi"/>
          <w:sz w:val="20"/>
        </w:rPr>
        <w:t xml:space="preserve">, Urząd Miasta Legnicy. </w:t>
      </w:r>
    </w:p>
    <w:p w:rsidR="00CD4EB2" w:rsidRPr="00563EF2" w:rsidRDefault="00CD4EB2" w:rsidP="00CD4EB2">
      <w:pPr>
        <w:rPr>
          <w:rFonts w:asciiTheme="minorHAnsi" w:hAnsiTheme="minorHAnsi"/>
          <w:sz w:val="22"/>
        </w:rPr>
      </w:pPr>
      <w:r w:rsidRPr="00563EF2">
        <w:rPr>
          <w:rFonts w:asciiTheme="minorHAnsi" w:hAnsiTheme="minorHAnsi"/>
          <w:sz w:val="22"/>
        </w:rPr>
        <w:t xml:space="preserve">Przyszłe inwestycje gospodarcze realizowane będą w szczególności na  określonych przez Urząd Miasta terenach inwestycyjnych, które zgodnie z </w:t>
      </w:r>
      <w:r w:rsidRPr="00563EF2">
        <w:rPr>
          <w:rFonts w:asciiTheme="minorHAnsi" w:hAnsiTheme="minorHAnsi"/>
          <w:i/>
          <w:sz w:val="22"/>
        </w:rPr>
        <w:t>Legnickim Przewodnikiem Inwestora</w:t>
      </w:r>
      <w:r w:rsidRPr="00563EF2">
        <w:rPr>
          <w:rFonts w:asciiTheme="minorHAnsi" w:hAnsiTheme="minorHAnsi"/>
          <w:sz w:val="22"/>
        </w:rPr>
        <w:t xml:space="preserve"> obejmować będą następujące obszary:</w:t>
      </w:r>
    </w:p>
    <w:p w:rsidR="00CD4EB2" w:rsidRPr="00563EF2" w:rsidRDefault="00CD4EB2" w:rsidP="00CD4EB2">
      <w:pPr>
        <w:pStyle w:val="Akapitzlist"/>
        <w:numPr>
          <w:ilvl w:val="0"/>
          <w:numId w:val="6"/>
        </w:numPr>
        <w:spacing w:after="200"/>
        <w:rPr>
          <w:rFonts w:asciiTheme="minorHAnsi" w:hAnsiTheme="minorHAnsi"/>
          <w:sz w:val="22"/>
        </w:rPr>
      </w:pPr>
      <w:r w:rsidRPr="00563EF2">
        <w:rPr>
          <w:rFonts w:asciiTheme="minorHAnsi" w:hAnsiTheme="minorHAnsi"/>
          <w:sz w:val="22"/>
        </w:rPr>
        <w:t>W ramach Legnickiej Specjalnej Strefy Ekonomicznej:</w:t>
      </w:r>
    </w:p>
    <w:p w:rsidR="00CD4EB2" w:rsidRPr="00563EF2" w:rsidRDefault="00CD4EB2" w:rsidP="00CD4EB2">
      <w:pPr>
        <w:pStyle w:val="Akapitzlist"/>
        <w:numPr>
          <w:ilvl w:val="1"/>
          <w:numId w:val="6"/>
        </w:numPr>
        <w:spacing w:after="200"/>
        <w:rPr>
          <w:rFonts w:asciiTheme="minorHAnsi" w:hAnsiTheme="minorHAnsi"/>
          <w:sz w:val="22"/>
        </w:rPr>
      </w:pPr>
      <w:r w:rsidRPr="00563EF2">
        <w:rPr>
          <w:rFonts w:asciiTheme="minorHAnsi" w:hAnsiTheme="minorHAnsi"/>
          <w:sz w:val="22"/>
        </w:rPr>
        <w:t>Obszar w rejonie ul. Jaworzyńskiej oraz Obwodnicy Południowo – Zachodniej (łącznie działki o pow. 26,3 ha)</w:t>
      </w:r>
    </w:p>
    <w:p w:rsidR="00CD4EB2" w:rsidRPr="00563EF2" w:rsidRDefault="00CD4EB2" w:rsidP="00CD4EB2">
      <w:pPr>
        <w:pStyle w:val="Akapitzlist"/>
        <w:numPr>
          <w:ilvl w:val="0"/>
          <w:numId w:val="6"/>
        </w:numPr>
        <w:spacing w:after="200"/>
        <w:rPr>
          <w:rFonts w:asciiTheme="minorHAnsi" w:hAnsiTheme="minorHAnsi"/>
          <w:sz w:val="22"/>
        </w:rPr>
      </w:pPr>
      <w:r w:rsidRPr="00563EF2">
        <w:rPr>
          <w:rFonts w:asciiTheme="minorHAnsi" w:hAnsiTheme="minorHAnsi"/>
          <w:sz w:val="22"/>
        </w:rPr>
        <w:t xml:space="preserve">Obszar w rejonie ul. Jaworzyńskiej – wschodnie otoczenie Osiedla Sienkiewicza (łącznie działki o pow. 10,45 ha) </w:t>
      </w:r>
    </w:p>
    <w:p w:rsidR="00CD4EB2" w:rsidRPr="00563EF2" w:rsidRDefault="00CD4EB2" w:rsidP="00FD7676">
      <w:pPr>
        <w:pStyle w:val="Akapitzlist"/>
        <w:numPr>
          <w:ilvl w:val="0"/>
          <w:numId w:val="6"/>
        </w:numPr>
        <w:spacing w:after="200"/>
        <w:rPr>
          <w:rFonts w:asciiTheme="minorHAnsi" w:hAnsiTheme="minorHAnsi"/>
          <w:sz w:val="22"/>
        </w:rPr>
      </w:pPr>
      <w:r w:rsidRPr="00563EF2">
        <w:rPr>
          <w:rFonts w:asciiTheme="minorHAnsi" w:hAnsiTheme="minorHAnsi"/>
          <w:sz w:val="22"/>
        </w:rPr>
        <w:t>Teren po lotnisku Jednostki Armii Radzieckiej, będący w zarządzie SAG S.A.</w:t>
      </w:r>
      <w:r w:rsidR="007958F8" w:rsidRPr="00563EF2">
        <w:rPr>
          <w:rFonts w:asciiTheme="minorHAnsi" w:hAnsiTheme="minorHAnsi"/>
          <w:sz w:val="22"/>
        </w:rPr>
        <w:t xml:space="preserve"> o łącznej powierzchni 193,9 ha (po doprowadzeniu niezbędnej infrastruktury i mediów).</w:t>
      </w:r>
    </w:p>
    <w:p w:rsidR="0088545B" w:rsidRPr="00563EF2" w:rsidRDefault="00CD2F2A" w:rsidP="00EC5484">
      <w:pPr>
        <w:pStyle w:val="Nagwek3"/>
      </w:pPr>
      <w:bookmarkStart w:id="38" w:name="_Toc399756325"/>
      <w:r w:rsidRPr="00563EF2">
        <w:t>Finanse Miasta</w:t>
      </w:r>
      <w:bookmarkEnd w:id="38"/>
    </w:p>
    <w:p w:rsidR="00542F47" w:rsidRDefault="00542F47" w:rsidP="00FD7676">
      <w:pPr>
        <w:rPr>
          <w:rFonts w:asciiTheme="minorHAnsi" w:hAnsiTheme="minorHAnsi"/>
        </w:rPr>
      </w:pPr>
    </w:p>
    <w:p w:rsidR="009532EC" w:rsidRDefault="009532EC" w:rsidP="009532EC">
      <w:pPr>
        <w:rPr>
          <w:rFonts w:asciiTheme="minorHAnsi" w:hAnsiTheme="minorHAnsi"/>
          <w:sz w:val="22"/>
        </w:rPr>
      </w:pPr>
      <w:r>
        <w:rPr>
          <w:rFonts w:asciiTheme="minorHAnsi" w:hAnsiTheme="minorHAnsi"/>
          <w:sz w:val="22"/>
        </w:rPr>
        <w:t>W ostatnich latach w Legnicy zrealizowano szeroki program inwestycyjny, przy znacznym udziale środków zewnętrznych, w tym funduszy europejskich, na łączną sumę 508,62 mln zł (bez planu na rok 2014), z czego środki zewnętrzne wynosiły 114,76 mln zł (bez planu na rok 2014), w tym środki europejskie 62,35 mln zł (bez planu na rok 2014).</w:t>
      </w:r>
      <w:r w:rsidRPr="00103764">
        <w:t xml:space="preserve"> </w:t>
      </w:r>
      <w:r w:rsidRPr="00103764">
        <w:rPr>
          <w:rFonts w:asciiTheme="minorHAnsi" w:hAnsiTheme="minorHAnsi"/>
          <w:sz w:val="22"/>
        </w:rPr>
        <w:t>Lwia część tych środków służyła sfinansowaniu programu inwestycyjnego Gminy Miejskiej Legnica</w:t>
      </w:r>
      <w:r>
        <w:rPr>
          <w:rFonts w:asciiTheme="minorHAnsi" w:hAnsiTheme="minorHAnsi"/>
          <w:sz w:val="22"/>
        </w:rPr>
        <w:t xml:space="preserve"> w latach 2007-2013.</w:t>
      </w:r>
    </w:p>
    <w:p w:rsidR="00B02F04" w:rsidRPr="00EA4219" w:rsidRDefault="00B02F04" w:rsidP="00B02F04">
      <w:pPr>
        <w:pStyle w:val="Legenda"/>
        <w:keepNext/>
        <w:spacing w:line="276" w:lineRule="auto"/>
        <w:rPr>
          <w:rFonts w:asciiTheme="minorHAnsi" w:hAnsiTheme="minorHAnsi"/>
          <w:sz w:val="20"/>
        </w:rPr>
      </w:pPr>
      <w:r w:rsidRPr="00EA4219">
        <w:rPr>
          <w:rFonts w:asciiTheme="minorHAnsi" w:hAnsiTheme="minorHAnsi"/>
          <w:sz w:val="20"/>
        </w:rPr>
        <w:t xml:space="preserve">Wykres </w:t>
      </w:r>
      <w:r w:rsidRPr="00EA4219">
        <w:rPr>
          <w:rFonts w:asciiTheme="minorHAnsi" w:hAnsiTheme="minorHAnsi"/>
          <w:sz w:val="20"/>
        </w:rPr>
        <w:fldChar w:fldCharType="begin"/>
      </w:r>
      <w:r w:rsidRPr="00EA4219">
        <w:rPr>
          <w:rFonts w:asciiTheme="minorHAnsi" w:hAnsiTheme="minorHAnsi"/>
          <w:sz w:val="20"/>
        </w:rPr>
        <w:instrText xml:space="preserve"> SEQ Wykres \* ARABIC </w:instrText>
      </w:r>
      <w:r w:rsidRPr="00EA4219">
        <w:rPr>
          <w:rFonts w:asciiTheme="minorHAnsi" w:hAnsiTheme="minorHAnsi"/>
          <w:sz w:val="20"/>
        </w:rPr>
        <w:fldChar w:fldCharType="separate"/>
      </w:r>
      <w:r w:rsidR="007B2916">
        <w:rPr>
          <w:rFonts w:asciiTheme="minorHAnsi" w:hAnsiTheme="minorHAnsi"/>
          <w:noProof/>
          <w:sz w:val="20"/>
        </w:rPr>
        <w:t>18</w:t>
      </w:r>
      <w:r w:rsidRPr="00EA4219">
        <w:rPr>
          <w:rFonts w:asciiTheme="minorHAnsi" w:hAnsiTheme="minorHAnsi"/>
          <w:sz w:val="20"/>
        </w:rPr>
        <w:fldChar w:fldCharType="end"/>
      </w:r>
      <w:r w:rsidRPr="00EA4219">
        <w:rPr>
          <w:rFonts w:asciiTheme="minorHAnsi" w:hAnsiTheme="minorHAnsi"/>
          <w:sz w:val="20"/>
        </w:rPr>
        <w:t>. Środki zewnętrzne przeznaczone na wykonanie inwesty</w:t>
      </w:r>
      <w:r w:rsidR="00F54F9E">
        <w:rPr>
          <w:rFonts w:asciiTheme="minorHAnsi" w:hAnsiTheme="minorHAnsi"/>
          <w:sz w:val="20"/>
        </w:rPr>
        <w:t>cji w Legnicy w latach 2002-2014</w:t>
      </w:r>
    </w:p>
    <w:p w:rsidR="00B02F04" w:rsidRPr="00563EF2" w:rsidRDefault="009532EC" w:rsidP="00B02F04">
      <w:pPr>
        <w:rPr>
          <w:rFonts w:asciiTheme="minorHAnsi" w:hAnsiTheme="minorHAnsi"/>
          <w:sz w:val="22"/>
        </w:rPr>
      </w:pPr>
      <w:r>
        <w:rPr>
          <w:noProof/>
          <w:lang w:eastAsia="pl-PL"/>
        </w:rPr>
        <w:drawing>
          <wp:inline distT="0" distB="0" distL="0" distR="0" wp14:anchorId="54F467EE" wp14:editId="3F43F0E0">
            <wp:extent cx="5830752" cy="2790190"/>
            <wp:effectExtent l="0" t="0" r="17780" b="101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02F04" w:rsidRDefault="00B02F04" w:rsidP="00B02F04">
      <w:pPr>
        <w:rPr>
          <w:rFonts w:asciiTheme="minorHAnsi" w:hAnsiTheme="minorHAnsi"/>
          <w:sz w:val="20"/>
        </w:rPr>
      </w:pPr>
      <w:r w:rsidRPr="00A50D78">
        <w:rPr>
          <w:rFonts w:asciiTheme="minorHAnsi" w:hAnsiTheme="minorHAnsi"/>
          <w:sz w:val="20"/>
        </w:rPr>
        <w:t>Źródło: Urząd Miasta Legnic</w:t>
      </w:r>
      <w:r w:rsidR="00A50D78">
        <w:rPr>
          <w:rFonts w:asciiTheme="minorHAnsi" w:hAnsiTheme="minorHAnsi"/>
          <w:sz w:val="20"/>
        </w:rPr>
        <w:t>y</w:t>
      </w:r>
      <w:r w:rsidR="008B3862">
        <w:rPr>
          <w:rFonts w:asciiTheme="minorHAnsi" w:hAnsiTheme="minorHAnsi"/>
          <w:sz w:val="20"/>
        </w:rPr>
        <w:t>.</w:t>
      </w:r>
    </w:p>
    <w:p w:rsidR="009532EC" w:rsidRPr="009532EC" w:rsidRDefault="009532EC" w:rsidP="009532EC">
      <w:pPr>
        <w:pStyle w:val="Legenda"/>
        <w:keepNext/>
        <w:spacing w:line="276" w:lineRule="auto"/>
        <w:rPr>
          <w:rFonts w:asciiTheme="minorHAnsi" w:hAnsiTheme="minorHAnsi"/>
          <w:sz w:val="20"/>
        </w:rPr>
      </w:pPr>
      <w:r w:rsidRPr="009532EC">
        <w:rPr>
          <w:rFonts w:asciiTheme="minorHAnsi" w:hAnsiTheme="minorHAnsi"/>
          <w:sz w:val="20"/>
        </w:rPr>
        <w:t xml:space="preserve">Tabela </w:t>
      </w:r>
      <w:r w:rsidRPr="009532EC">
        <w:rPr>
          <w:rFonts w:asciiTheme="minorHAnsi" w:hAnsiTheme="minorHAnsi"/>
          <w:sz w:val="20"/>
        </w:rPr>
        <w:fldChar w:fldCharType="begin"/>
      </w:r>
      <w:r w:rsidRPr="009532EC">
        <w:rPr>
          <w:rFonts w:asciiTheme="minorHAnsi" w:hAnsiTheme="minorHAnsi"/>
          <w:sz w:val="20"/>
        </w:rPr>
        <w:instrText xml:space="preserve"> SEQ Tabela \* ARABIC </w:instrText>
      </w:r>
      <w:r w:rsidRPr="009532EC">
        <w:rPr>
          <w:rFonts w:asciiTheme="minorHAnsi" w:hAnsiTheme="minorHAnsi"/>
          <w:sz w:val="20"/>
        </w:rPr>
        <w:fldChar w:fldCharType="separate"/>
      </w:r>
      <w:r w:rsidR="007B2916">
        <w:rPr>
          <w:rFonts w:asciiTheme="minorHAnsi" w:hAnsiTheme="minorHAnsi"/>
          <w:noProof/>
          <w:sz w:val="20"/>
        </w:rPr>
        <w:t>34</w:t>
      </w:r>
      <w:r w:rsidRPr="009532EC">
        <w:rPr>
          <w:rFonts w:asciiTheme="minorHAnsi" w:hAnsiTheme="minorHAnsi"/>
          <w:sz w:val="20"/>
        </w:rPr>
        <w:fldChar w:fldCharType="end"/>
      </w:r>
      <w:r w:rsidRPr="009532EC">
        <w:rPr>
          <w:rFonts w:asciiTheme="minorHAnsi" w:hAnsiTheme="minorHAnsi"/>
          <w:sz w:val="20"/>
        </w:rPr>
        <w:t>. Środki przeznaczone na wykonanie inwestycji w Legnicy w latach 2004-2014, przez spółki miejskie.</w:t>
      </w:r>
    </w:p>
    <w:tbl>
      <w:tblPr>
        <w:tblStyle w:val="Jasnasiatkaakcent11"/>
        <w:tblW w:w="9268" w:type="dxa"/>
        <w:shd w:val="clear" w:color="auto" w:fill="FFFFFF" w:themeFill="background1"/>
        <w:tblLayout w:type="fixed"/>
        <w:tblLook w:val="04A0" w:firstRow="1" w:lastRow="0" w:firstColumn="1" w:lastColumn="0" w:noHBand="0" w:noVBand="1"/>
      </w:tblPr>
      <w:tblGrid>
        <w:gridCol w:w="1433"/>
        <w:gridCol w:w="642"/>
        <w:gridCol w:w="642"/>
        <w:gridCol w:w="643"/>
        <w:gridCol w:w="642"/>
        <w:gridCol w:w="643"/>
        <w:gridCol w:w="642"/>
        <w:gridCol w:w="642"/>
        <w:gridCol w:w="643"/>
        <w:gridCol w:w="642"/>
        <w:gridCol w:w="643"/>
        <w:gridCol w:w="642"/>
        <w:gridCol w:w="769"/>
      </w:tblGrid>
      <w:tr w:rsidR="00F54F9E" w:rsidRPr="00F54F9E" w:rsidTr="009E5F60">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rsidR="009532EC" w:rsidRPr="00F54F9E" w:rsidRDefault="009532EC" w:rsidP="007E17F4">
            <w:pPr>
              <w:spacing w:line="240" w:lineRule="auto"/>
              <w:jc w:val="center"/>
              <w:rPr>
                <w:rFonts w:asciiTheme="minorHAnsi" w:eastAsia="Times New Roman" w:hAnsiTheme="minorHAnsi" w:cs="Arial"/>
                <w:color w:val="000000" w:themeColor="text1"/>
                <w:sz w:val="18"/>
                <w:szCs w:val="18"/>
                <w:lang w:eastAsia="pl-PL"/>
              </w:rPr>
            </w:pP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2004</w:t>
            </w: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2005</w:t>
            </w:r>
          </w:p>
        </w:tc>
        <w:tc>
          <w:tcPr>
            <w:tcW w:w="643"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2006</w:t>
            </w: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2007</w:t>
            </w:r>
          </w:p>
        </w:tc>
        <w:tc>
          <w:tcPr>
            <w:tcW w:w="643"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2008</w:t>
            </w: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2009</w:t>
            </w: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2010</w:t>
            </w:r>
          </w:p>
        </w:tc>
        <w:tc>
          <w:tcPr>
            <w:tcW w:w="643"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2011</w:t>
            </w:r>
          </w:p>
        </w:tc>
        <w:tc>
          <w:tcPr>
            <w:tcW w:w="642"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2012</w:t>
            </w:r>
          </w:p>
        </w:tc>
        <w:tc>
          <w:tcPr>
            <w:tcW w:w="643" w:type="dxa"/>
            <w:shd w:val="clear" w:color="auto" w:fill="FFFFFF" w:themeFill="background1"/>
            <w:hideMark/>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2013</w:t>
            </w:r>
          </w:p>
        </w:tc>
        <w:tc>
          <w:tcPr>
            <w:tcW w:w="642" w:type="dxa"/>
            <w:shd w:val="clear" w:color="auto" w:fill="FFFFFF" w:themeFill="background1"/>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2014 wg planu</w:t>
            </w:r>
          </w:p>
        </w:tc>
        <w:tc>
          <w:tcPr>
            <w:tcW w:w="769" w:type="dxa"/>
            <w:shd w:val="clear" w:color="auto" w:fill="FFFFFF" w:themeFill="background1"/>
          </w:tcPr>
          <w:p w:rsidR="009532EC" w:rsidRPr="00F54F9E" w:rsidRDefault="009532EC" w:rsidP="007E17F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Razem bez 2014</w:t>
            </w:r>
          </w:p>
        </w:tc>
      </w:tr>
      <w:tr w:rsidR="00F54F9E" w:rsidRPr="00F54F9E" w:rsidTr="009E5F6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rsidR="009532EC" w:rsidRPr="00F54F9E" w:rsidRDefault="009532EC" w:rsidP="007E17F4">
            <w:pPr>
              <w:spacing w:line="240" w:lineRule="auto"/>
              <w:jc w:val="right"/>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 xml:space="preserve">Wykonanie inwestycji (w mln zł) przez spółki miejskie </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6,4</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6,8</w:t>
            </w:r>
          </w:p>
        </w:tc>
        <w:tc>
          <w:tcPr>
            <w:tcW w:w="643"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6,4</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8,3</w:t>
            </w:r>
          </w:p>
        </w:tc>
        <w:tc>
          <w:tcPr>
            <w:tcW w:w="643"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12,7</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15,9</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11,7</w:t>
            </w:r>
          </w:p>
        </w:tc>
        <w:tc>
          <w:tcPr>
            <w:tcW w:w="643"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9,6</w:t>
            </w:r>
          </w:p>
        </w:tc>
        <w:tc>
          <w:tcPr>
            <w:tcW w:w="642"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15,3</w:t>
            </w:r>
          </w:p>
        </w:tc>
        <w:tc>
          <w:tcPr>
            <w:tcW w:w="643" w:type="dxa"/>
            <w:shd w:val="clear" w:color="auto" w:fill="FFFFFF" w:themeFill="background1"/>
            <w:hideMark/>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19,9</w:t>
            </w:r>
          </w:p>
        </w:tc>
        <w:tc>
          <w:tcPr>
            <w:tcW w:w="642" w:type="dxa"/>
            <w:shd w:val="clear" w:color="auto" w:fill="FFFFFF" w:themeFill="background1"/>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26,7</w:t>
            </w:r>
          </w:p>
        </w:tc>
        <w:tc>
          <w:tcPr>
            <w:tcW w:w="769" w:type="dxa"/>
            <w:shd w:val="clear" w:color="auto" w:fill="FFFFFF" w:themeFill="background1"/>
          </w:tcPr>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18"/>
                <w:szCs w:val="18"/>
                <w:lang w:eastAsia="pl-PL"/>
              </w:rPr>
            </w:pPr>
            <w:r w:rsidRPr="00F54F9E">
              <w:rPr>
                <w:rFonts w:asciiTheme="minorHAnsi" w:eastAsia="Times New Roman" w:hAnsiTheme="minorHAnsi" w:cs="Arial"/>
                <w:b/>
                <w:color w:val="000000" w:themeColor="text1"/>
                <w:sz w:val="18"/>
                <w:szCs w:val="18"/>
                <w:lang w:eastAsia="pl-PL"/>
              </w:rPr>
              <w:t>113,2</w:t>
            </w:r>
          </w:p>
          <w:p w:rsidR="009532EC" w:rsidRPr="00F54F9E" w:rsidRDefault="009532EC" w:rsidP="007E17F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18"/>
                <w:szCs w:val="18"/>
                <w:lang w:eastAsia="pl-PL"/>
              </w:rPr>
            </w:pPr>
          </w:p>
        </w:tc>
      </w:tr>
      <w:tr w:rsidR="00F54F9E" w:rsidRPr="00F54F9E" w:rsidTr="009E5F6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Pr>
          <w:p w:rsidR="009532EC" w:rsidRPr="00F54F9E" w:rsidRDefault="009532EC" w:rsidP="007E17F4">
            <w:pPr>
              <w:spacing w:line="240" w:lineRule="auto"/>
              <w:jc w:val="right"/>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 xml:space="preserve">Pozyskane środki zewnętrzne </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1,1</w:t>
            </w:r>
          </w:p>
        </w:tc>
        <w:tc>
          <w:tcPr>
            <w:tcW w:w="643"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1,2</w:t>
            </w:r>
          </w:p>
        </w:tc>
        <w:tc>
          <w:tcPr>
            <w:tcW w:w="643"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w:t>
            </w:r>
          </w:p>
        </w:tc>
        <w:tc>
          <w:tcPr>
            <w:tcW w:w="643"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0,6</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8,0</w:t>
            </w:r>
          </w:p>
        </w:tc>
        <w:tc>
          <w:tcPr>
            <w:tcW w:w="643"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3,6</w:t>
            </w:r>
          </w:p>
        </w:tc>
        <w:tc>
          <w:tcPr>
            <w:tcW w:w="642"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themeColor="text1"/>
                <w:sz w:val="18"/>
                <w:szCs w:val="18"/>
                <w:lang w:eastAsia="pl-PL"/>
              </w:rPr>
            </w:pPr>
            <w:r w:rsidRPr="00F54F9E">
              <w:rPr>
                <w:rFonts w:asciiTheme="minorHAnsi" w:eastAsia="Times New Roman" w:hAnsiTheme="minorHAnsi" w:cs="Arial"/>
                <w:color w:val="000000" w:themeColor="text1"/>
                <w:sz w:val="18"/>
                <w:szCs w:val="18"/>
                <w:lang w:eastAsia="pl-PL"/>
              </w:rPr>
              <w:t>2,1</w:t>
            </w:r>
          </w:p>
        </w:tc>
        <w:tc>
          <w:tcPr>
            <w:tcW w:w="769" w:type="dxa"/>
            <w:shd w:val="clear" w:color="auto" w:fill="FFFFFF" w:themeFill="background1"/>
          </w:tcPr>
          <w:p w:rsidR="009532EC" w:rsidRPr="00F54F9E" w:rsidRDefault="009532EC" w:rsidP="007E17F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themeColor="text1"/>
                <w:sz w:val="18"/>
                <w:szCs w:val="18"/>
                <w:lang w:eastAsia="pl-PL"/>
              </w:rPr>
            </w:pPr>
            <w:r w:rsidRPr="00F54F9E">
              <w:rPr>
                <w:rFonts w:asciiTheme="minorHAnsi" w:eastAsia="Times New Roman" w:hAnsiTheme="minorHAnsi" w:cs="Arial"/>
                <w:b/>
                <w:color w:val="000000" w:themeColor="text1"/>
                <w:sz w:val="18"/>
                <w:szCs w:val="18"/>
                <w:lang w:eastAsia="pl-PL"/>
              </w:rPr>
              <w:t>14,5</w:t>
            </w:r>
          </w:p>
        </w:tc>
      </w:tr>
    </w:tbl>
    <w:p w:rsidR="00B02F04" w:rsidRPr="009532EC" w:rsidRDefault="009532EC" w:rsidP="00FD7676">
      <w:pPr>
        <w:rPr>
          <w:rFonts w:asciiTheme="minorHAnsi" w:hAnsiTheme="minorHAnsi"/>
          <w:sz w:val="20"/>
        </w:rPr>
      </w:pPr>
      <w:r w:rsidRPr="00A50D78">
        <w:rPr>
          <w:rFonts w:asciiTheme="minorHAnsi" w:hAnsiTheme="minorHAnsi"/>
          <w:sz w:val="20"/>
        </w:rPr>
        <w:t>Źródło: Urząd Miasta Legnic</w:t>
      </w:r>
      <w:r>
        <w:rPr>
          <w:rFonts w:asciiTheme="minorHAnsi" w:hAnsiTheme="minorHAnsi"/>
          <w:sz w:val="20"/>
        </w:rPr>
        <w:t>y.</w:t>
      </w:r>
    </w:p>
    <w:p w:rsidR="00085DEF" w:rsidRDefault="00085DEF" w:rsidP="00FD7676">
      <w:pPr>
        <w:rPr>
          <w:rFonts w:asciiTheme="minorHAnsi" w:hAnsiTheme="minorHAnsi"/>
          <w:sz w:val="22"/>
        </w:rPr>
      </w:pPr>
    </w:p>
    <w:p w:rsidR="007958F8" w:rsidRDefault="00B02F04" w:rsidP="00FD7676">
      <w:pPr>
        <w:rPr>
          <w:rFonts w:asciiTheme="minorHAnsi" w:hAnsiTheme="minorHAnsi"/>
          <w:sz w:val="22"/>
        </w:rPr>
      </w:pPr>
      <w:r>
        <w:rPr>
          <w:rFonts w:asciiTheme="minorHAnsi" w:hAnsiTheme="minorHAnsi"/>
          <w:sz w:val="22"/>
        </w:rPr>
        <w:t>Realizacja szeroko zakrojonego programu inwestycyjnego odbiła się na kształcie b</w:t>
      </w:r>
      <w:r w:rsidR="00542F47" w:rsidRPr="00563EF2">
        <w:rPr>
          <w:rFonts w:asciiTheme="minorHAnsi" w:hAnsiTheme="minorHAnsi"/>
          <w:sz w:val="22"/>
        </w:rPr>
        <w:t>udżet</w:t>
      </w:r>
      <w:r>
        <w:rPr>
          <w:rFonts w:asciiTheme="minorHAnsi" w:hAnsiTheme="minorHAnsi"/>
          <w:sz w:val="22"/>
        </w:rPr>
        <w:t>u</w:t>
      </w:r>
      <w:r w:rsidR="00542F47" w:rsidRPr="00563EF2">
        <w:rPr>
          <w:rFonts w:asciiTheme="minorHAnsi" w:hAnsiTheme="minorHAnsi"/>
          <w:sz w:val="22"/>
        </w:rPr>
        <w:t xml:space="preserve"> Legnicy</w:t>
      </w:r>
      <w:r>
        <w:rPr>
          <w:rFonts w:asciiTheme="minorHAnsi" w:hAnsiTheme="minorHAnsi"/>
          <w:sz w:val="22"/>
        </w:rPr>
        <w:t>, który</w:t>
      </w:r>
      <w:r w:rsidR="00542F47" w:rsidRPr="00563EF2">
        <w:rPr>
          <w:rFonts w:asciiTheme="minorHAnsi" w:hAnsiTheme="minorHAnsi"/>
          <w:sz w:val="22"/>
        </w:rPr>
        <w:t xml:space="preserve"> w lat</w:t>
      </w:r>
      <w:r>
        <w:rPr>
          <w:rFonts w:asciiTheme="minorHAnsi" w:hAnsiTheme="minorHAnsi"/>
          <w:sz w:val="22"/>
        </w:rPr>
        <w:t>ach 2008-201</w:t>
      </w:r>
      <w:r w:rsidR="003863E7">
        <w:rPr>
          <w:rFonts w:asciiTheme="minorHAnsi" w:hAnsiTheme="minorHAnsi"/>
          <w:sz w:val="22"/>
        </w:rPr>
        <w:t>1</w:t>
      </w:r>
      <w:r>
        <w:rPr>
          <w:rFonts w:asciiTheme="minorHAnsi" w:hAnsiTheme="minorHAnsi"/>
          <w:sz w:val="22"/>
        </w:rPr>
        <w:t xml:space="preserve"> wykazywał deficyt</w:t>
      </w:r>
      <w:r w:rsidR="00542F47" w:rsidRPr="00563EF2">
        <w:rPr>
          <w:rFonts w:asciiTheme="minorHAnsi" w:hAnsiTheme="minorHAnsi"/>
          <w:sz w:val="22"/>
        </w:rPr>
        <w:t xml:space="preserve">. </w:t>
      </w:r>
      <w:r w:rsidR="00B672EA" w:rsidRPr="00563EF2">
        <w:rPr>
          <w:rFonts w:asciiTheme="minorHAnsi" w:hAnsiTheme="minorHAnsi"/>
          <w:sz w:val="22"/>
        </w:rPr>
        <w:t xml:space="preserve">W </w:t>
      </w:r>
      <w:r w:rsidR="003863E7">
        <w:rPr>
          <w:rFonts w:asciiTheme="minorHAnsi" w:hAnsiTheme="minorHAnsi"/>
          <w:sz w:val="22"/>
        </w:rPr>
        <w:t>latach 2012-2013</w:t>
      </w:r>
      <w:r w:rsidR="00B672EA" w:rsidRPr="00563EF2">
        <w:rPr>
          <w:rFonts w:asciiTheme="minorHAnsi" w:hAnsiTheme="minorHAnsi"/>
          <w:sz w:val="22"/>
        </w:rPr>
        <w:t xml:space="preserve"> wykazano</w:t>
      </w:r>
      <w:r>
        <w:rPr>
          <w:rFonts w:asciiTheme="minorHAnsi" w:hAnsiTheme="minorHAnsi"/>
          <w:sz w:val="22"/>
        </w:rPr>
        <w:t xml:space="preserve"> zaś</w:t>
      </w:r>
      <w:r w:rsidR="00B672EA" w:rsidRPr="00563EF2">
        <w:rPr>
          <w:rFonts w:asciiTheme="minorHAnsi" w:hAnsiTheme="minorHAnsi"/>
          <w:sz w:val="22"/>
        </w:rPr>
        <w:t xml:space="preserve"> nadwyżkę. </w:t>
      </w:r>
    </w:p>
    <w:p w:rsidR="00085DEF" w:rsidRDefault="00085DEF" w:rsidP="00FD7676">
      <w:pPr>
        <w:rPr>
          <w:rFonts w:asciiTheme="minorHAnsi" w:hAnsiTheme="minorHAnsi"/>
          <w:sz w:val="22"/>
        </w:rPr>
      </w:pPr>
    </w:p>
    <w:p w:rsidR="007E17F4" w:rsidRPr="007E17F4" w:rsidRDefault="007E17F4" w:rsidP="007E17F4">
      <w:pPr>
        <w:pStyle w:val="Legenda"/>
        <w:keepNext/>
        <w:spacing w:line="276" w:lineRule="auto"/>
        <w:rPr>
          <w:rFonts w:asciiTheme="minorHAnsi" w:hAnsiTheme="minorHAnsi"/>
          <w:sz w:val="20"/>
          <w:szCs w:val="20"/>
        </w:rPr>
      </w:pPr>
      <w:r w:rsidRPr="007E17F4">
        <w:rPr>
          <w:rFonts w:asciiTheme="minorHAnsi" w:hAnsiTheme="minorHAnsi"/>
          <w:sz w:val="20"/>
          <w:szCs w:val="20"/>
        </w:rPr>
        <w:t>Wykres</w:t>
      </w:r>
      <w:r w:rsidR="00085DEF">
        <w:rPr>
          <w:rFonts w:asciiTheme="minorHAnsi" w:hAnsiTheme="minorHAnsi"/>
          <w:sz w:val="20"/>
          <w:szCs w:val="20"/>
        </w:rPr>
        <w:t xml:space="preserve"> 18</w:t>
      </w:r>
      <w:r w:rsidRPr="007E17F4">
        <w:rPr>
          <w:rFonts w:asciiTheme="minorHAnsi" w:hAnsiTheme="minorHAnsi"/>
          <w:sz w:val="20"/>
          <w:szCs w:val="20"/>
        </w:rPr>
        <w:t>. Kształtowanie się wydatków i dochodów budżetowych Miasta Legnicy w latach 2005-2014</w:t>
      </w:r>
    </w:p>
    <w:p w:rsidR="00CD2F2A" w:rsidRPr="00563EF2" w:rsidRDefault="0008744D" w:rsidP="00FD7676">
      <w:pPr>
        <w:rPr>
          <w:rFonts w:asciiTheme="minorHAnsi" w:hAnsiTheme="minorHAnsi"/>
          <w:sz w:val="22"/>
        </w:rPr>
      </w:pPr>
      <w:r w:rsidRPr="00563EF2">
        <w:rPr>
          <w:rFonts w:asciiTheme="minorHAnsi" w:hAnsiTheme="minorHAnsi"/>
          <w:noProof/>
          <w:lang w:eastAsia="pl-PL"/>
        </w:rPr>
        <w:drawing>
          <wp:inline distT="0" distB="0" distL="0" distR="0" wp14:anchorId="2C7CA2EF" wp14:editId="44837155">
            <wp:extent cx="6372225" cy="2647950"/>
            <wp:effectExtent l="0" t="0" r="9525" b="0"/>
            <wp:docPr id="6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545B" w:rsidRDefault="00A65280" w:rsidP="00FD7676">
      <w:pPr>
        <w:rPr>
          <w:rFonts w:asciiTheme="minorHAnsi" w:hAnsiTheme="minorHAnsi"/>
          <w:sz w:val="20"/>
        </w:rPr>
      </w:pPr>
      <w:r w:rsidRPr="00A50D78">
        <w:rPr>
          <w:rFonts w:asciiTheme="minorHAnsi" w:hAnsiTheme="minorHAnsi"/>
          <w:sz w:val="20"/>
        </w:rPr>
        <w:t>Źródło: Opracowanie własne na podstawie: Bank Danych Lokalnych, GUS; Urząd Miasta Legnicy</w:t>
      </w:r>
      <w:r w:rsidR="008B3862">
        <w:rPr>
          <w:rFonts w:asciiTheme="minorHAnsi" w:hAnsiTheme="minorHAnsi"/>
          <w:sz w:val="20"/>
        </w:rPr>
        <w:t>.</w:t>
      </w:r>
    </w:p>
    <w:p w:rsidR="00F54F9E" w:rsidRDefault="00F54F9E" w:rsidP="00FD7676">
      <w:pPr>
        <w:rPr>
          <w:rFonts w:asciiTheme="minorHAnsi" w:hAnsiTheme="minorHAnsi"/>
          <w:sz w:val="22"/>
        </w:rPr>
      </w:pPr>
    </w:p>
    <w:p w:rsidR="008220C2" w:rsidRDefault="001C6F8B" w:rsidP="00FD7676">
      <w:pPr>
        <w:rPr>
          <w:rFonts w:asciiTheme="minorHAnsi" w:eastAsia="Times New Roman" w:hAnsiTheme="minorHAnsi" w:cs="Arial"/>
          <w:sz w:val="22"/>
          <w:szCs w:val="20"/>
          <w:lang w:eastAsia="pl-PL"/>
        </w:rPr>
      </w:pPr>
      <w:r w:rsidRPr="00563EF2">
        <w:rPr>
          <w:rFonts w:asciiTheme="minorHAnsi" w:hAnsiTheme="minorHAnsi"/>
          <w:sz w:val="22"/>
        </w:rPr>
        <w:t xml:space="preserve">Plan budżetu na 2014 r. zakłada powstanie deficytu w wysokości </w:t>
      </w:r>
      <w:r w:rsidRPr="00563EF2">
        <w:rPr>
          <w:rFonts w:asciiTheme="minorHAnsi" w:eastAsia="Times New Roman" w:hAnsiTheme="minorHAnsi" w:cs="Arial"/>
          <w:sz w:val="20"/>
          <w:szCs w:val="20"/>
          <w:lang w:eastAsia="pl-PL"/>
        </w:rPr>
        <w:noBreakHyphen/>
        <w:t>19 770 000</w:t>
      </w:r>
      <w:r w:rsidR="003863E7">
        <w:rPr>
          <w:rStyle w:val="Odwoanieprzypisudolnego"/>
          <w:rFonts w:asciiTheme="minorHAnsi" w:eastAsia="Times New Roman" w:hAnsiTheme="minorHAnsi" w:cs="Arial"/>
          <w:sz w:val="20"/>
          <w:szCs w:val="20"/>
          <w:lang w:eastAsia="pl-PL"/>
        </w:rPr>
        <w:footnoteReference w:id="24"/>
      </w:r>
      <w:r w:rsidR="00BC5391">
        <w:rPr>
          <w:rFonts w:asciiTheme="minorHAnsi" w:eastAsia="Times New Roman" w:hAnsiTheme="minorHAnsi" w:cs="Arial"/>
          <w:sz w:val="22"/>
          <w:szCs w:val="20"/>
          <w:lang w:eastAsia="pl-PL"/>
        </w:rPr>
        <w:t>, co związane jest z </w:t>
      </w:r>
      <w:r w:rsidRPr="006D1B22">
        <w:rPr>
          <w:rFonts w:asciiTheme="minorHAnsi" w:eastAsia="Times New Roman" w:hAnsiTheme="minorHAnsi" w:cs="Arial"/>
          <w:sz w:val="22"/>
          <w:szCs w:val="20"/>
          <w:lang w:eastAsia="pl-PL"/>
        </w:rPr>
        <w:t>zakończeniem części wcześniej rozpoczętych inwestycji.</w:t>
      </w:r>
    </w:p>
    <w:p w:rsidR="00085DEF" w:rsidRPr="00F54F9E" w:rsidRDefault="00085DEF" w:rsidP="00FD7676">
      <w:pPr>
        <w:rPr>
          <w:rFonts w:asciiTheme="minorHAnsi" w:eastAsia="Times New Roman" w:hAnsiTheme="minorHAnsi" w:cs="Arial"/>
          <w:sz w:val="22"/>
          <w:szCs w:val="20"/>
          <w:lang w:eastAsia="pl-PL"/>
        </w:rPr>
      </w:pPr>
    </w:p>
    <w:p w:rsidR="008220C2" w:rsidRPr="00EA4219" w:rsidRDefault="008220C2" w:rsidP="008220C2">
      <w:pPr>
        <w:pStyle w:val="Legenda"/>
        <w:keepNext/>
        <w:spacing w:line="276" w:lineRule="auto"/>
        <w:rPr>
          <w:rFonts w:asciiTheme="minorHAnsi" w:hAnsiTheme="minorHAnsi"/>
          <w:sz w:val="20"/>
          <w:szCs w:val="20"/>
        </w:rPr>
      </w:pPr>
      <w:r w:rsidRPr="00EA4219">
        <w:rPr>
          <w:rFonts w:asciiTheme="minorHAnsi" w:hAnsiTheme="minorHAnsi"/>
          <w:sz w:val="20"/>
          <w:szCs w:val="20"/>
        </w:rPr>
        <w:t xml:space="preserve">Tabela </w:t>
      </w:r>
      <w:r w:rsidR="00017794" w:rsidRPr="00EA4219">
        <w:rPr>
          <w:rFonts w:asciiTheme="minorHAnsi" w:hAnsiTheme="minorHAnsi"/>
          <w:sz w:val="20"/>
          <w:szCs w:val="20"/>
        </w:rPr>
        <w:fldChar w:fldCharType="begin"/>
      </w:r>
      <w:r w:rsidRPr="00EA4219">
        <w:rPr>
          <w:rFonts w:asciiTheme="minorHAnsi" w:hAnsiTheme="minorHAnsi"/>
          <w:sz w:val="20"/>
          <w:szCs w:val="20"/>
        </w:rPr>
        <w:instrText xml:space="preserve"> SEQ Tabela \* ARABIC </w:instrText>
      </w:r>
      <w:r w:rsidR="00017794" w:rsidRPr="00EA4219">
        <w:rPr>
          <w:rFonts w:asciiTheme="minorHAnsi" w:hAnsiTheme="minorHAnsi"/>
          <w:sz w:val="20"/>
          <w:szCs w:val="20"/>
        </w:rPr>
        <w:fldChar w:fldCharType="separate"/>
      </w:r>
      <w:r w:rsidR="007B2916">
        <w:rPr>
          <w:rFonts w:asciiTheme="minorHAnsi" w:hAnsiTheme="minorHAnsi"/>
          <w:noProof/>
          <w:sz w:val="20"/>
          <w:szCs w:val="20"/>
        </w:rPr>
        <w:t>35</w:t>
      </w:r>
      <w:r w:rsidR="00017794" w:rsidRPr="00EA4219">
        <w:rPr>
          <w:rFonts w:asciiTheme="minorHAnsi" w:hAnsiTheme="minorHAnsi"/>
          <w:sz w:val="20"/>
          <w:szCs w:val="20"/>
        </w:rPr>
        <w:fldChar w:fldCharType="end"/>
      </w:r>
      <w:r w:rsidRPr="00EA4219">
        <w:rPr>
          <w:rFonts w:asciiTheme="minorHAnsi" w:hAnsiTheme="minorHAnsi"/>
          <w:sz w:val="20"/>
          <w:szCs w:val="20"/>
        </w:rPr>
        <w:t>.</w:t>
      </w:r>
      <w:r w:rsidRPr="00EA4219">
        <w:rPr>
          <w:rFonts w:asciiTheme="minorHAnsi" w:hAnsiTheme="minorHAnsi"/>
          <w:b/>
          <w:sz w:val="20"/>
          <w:szCs w:val="20"/>
        </w:rPr>
        <w:t xml:space="preserve"> </w:t>
      </w:r>
      <w:r w:rsidRPr="00EA4219">
        <w:rPr>
          <w:rFonts w:asciiTheme="minorHAnsi" w:hAnsiTheme="minorHAnsi"/>
          <w:sz w:val="20"/>
          <w:szCs w:val="20"/>
        </w:rPr>
        <w:t>Udział wydatków inwestycyjnych w wydatkach ogółem</w:t>
      </w:r>
    </w:p>
    <w:tbl>
      <w:tblPr>
        <w:tblW w:w="6906" w:type="dxa"/>
        <w:tblCellMar>
          <w:left w:w="0" w:type="dxa"/>
          <w:right w:w="0" w:type="dxa"/>
        </w:tblCellMar>
        <w:tblLook w:val="04A0" w:firstRow="1" w:lastRow="0" w:firstColumn="1" w:lastColumn="0" w:noHBand="0" w:noVBand="1"/>
      </w:tblPr>
      <w:tblGrid>
        <w:gridCol w:w="1118"/>
        <w:gridCol w:w="1113"/>
        <w:gridCol w:w="1115"/>
        <w:gridCol w:w="1115"/>
        <w:gridCol w:w="815"/>
        <w:gridCol w:w="815"/>
        <w:gridCol w:w="815"/>
      </w:tblGrid>
      <w:tr w:rsidR="008220C2" w:rsidRPr="00563EF2" w:rsidTr="001C6624">
        <w:trPr>
          <w:trHeight w:val="272"/>
        </w:trPr>
        <w:tc>
          <w:tcPr>
            <w:tcW w:w="1118"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p>
        </w:tc>
        <w:tc>
          <w:tcPr>
            <w:tcW w:w="1113"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2007 </w:t>
            </w:r>
          </w:p>
        </w:tc>
        <w:tc>
          <w:tcPr>
            <w:tcW w:w="1115"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2008 </w:t>
            </w:r>
          </w:p>
        </w:tc>
        <w:tc>
          <w:tcPr>
            <w:tcW w:w="1115"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2009 </w:t>
            </w:r>
          </w:p>
        </w:tc>
        <w:tc>
          <w:tcPr>
            <w:tcW w:w="815"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2010 </w:t>
            </w:r>
          </w:p>
        </w:tc>
        <w:tc>
          <w:tcPr>
            <w:tcW w:w="815"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2011 </w:t>
            </w:r>
          </w:p>
        </w:tc>
        <w:tc>
          <w:tcPr>
            <w:tcW w:w="815" w:type="dxa"/>
            <w:tcBorders>
              <w:top w:val="single" w:sz="8" w:space="0" w:color="558ED5"/>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center"/>
            <w:hideMark/>
          </w:tcPr>
          <w:p w:rsidR="008220C2" w:rsidRPr="00563EF2" w:rsidRDefault="008220C2" w:rsidP="001C6624">
            <w:pPr>
              <w:rPr>
                <w:rFonts w:asciiTheme="minorHAnsi" w:hAnsiTheme="minorHAnsi"/>
                <w:b/>
              </w:rPr>
            </w:pPr>
            <w:r w:rsidRPr="00563EF2">
              <w:rPr>
                <w:rFonts w:asciiTheme="minorHAnsi" w:hAnsiTheme="minorHAnsi"/>
                <w:b/>
                <w:bCs/>
                <w:sz w:val="22"/>
              </w:rPr>
              <w:t xml:space="preserve">2012 </w:t>
            </w:r>
          </w:p>
        </w:tc>
      </w:tr>
      <w:tr w:rsidR="008220C2" w:rsidRPr="00563EF2" w:rsidTr="001C6624">
        <w:trPr>
          <w:trHeight w:val="272"/>
        </w:trPr>
        <w:tc>
          <w:tcPr>
            <w:tcW w:w="1118"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Jelenia Góra </w:t>
            </w:r>
          </w:p>
        </w:tc>
        <w:tc>
          <w:tcPr>
            <w:tcW w:w="1113"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35,2 </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22,7 </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14,0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17,3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30,1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26,1 </w:t>
            </w:r>
          </w:p>
        </w:tc>
      </w:tr>
      <w:tr w:rsidR="008220C2" w:rsidRPr="00563EF2" w:rsidTr="001C6624">
        <w:trPr>
          <w:trHeight w:val="272"/>
        </w:trPr>
        <w:tc>
          <w:tcPr>
            <w:tcW w:w="1118" w:type="dxa"/>
            <w:tcBorders>
              <w:top w:val="single" w:sz="8" w:space="0" w:color="4F81BD"/>
              <w:left w:val="single" w:sz="8" w:space="0" w:color="4F81BD"/>
              <w:bottom w:val="single" w:sz="8" w:space="0" w:color="4F81BD"/>
              <w:right w:val="single" w:sz="8" w:space="0" w:color="4F81BD"/>
            </w:tcBorders>
            <w:shd w:val="clear" w:color="auto" w:fill="E46C0A"/>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Legnica </w:t>
            </w:r>
          </w:p>
        </w:tc>
        <w:tc>
          <w:tcPr>
            <w:tcW w:w="1113"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13,6 </w:t>
            </w:r>
          </w:p>
        </w:tc>
        <w:tc>
          <w:tcPr>
            <w:tcW w:w="1115"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15,0 </w:t>
            </w:r>
          </w:p>
        </w:tc>
        <w:tc>
          <w:tcPr>
            <w:tcW w:w="1115"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15,6 </w:t>
            </w:r>
          </w:p>
        </w:tc>
        <w:tc>
          <w:tcPr>
            <w:tcW w:w="815"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15,5 </w:t>
            </w:r>
          </w:p>
        </w:tc>
        <w:tc>
          <w:tcPr>
            <w:tcW w:w="815"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14,6 </w:t>
            </w:r>
          </w:p>
        </w:tc>
        <w:tc>
          <w:tcPr>
            <w:tcW w:w="815" w:type="dxa"/>
            <w:tcBorders>
              <w:top w:val="single" w:sz="8" w:space="0" w:color="4F81BD"/>
              <w:left w:val="single" w:sz="8" w:space="0" w:color="4F81BD"/>
              <w:bottom w:val="single" w:sz="8" w:space="0" w:color="4F81BD"/>
              <w:right w:val="single" w:sz="8" w:space="0" w:color="4F81BD"/>
            </w:tcBorders>
            <w:shd w:val="clear" w:color="auto" w:fill="FCD5B5"/>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12,3 </w:t>
            </w:r>
          </w:p>
        </w:tc>
      </w:tr>
      <w:tr w:rsidR="008220C2" w:rsidRPr="00563EF2" w:rsidTr="001C6624">
        <w:trPr>
          <w:trHeight w:val="272"/>
        </w:trPr>
        <w:tc>
          <w:tcPr>
            <w:tcW w:w="1118"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Wałbrzych </w:t>
            </w:r>
          </w:p>
        </w:tc>
        <w:tc>
          <w:tcPr>
            <w:tcW w:w="1113"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8,5</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8,6</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6,7</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12,1</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11,8</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20,2</w:t>
            </w:r>
          </w:p>
        </w:tc>
      </w:tr>
      <w:tr w:rsidR="008220C2" w:rsidRPr="00563EF2" w:rsidTr="001C6624">
        <w:trPr>
          <w:trHeight w:val="272"/>
        </w:trPr>
        <w:tc>
          <w:tcPr>
            <w:tcW w:w="1118"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Wrocław </w:t>
            </w:r>
          </w:p>
        </w:tc>
        <w:tc>
          <w:tcPr>
            <w:tcW w:w="1113"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28,4 </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31,8 </w:t>
            </w:r>
          </w:p>
        </w:tc>
        <w:tc>
          <w:tcPr>
            <w:tcW w:w="11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34,6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24,2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20,3 </w:t>
            </w:r>
          </w:p>
        </w:tc>
        <w:tc>
          <w:tcPr>
            <w:tcW w:w="815" w:type="dxa"/>
            <w:tcBorders>
              <w:top w:val="single" w:sz="8" w:space="0" w:color="4F81BD"/>
              <w:left w:val="single" w:sz="8" w:space="0" w:color="4F81BD"/>
              <w:bottom w:val="single" w:sz="8" w:space="0" w:color="4F81BD"/>
              <w:right w:val="single" w:sz="8" w:space="0" w:color="4F81BD"/>
            </w:tcBorders>
            <w:shd w:val="clear" w:color="auto" w:fill="auto"/>
            <w:tcMar>
              <w:top w:w="17" w:type="dxa"/>
              <w:left w:w="17" w:type="dxa"/>
              <w:bottom w:w="0" w:type="dxa"/>
              <w:right w:w="17" w:type="dxa"/>
            </w:tcMar>
            <w:vAlign w:val="bottom"/>
            <w:hideMark/>
          </w:tcPr>
          <w:p w:rsidR="008220C2" w:rsidRPr="00563EF2" w:rsidRDefault="008220C2" w:rsidP="001C6624">
            <w:pPr>
              <w:rPr>
                <w:rFonts w:asciiTheme="minorHAnsi" w:hAnsiTheme="minorHAnsi"/>
                <w:b/>
              </w:rPr>
            </w:pPr>
            <w:r w:rsidRPr="00563EF2">
              <w:rPr>
                <w:rFonts w:asciiTheme="minorHAnsi" w:hAnsiTheme="minorHAnsi"/>
                <w:b/>
                <w:sz w:val="22"/>
              </w:rPr>
              <w:t xml:space="preserve">21,5 </w:t>
            </w:r>
          </w:p>
        </w:tc>
      </w:tr>
    </w:tbl>
    <w:p w:rsidR="008220C2" w:rsidRPr="00A50D78" w:rsidRDefault="008220C2" w:rsidP="008220C2">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Pr="00A50D78">
        <w:rPr>
          <w:rFonts w:asciiTheme="minorHAnsi" w:hAnsiTheme="minorHAnsi"/>
          <w:sz w:val="20"/>
        </w:rPr>
        <w:t>, GUS</w:t>
      </w:r>
      <w:r w:rsidR="008B3862">
        <w:rPr>
          <w:rFonts w:asciiTheme="minorHAnsi" w:hAnsiTheme="minorHAnsi"/>
          <w:sz w:val="20"/>
        </w:rPr>
        <w:t>.</w:t>
      </w:r>
    </w:p>
    <w:p w:rsidR="001C6F8B" w:rsidRPr="00563EF2" w:rsidRDefault="001C6F8B" w:rsidP="008220C2">
      <w:pPr>
        <w:rPr>
          <w:rFonts w:asciiTheme="minorHAnsi" w:hAnsiTheme="minorHAnsi"/>
          <w:sz w:val="22"/>
        </w:rPr>
      </w:pPr>
    </w:p>
    <w:p w:rsidR="00F54F9E" w:rsidRDefault="008220C2" w:rsidP="00F54F9E">
      <w:pPr>
        <w:rPr>
          <w:rFonts w:asciiTheme="minorHAnsi" w:hAnsiTheme="minorHAnsi"/>
          <w:sz w:val="22"/>
        </w:rPr>
      </w:pPr>
      <w:r w:rsidRPr="00563EF2">
        <w:rPr>
          <w:rFonts w:asciiTheme="minorHAnsi" w:hAnsiTheme="minorHAnsi"/>
          <w:sz w:val="22"/>
        </w:rPr>
        <w:t>Realizacja</w:t>
      </w:r>
      <w:r w:rsidR="0008744D" w:rsidRPr="00563EF2">
        <w:rPr>
          <w:rFonts w:asciiTheme="minorHAnsi" w:hAnsiTheme="minorHAnsi"/>
          <w:sz w:val="22"/>
        </w:rPr>
        <w:t xml:space="preserve"> licznych</w:t>
      </w:r>
      <w:r w:rsidRPr="00563EF2">
        <w:rPr>
          <w:rFonts w:asciiTheme="minorHAnsi" w:hAnsiTheme="minorHAnsi"/>
          <w:sz w:val="22"/>
        </w:rPr>
        <w:t xml:space="preserve"> inwestycji i związane z tym powstawanie deficytu budżetowego doprowadziło do zwiększenia zadłużenia Miasta</w:t>
      </w:r>
      <w:r w:rsidR="0008744D" w:rsidRPr="00563EF2">
        <w:rPr>
          <w:rFonts w:asciiTheme="minorHAnsi" w:hAnsiTheme="minorHAnsi"/>
          <w:sz w:val="22"/>
        </w:rPr>
        <w:t xml:space="preserve"> i wzrostu związanych z tym kosztów obsługi długu publicznego</w:t>
      </w:r>
      <w:r w:rsidRPr="00563EF2">
        <w:rPr>
          <w:rFonts w:asciiTheme="minorHAnsi" w:hAnsiTheme="minorHAnsi"/>
          <w:sz w:val="22"/>
        </w:rPr>
        <w:t xml:space="preserve">. </w:t>
      </w:r>
      <w:r w:rsidR="001C6F8B" w:rsidRPr="00563EF2">
        <w:rPr>
          <w:rFonts w:asciiTheme="minorHAnsi" w:hAnsiTheme="minorHAnsi"/>
          <w:i/>
          <w:sz w:val="22"/>
        </w:rPr>
        <w:t>Wieloletni Plan Finansowy na lata 2014-2020</w:t>
      </w:r>
      <w:r w:rsidR="001C6F8B" w:rsidRPr="00563EF2">
        <w:rPr>
          <w:rFonts w:asciiTheme="minorHAnsi" w:hAnsiTheme="minorHAnsi"/>
          <w:sz w:val="22"/>
        </w:rPr>
        <w:t xml:space="preserve"> zakłada, iż w 2015 r.</w:t>
      </w:r>
      <w:r w:rsidR="00BC5391">
        <w:rPr>
          <w:rFonts w:asciiTheme="minorHAnsi" w:hAnsiTheme="minorHAnsi"/>
          <w:sz w:val="22"/>
        </w:rPr>
        <w:t xml:space="preserve"> także wystąpi deficyt jednak w </w:t>
      </w:r>
      <w:r w:rsidR="001C6F8B" w:rsidRPr="00563EF2">
        <w:rPr>
          <w:rFonts w:asciiTheme="minorHAnsi" w:hAnsiTheme="minorHAnsi"/>
          <w:sz w:val="22"/>
        </w:rPr>
        <w:t>kolejnych latach budżet miejski powinien generować nadwyżkę oraz</w:t>
      </w:r>
      <w:r w:rsidR="001C6F8B">
        <w:rPr>
          <w:rFonts w:asciiTheme="minorHAnsi" w:hAnsiTheme="minorHAnsi"/>
          <w:sz w:val="22"/>
        </w:rPr>
        <w:t xml:space="preserve"> zmniejszać poziom zadłużenia.</w:t>
      </w:r>
    </w:p>
    <w:p w:rsidR="00085DEF" w:rsidRPr="00F54F9E" w:rsidRDefault="00085DEF" w:rsidP="00F54F9E">
      <w:pPr>
        <w:rPr>
          <w:rFonts w:asciiTheme="minorHAnsi" w:hAnsiTheme="minorHAnsi"/>
          <w:sz w:val="22"/>
        </w:rPr>
      </w:pPr>
    </w:p>
    <w:p w:rsidR="00A65280" w:rsidRPr="00EA4219" w:rsidRDefault="00A65280" w:rsidP="00FD7676">
      <w:pPr>
        <w:pStyle w:val="Legenda"/>
        <w:keepNext/>
        <w:spacing w:line="276" w:lineRule="auto"/>
        <w:rPr>
          <w:rFonts w:asciiTheme="minorHAnsi" w:hAnsiTheme="minorHAnsi"/>
          <w:sz w:val="20"/>
        </w:rPr>
      </w:pPr>
      <w:r w:rsidRPr="00EA4219">
        <w:rPr>
          <w:rFonts w:asciiTheme="minorHAnsi" w:hAnsiTheme="minorHAnsi"/>
          <w:sz w:val="20"/>
        </w:rPr>
        <w:t xml:space="preserve">Tabela </w:t>
      </w:r>
      <w:r w:rsidR="00017794" w:rsidRPr="00EA4219">
        <w:rPr>
          <w:rFonts w:asciiTheme="minorHAnsi" w:hAnsiTheme="minorHAnsi"/>
          <w:sz w:val="20"/>
        </w:rPr>
        <w:fldChar w:fldCharType="begin"/>
      </w:r>
      <w:r w:rsidR="002C322A" w:rsidRPr="00EA4219">
        <w:rPr>
          <w:rFonts w:asciiTheme="minorHAnsi" w:hAnsiTheme="minorHAnsi"/>
          <w:sz w:val="20"/>
        </w:rPr>
        <w:instrText xml:space="preserve"> SEQ Tabela \* ARABIC </w:instrText>
      </w:r>
      <w:r w:rsidR="00017794" w:rsidRPr="00EA4219">
        <w:rPr>
          <w:rFonts w:asciiTheme="minorHAnsi" w:hAnsiTheme="minorHAnsi"/>
          <w:sz w:val="20"/>
        </w:rPr>
        <w:fldChar w:fldCharType="separate"/>
      </w:r>
      <w:r w:rsidR="007B2916">
        <w:rPr>
          <w:rFonts w:asciiTheme="minorHAnsi" w:hAnsiTheme="minorHAnsi"/>
          <w:noProof/>
          <w:sz w:val="20"/>
        </w:rPr>
        <w:t>36</w:t>
      </w:r>
      <w:r w:rsidR="00017794" w:rsidRPr="00EA4219">
        <w:rPr>
          <w:rFonts w:asciiTheme="minorHAnsi" w:hAnsiTheme="minorHAnsi"/>
          <w:sz w:val="20"/>
        </w:rPr>
        <w:fldChar w:fldCharType="end"/>
      </w:r>
      <w:r w:rsidRPr="00EA4219">
        <w:rPr>
          <w:rFonts w:asciiTheme="minorHAnsi" w:hAnsiTheme="minorHAnsi"/>
          <w:sz w:val="20"/>
        </w:rPr>
        <w:t>. Wydatki na obsługę długu publicznego na 1000 zł dochodu</w:t>
      </w:r>
    </w:p>
    <w:tbl>
      <w:tblPr>
        <w:tblW w:w="6940" w:type="dxa"/>
        <w:tblCellMar>
          <w:left w:w="0" w:type="dxa"/>
          <w:right w:w="0" w:type="dxa"/>
        </w:tblCellMar>
        <w:tblLook w:val="04A0" w:firstRow="1" w:lastRow="0" w:firstColumn="1" w:lastColumn="0" w:noHBand="0" w:noVBand="1"/>
      </w:tblPr>
      <w:tblGrid>
        <w:gridCol w:w="1345"/>
        <w:gridCol w:w="1119"/>
        <w:gridCol w:w="1119"/>
        <w:gridCol w:w="1119"/>
        <w:gridCol w:w="1119"/>
        <w:gridCol w:w="1119"/>
      </w:tblGrid>
      <w:tr w:rsidR="00A65280" w:rsidRPr="00563EF2" w:rsidTr="00F54F9E">
        <w:trPr>
          <w:trHeight w:val="235"/>
        </w:trPr>
        <w:tc>
          <w:tcPr>
            <w:tcW w:w="1345"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A65280" w:rsidRPr="00563EF2" w:rsidRDefault="00A65280" w:rsidP="00FD7676">
            <w:pPr>
              <w:rPr>
                <w:rFonts w:asciiTheme="minorHAnsi" w:hAnsiTheme="minorHAnsi"/>
                <w:b/>
              </w:rPr>
            </w:pP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2C322A" w:rsidRPr="00563EF2" w:rsidRDefault="00A65280" w:rsidP="00FD7676">
            <w:pPr>
              <w:rPr>
                <w:rFonts w:asciiTheme="minorHAnsi" w:hAnsiTheme="minorHAnsi"/>
                <w:b/>
              </w:rPr>
            </w:pPr>
            <w:r w:rsidRPr="00563EF2">
              <w:rPr>
                <w:rFonts w:asciiTheme="minorHAnsi" w:hAnsiTheme="minorHAnsi"/>
                <w:b/>
                <w:bCs/>
                <w:sz w:val="22"/>
              </w:rPr>
              <w:t xml:space="preserve">2008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2C322A" w:rsidRPr="00563EF2" w:rsidRDefault="00A65280" w:rsidP="00FD7676">
            <w:pPr>
              <w:rPr>
                <w:rFonts w:asciiTheme="minorHAnsi" w:hAnsiTheme="minorHAnsi"/>
                <w:b/>
              </w:rPr>
            </w:pPr>
            <w:r w:rsidRPr="00563EF2">
              <w:rPr>
                <w:rFonts w:asciiTheme="minorHAnsi" w:hAnsiTheme="minorHAnsi"/>
                <w:b/>
                <w:bCs/>
                <w:sz w:val="22"/>
              </w:rPr>
              <w:t xml:space="preserve">2009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2C322A" w:rsidRPr="00563EF2" w:rsidRDefault="00A65280" w:rsidP="00FD7676">
            <w:pPr>
              <w:rPr>
                <w:rFonts w:asciiTheme="minorHAnsi" w:hAnsiTheme="minorHAnsi"/>
                <w:b/>
              </w:rPr>
            </w:pPr>
            <w:r w:rsidRPr="00563EF2">
              <w:rPr>
                <w:rFonts w:asciiTheme="minorHAnsi" w:hAnsiTheme="minorHAnsi"/>
                <w:b/>
                <w:bCs/>
                <w:sz w:val="22"/>
              </w:rPr>
              <w:t xml:space="preserve">2010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2C322A" w:rsidRPr="00563EF2" w:rsidRDefault="00A65280" w:rsidP="00FD7676">
            <w:pPr>
              <w:rPr>
                <w:rFonts w:asciiTheme="minorHAnsi" w:hAnsiTheme="minorHAnsi"/>
                <w:b/>
              </w:rPr>
            </w:pPr>
            <w:r w:rsidRPr="00563EF2">
              <w:rPr>
                <w:rFonts w:asciiTheme="minorHAnsi" w:hAnsiTheme="minorHAnsi"/>
                <w:b/>
                <w:bCs/>
                <w:sz w:val="22"/>
              </w:rPr>
              <w:t xml:space="preserve">2011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2C322A" w:rsidRPr="00563EF2" w:rsidRDefault="00A65280" w:rsidP="00FD7676">
            <w:pPr>
              <w:rPr>
                <w:rFonts w:asciiTheme="minorHAnsi" w:hAnsiTheme="minorHAnsi"/>
                <w:b/>
              </w:rPr>
            </w:pPr>
            <w:r w:rsidRPr="00563EF2">
              <w:rPr>
                <w:rFonts w:asciiTheme="minorHAnsi" w:hAnsiTheme="minorHAnsi"/>
                <w:b/>
                <w:bCs/>
                <w:sz w:val="22"/>
              </w:rPr>
              <w:t xml:space="preserve">2012 </w:t>
            </w:r>
          </w:p>
        </w:tc>
      </w:tr>
      <w:tr w:rsidR="00725633" w:rsidRPr="00563EF2" w:rsidTr="00F54F9E">
        <w:trPr>
          <w:trHeight w:val="235"/>
        </w:trPr>
        <w:tc>
          <w:tcPr>
            <w:tcW w:w="1345"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725633" w:rsidRPr="00563EF2" w:rsidRDefault="00725633" w:rsidP="00725633">
            <w:pPr>
              <w:rPr>
                <w:rFonts w:asciiTheme="minorHAnsi" w:hAnsiTheme="minorHAnsi"/>
                <w:b/>
              </w:rPr>
            </w:pPr>
            <w:r w:rsidRPr="00563EF2">
              <w:rPr>
                <w:rFonts w:asciiTheme="minorHAnsi" w:hAnsiTheme="minorHAnsi"/>
                <w:b/>
                <w:sz w:val="22"/>
              </w:rPr>
              <w:t xml:space="preserve">Jelenia Góra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8,4</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11,3</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11,7</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12,5</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18,0</w:t>
            </w:r>
          </w:p>
        </w:tc>
      </w:tr>
      <w:tr w:rsidR="00725633" w:rsidRPr="00563EF2" w:rsidTr="00F54F9E">
        <w:trPr>
          <w:trHeight w:val="235"/>
        </w:trPr>
        <w:tc>
          <w:tcPr>
            <w:tcW w:w="1345" w:type="dxa"/>
            <w:tcBorders>
              <w:top w:val="single" w:sz="8" w:space="0" w:color="4F81BD"/>
              <w:left w:val="single" w:sz="8" w:space="0" w:color="4F81BD"/>
              <w:bottom w:val="single" w:sz="8" w:space="0" w:color="4F81BD"/>
              <w:right w:val="single" w:sz="8" w:space="0" w:color="4F81BD"/>
            </w:tcBorders>
            <w:shd w:val="clear" w:color="auto" w:fill="E46C0A"/>
            <w:tcMar>
              <w:top w:w="15" w:type="dxa"/>
              <w:left w:w="15" w:type="dxa"/>
              <w:bottom w:w="0" w:type="dxa"/>
              <w:right w:w="15" w:type="dxa"/>
            </w:tcMar>
            <w:vAlign w:val="bottom"/>
            <w:hideMark/>
          </w:tcPr>
          <w:p w:rsidR="00725633" w:rsidRPr="00563EF2" w:rsidRDefault="00725633" w:rsidP="00725633">
            <w:pPr>
              <w:rPr>
                <w:rFonts w:asciiTheme="minorHAnsi" w:hAnsiTheme="minorHAnsi"/>
                <w:b/>
              </w:rPr>
            </w:pPr>
            <w:r w:rsidRPr="00563EF2">
              <w:rPr>
                <w:rFonts w:asciiTheme="minorHAnsi" w:hAnsiTheme="minorHAnsi"/>
                <w:b/>
                <w:sz w:val="22"/>
              </w:rPr>
              <w:t xml:space="preserve">Legnica </w:t>
            </w:r>
          </w:p>
        </w:tc>
        <w:tc>
          <w:tcPr>
            <w:tcW w:w="1119" w:type="dxa"/>
            <w:tcBorders>
              <w:top w:val="single" w:sz="8" w:space="0" w:color="4F81BD"/>
              <w:left w:val="single" w:sz="8" w:space="0" w:color="4F81BD"/>
              <w:bottom w:val="single" w:sz="8" w:space="0" w:color="4F81BD"/>
              <w:right w:val="single" w:sz="8" w:space="0" w:color="4F81BD"/>
            </w:tcBorders>
            <w:shd w:val="clear" w:color="auto" w:fill="FCD5B5"/>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9,0</w:t>
            </w:r>
          </w:p>
        </w:tc>
        <w:tc>
          <w:tcPr>
            <w:tcW w:w="1119" w:type="dxa"/>
            <w:tcBorders>
              <w:top w:val="single" w:sz="8" w:space="0" w:color="4F81BD"/>
              <w:left w:val="single" w:sz="8" w:space="0" w:color="4F81BD"/>
              <w:bottom w:val="single" w:sz="8" w:space="0" w:color="4F81BD"/>
              <w:right w:val="single" w:sz="8" w:space="0" w:color="4F81BD"/>
            </w:tcBorders>
            <w:shd w:val="clear" w:color="auto" w:fill="FCD5B5"/>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7,2</w:t>
            </w:r>
          </w:p>
        </w:tc>
        <w:tc>
          <w:tcPr>
            <w:tcW w:w="1119" w:type="dxa"/>
            <w:tcBorders>
              <w:top w:val="single" w:sz="8" w:space="0" w:color="4F81BD"/>
              <w:left w:val="single" w:sz="8" w:space="0" w:color="4F81BD"/>
              <w:bottom w:val="single" w:sz="8" w:space="0" w:color="4F81BD"/>
              <w:right w:val="single" w:sz="8" w:space="0" w:color="4F81BD"/>
            </w:tcBorders>
            <w:shd w:val="clear" w:color="auto" w:fill="FCD5B5"/>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11,3</w:t>
            </w:r>
          </w:p>
        </w:tc>
        <w:tc>
          <w:tcPr>
            <w:tcW w:w="1119" w:type="dxa"/>
            <w:tcBorders>
              <w:top w:val="single" w:sz="8" w:space="0" w:color="4F81BD"/>
              <w:left w:val="single" w:sz="8" w:space="0" w:color="4F81BD"/>
              <w:bottom w:val="single" w:sz="8" w:space="0" w:color="4F81BD"/>
              <w:right w:val="single" w:sz="8" w:space="0" w:color="4F81BD"/>
            </w:tcBorders>
            <w:shd w:val="clear" w:color="auto" w:fill="FCD5B5"/>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22,6</w:t>
            </w:r>
          </w:p>
        </w:tc>
        <w:tc>
          <w:tcPr>
            <w:tcW w:w="1119" w:type="dxa"/>
            <w:tcBorders>
              <w:top w:val="single" w:sz="8" w:space="0" w:color="4F81BD"/>
              <w:left w:val="single" w:sz="8" w:space="0" w:color="4F81BD"/>
              <w:bottom w:val="single" w:sz="8" w:space="0" w:color="4F81BD"/>
              <w:right w:val="single" w:sz="8" w:space="0" w:color="4F81BD"/>
            </w:tcBorders>
            <w:shd w:val="clear" w:color="auto" w:fill="FCD5B5"/>
            <w:tcMar>
              <w:top w:w="15" w:type="dxa"/>
              <w:left w:w="15" w:type="dxa"/>
              <w:bottom w:w="0" w:type="dxa"/>
              <w:right w:w="15" w:type="dxa"/>
            </w:tcMar>
            <w:vAlign w:val="bottom"/>
            <w:hideMark/>
          </w:tcPr>
          <w:p w:rsidR="00725633" w:rsidRPr="00563EF2" w:rsidRDefault="00725633" w:rsidP="00725633">
            <w:pPr>
              <w:rPr>
                <w:rFonts w:asciiTheme="minorHAnsi" w:hAnsiTheme="minorHAnsi"/>
                <w:b/>
              </w:rPr>
            </w:pPr>
            <w:r w:rsidRPr="00563EF2">
              <w:rPr>
                <w:rFonts w:asciiTheme="minorHAnsi" w:hAnsiTheme="minorHAnsi"/>
                <w:b/>
                <w:sz w:val="22"/>
              </w:rPr>
              <w:t xml:space="preserve">26,6 </w:t>
            </w:r>
          </w:p>
        </w:tc>
      </w:tr>
      <w:tr w:rsidR="00725633" w:rsidRPr="00563EF2" w:rsidTr="00F54F9E">
        <w:trPr>
          <w:trHeight w:val="235"/>
        </w:trPr>
        <w:tc>
          <w:tcPr>
            <w:tcW w:w="1345"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725633" w:rsidRPr="00563EF2" w:rsidRDefault="00725633" w:rsidP="00725633">
            <w:pPr>
              <w:rPr>
                <w:rFonts w:asciiTheme="minorHAnsi" w:hAnsiTheme="minorHAnsi"/>
                <w:b/>
              </w:rPr>
            </w:pPr>
            <w:r w:rsidRPr="00563EF2">
              <w:rPr>
                <w:rFonts w:asciiTheme="minorHAnsi" w:hAnsiTheme="minorHAnsi"/>
                <w:b/>
                <w:sz w:val="22"/>
              </w:rPr>
              <w:t xml:space="preserve">Wałbrzych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28,5</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21,2</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21,7</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28,2</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34,5</w:t>
            </w:r>
          </w:p>
        </w:tc>
      </w:tr>
      <w:tr w:rsidR="00725633" w:rsidRPr="00563EF2" w:rsidTr="00F54F9E">
        <w:trPr>
          <w:trHeight w:val="235"/>
        </w:trPr>
        <w:tc>
          <w:tcPr>
            <w:tcW w:w="1345"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bottom"/>
            <w:hideMark/>
          </w:tcPr>
          <w:p w:rsidR="00725633" w:rsidRPr="00563EF2" w:rsidRDefault="00725633" w:rsidP="00725633">
            <w:pPr>
              <w:rPr>
                <w:rFonts w:asciiTheme="minorHAnsi" w:hAnsiTheme="minorHAnsi"/>
                <w:b/>
              </w:rPr>
            </w:pPr>
            <w:r w:rsidRPr="00563EF2">
              <w:rPr>
                <w:rFonts w:asciiTheme="minorHAnsi" w:hAnsiTheme="minorHAnsi"/>
                <w:b/>
                <w:sz w:val="22"/>
              </w:rPr>
              <w:t xml:space="preserve">Wrocław </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10,5</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19,9</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21,8</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23,5</w:t>
            </w:r>
          </w:p>
        </w:tc>
        <w:tc>
          <w:tcPr>
            <w:tcW w:w="1119"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hideMark/>
          </w:tcPr>
          <w:p w:rsidR="00725633" w:rsidRPr="00725633" w:rsidRDefault="00725633" w:rsidP="00725633">
            <w:pPr>
              <w:rPr>
                <w:rFonts w:asciiTheme="minorHAnsi" w:hAnsiTheme="minorHAnsi"/>
                <w:b/>
                <w:sz w:val="22"/>
              </w:rPr>
            </w:pPr>
            <w:r w:rsidRPr="00725633">
              <w:rPr>
                <w:rFonts w:asciiTheme="minorHAnsi" w:hAnsiTheme="minorHAnsi"/>
                <w:b/>
                <w:sz w:val="22"/>
              </w:rPr>
              <w:t>26,9</w:t>
            </w:r>
          </w:p>
        </w:tc>
      </w:tr>
    </w:tbl>
    <w:p w:rsidR="00A65280" w:rsidRPr="00A50D78" w:rsidRDefault="0008744D" w:rsidP="00FD7676">
      <w:pPr>
        <w:rPr>
          <w:rFonts w:asciiTheme="minorHAnsi" w:hAnsiTheme="minorHAnsi"/>
          <w:sz w:val="20"/>
        </w:rPr>
      </w:pPr>
      <w:r w:rsidRPr="00A50D78">
        <w:rPr>
          <w:rFonts w:asciiTheme="minorHAnsi" w:hAnsiTheme="minorHAnsi"/>
          <w:sz w:val="20"/>
        </w:rPr>
        <w:t xml:space="preserve">Źródło: Opracowanie własne na podstawie: </w:t>
      </w:r>
      <w:r w:rsidRPr="00A50D78">
        <w:rPr>
          <w:rFonts w:asciiTheme="minorHAnsi" w:hAnsiTheme="minorHAnsi"/>
          <w:i/>
          <w:sz w:val="20"/>
        </w:rPr>
        <w:t>Bank Danych Lokalnych</w:t>
      </w:r>
      <w:r w:rsidR="00700661">
        <w:rPr>
          <w:rFonts w:asciiTheme="minorHAnsi" w:hAnsiTheme="minorHAnsi"/>
          <w:sz w:val="20"/>
        </w:rPr>
        <w:t>, GUS</w:t>
      </w:r>
      <w:r w:rsidR="008B3862">
        <w:rPr>
          <w:rFonts w:asciiTheme="minorHAnsi" w:hAnsiTheme="minorHAnsi"/>
          <w:sz w:val="20"/>
        </w:rPr>
        <w:t>.</w:t>
      </w:r>
    </w:p>
    <w:p w:rsidR="00265247" w:rsidRPr="00563EF2" w:rsidRDefault="00265247" w:rsidP="00FD7676">
      <w:pPr>
        <w:rPr>
          <w:rFonts w:asciiTheme="minorHAnsi" w:hAnsiTheme="minorHAnsi"/>
          <w:sz w:val="22"/>
        </w:rPr>
      </w:pPr>
      <w:r w:rsidRPr="00563EF2">
        <w:rPr>
          <w:rFonts w:asciiTheme="minorHAnsi" w:hAnsiTheme="minorHAnsi"/>
          <w:sz w:val="22"/>
        </w:rPr>
        <w:t>Wyraźną zmianą w strukturze wydatków budżetu w 2014 r. w porównaniu z latami 2008 i 2012 jest zwiększenie nakładów na transport i łączność oraz gospodarkę komunalną i ochronę środowiska, przy zmniejszeniu wydatków na pomoc społeczną, oświatę i wychowanie oraz kulturę fizyczną. Ma to głównie związek ze zmianą priorytetów inwestycyjnych ukierunkowanych na rozwój infrastruktury komunikacyjno-drogowej oraz infrastruktury technicznej oraz zakońc</w:t>
      </w:r>
      <w:r w:rsidR="003863E7">
        <w:rPr>
          <w:rFonts w:asciiTheme="minorHAnsi" w:hAnsiTheme="minorHAnsi"/>
          <w:sz w:val="22"/>
        </w:rPr>
        <w:t>zeniem części inwestycji, np. </w:t>
      </w:r>
      <w:r w:rsidRPr="00563EF2">
        <w:rPr>
          <w:rFonts w:asciiTheme="minorHAnsi" w:hAnsiTheme="minorHAnsi"/>
          <w:sz w:val="22"/>
        </w:rPr>
        <w:t xml:space="preserve">modernizację boisk i obiektów sportowo-rekreacyjnych. </w:t>
      </w:r>
    </w:p>
    <w:p w:rsidR="00265247" w:rsidRPr="00C640C5" w:rsidRDefault="00265247" w:rsidP="00265247">
      <w:pPr>
        <w:pStyle w:val="Legenda"/>
        <w:keepNext/>
        <w:rPr>
          <w:rFonts w:asciiTheme="minorHAnsi" w:hAnsiTheme="minorHAnsi"/>
          <w:sz w:val="20"/>
        </w:rPr>
      </w:pPr>
      <w:r w:rsidRPr="00C640C5">
        <w:rPr>
          <w:rFonts w:asciiTheme="minorHAnsi" w:hAnsiTheme="minorHAnsi"/>
          <w:sz w:val="20"/>
        </w:rPr>
        <w:t xml:space="preserve">Wykres </w:t>
      </w:r>
      <w:r w:rsidR="00085DEF">
        <w:rPr>
          <w:rFonts w:asciiTheme="minorHAnsi" w:hAnsiTheme="minorHAnsi"/>
          <w:sz w:val="20"/>
        </w:rPr>
        <w:t>19</w:t>
      </w:r>
      <w:r w:rsidR="005A0296" w:rsidRPr="00C640C5">
        <w:rPr>
          <w:rFonts w:asciiTheme="minorHAnsi" w:hAnsiTheme="minorHAnsi"/>
          <w:sz w:val="20"/>
        </w:rPr>
        <w:fldChar w:fldCharType="begin"/>
      </w:r>
      <w:r w:rsidR="005A0296" w:rsidRPr="00C640C5">
        <w:rPr>
          <w:rFonts w:asciiTheme="minorHAnsi" w:hAnsiTheme="minorHAnsi"/>
          <w:sz w:val="20"/>
        </w:rPr>
        <w:instrText xml:space="preserve"> SEQ Wykres \* ARABIC </w:instrText>
      </w:r>
      <w:r w:rsidR="005A0296" w:rsidRPr="00C640C5">
        <w:rPr>
          <w:rFonts w:asciiTheme="minorHAnsi" w:hAnsiTheme="minorHAnsi"/>
          <w:sz w:val="20"/>
        </w:rPr>
        <w:fldChar w:fldCharType="separate"/>
      </w:r>
      <w:r w:rsidR="007B2916">
        <w:rPr>
          <w:rFonts w:asciiTheme="minorHAnsi" w:hAnsiTheme="minorHAnsi"/>
          <w:noProof/>
          <w:sz w:val="20"/>
        </w:rPr>
        <w:t>19</w:t>
      </w:r>
      <w:r w:rsidR="005A0296" w:rsidRPr="00C640C5">
        <w:rPr>
          <w:rFonts w:asciiTheme="minorHAnsi" w:hAnsiTheme="minorHAnsi"/>
          <w:sz w:val="20"/>
        </w:rPr>
        <w:fldChar w:fldCharType="end"/>
      </w:r>
      <w:r w:rsidR="00F20511">
        <w:rPr>
          <w:rFonts w:asciiTheme="minorHAnsi" w:hAnsiTheme="minorHAnsi"/>
          <w:sz w:val="20"/>
        </w:rPr>
        <w:t>.</w:t>
      </w:r>
      <w:r w:rsidRPr="00C640C5">
        <w:rPr>
          <w:rFonts w:asciiTheme="minorHAnsi" w:hAnsiTheme="minorHAnsi"/>
          <w:sz w:val="20"/>
        </w:rPr>
        <w:t xml:space="preserve"> Struktura wydatków budżetowych  Miasta Legnicy  w latach 2008, 2012, 2014</w:t>
      </w:r>
    </w:p>
    <w:p w:rsidR="00265247" w:rsidRPr="00563EF2" w:rsidRDefault="00265247" w:rsidP="00FD7676">
      <w:pPr>
        <w:rPr>
          <w:rFonts w:asciiTheme="minorHAnsi" w:hAnsiTheme="minorHAnsi"/>
          <w:sz w:val="22"/>
        </w:rPr>
      </w:pPr>
      <w:r w:rsidRPr="00563EF2">
        <w:rPr>
          <w:rFonts w:asciiTheme="minorHAnsi" w:hAnsiTheme="minorHAnsi"/>
          <w:noProof/>
          <w:sz w:val="22"/>
          <w:lang w:eastAsia="pl-PL"/>
        </w:rPr>
        <w:drawing>
          <wp:inline distT="0" distB="0" distL="0" distR="0" wp14:anchorId="019FA0CD" wp14:editId="63E8808F">
            <wp:extent cx="6143625" cy="6677025"/>
            <wp:effectExtent l="0" t="0" r="9525" b="9525"/>
            <wp:docPr id="63"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65247" w:rsidRPr="00A50D78" w:rsidRDefault="00265247" w:rsidP="00FD7676">
      <w:pPr>
        <w:pStyle w:val="Nagwek4"/>
        <w:rPr>
          <w:rFonts w:asciiTheme="minorHAnsi" w:hAnsiTheme="minorHAnsi"/>
          <w:b w:val="0"/>
          <w:i w:val="0"/>
          <w:color w:val="000000" w:themeColor="text1"/>
          <w:sz w:val="20"/>
        </w:rPr>
      </w:pPr>
      <w:r w:rsidRPr="00A50D78">
        <w:rPr>
          <w:rFonts w:asciiTheme="minorHAnsi" w:hAnsiTheme="minorHAnsi"/>
          <w:b w:val="0"/>
          <w:i w:val="0"/>
          <w:color w:val="000000" w:themeColor="text1"/>
          <w:sz w:val="20"/>
        </w:rPr>
        <w:t xml:space="preserve">Źródło: Opracowanie własne na podstawie: </w:t>
      </w:r>
      <w:r w:rsidRPr="00700661">
        <w:rPr>
          <w:rFonts w:asciiTheme="minorHAnsi" w:hAnsiTheme="minorHAnsi"/>
          <w:b w:val="0"/>
          <w:color w:val="000000" w:themeColor="text1"/>
          <w:sz w:val="20"/>
        </w:rPr>
        <w:t>Bank Danych Lokalnych</w:t>
      </w:r>
      <w:r w:rsidRPr="00A50D78">
        <w:rPr>
          <w:rFonts w:asciiTheme="minorHAnsi" w:hAnsiTheme="minorHAnsi"/>
          <w:b w:val="0"/>
          <w:i w:val="0"/>
          <w:color w:val="000000" w:themeColor="text1"/>
          <w:sz w:val="20"/>
        </w:rPr>
        <w:t xml:space="preserve">, GUS; </w:t>
      </w:r>
      <w:r w:rsidRPr="00A50D78">
        <w:rPr>
          <w:rFonts w:asciiTheme="minorHAnsi" w:hAnsiTheme="minorHAnsi"/>
          <w:b w:val="0"/>
          <w:color w:val="000000" w:themeColor="text1"/>
          <w:sz w:val="20"/>
        </w:rPr>
        <w:t>Budżet Miasta Legnicy na rok 2014</w:t>
      </w:r>
      <w:r w:rsidR="00700661">
        <w:rPr>
          <w:rFonts w:asciiTheme="minorHAnsi" w:hAnsiTheme="minorHAnsi"/>
          <w:b w:val="0"/>
          <w:i w:val="0"/>
          <w:color w:val="000000" w:themeColor="text1"/>
          <w:sz w:val="20"/>
        </w:rPr>
        <w:t>, UML</w:t>
      </w:r>
      <w:r w:rsidR="008B3862">
        <w:rPr>
          <w:rFonts w:asciiTheme="minorHAnsi" w:hAnsiTheme="minorHAnsi"/>
          <w:b w:val="0"/>
          <w:i w:val="0"/>
          <w:color w:val="000000" w:themeColor="text1"/>
          <w:sz w:val="20"/>
        </w:rPr>
        <w:t>.</w:t>
      </w:r>
    </w:p>
    <w:p w:rsidR="00EB06A5" w:rsidRDefault="00EB06A5" w:rsidP="00EB06A5"/>
    <w:p w:rsidR="00FD4BAB" w:rsidRPr="00EB06A5" w:rsidRDefault="00FD4BAB" w:rsidP="00EC5484">
      <w:pPr>
        <w:pStyle w:val="Nagwek3"/>
      </w:pPr>
      <w:bookmarkStart w:id="39" w:name="_Toc399756326"/>
      <w:r w:rsidRPr="00EB06A5">
        <w:t>Rynek pracy</w:t>
      </w:r>
      <w:bookmarkEnd w:id="39"/>
    </w:p>
    <w:p w:rsidR="00ED0DD8" w:rsidRPr="00563EF2" w:rsidRDefault="00ED0DD8" w:rsidP="00FD7676">
      <w:pPr>
        <w:rPr>
          <w:rFonts w:asciiTheme="minorHAnsi" w:hAnsiTheme="minorHAnsi"/>
          <w:sz w:val="22"/>
        </w:rPr>
      </w:pPr>
    </w:p>
    <w:p w:rsidR="007E3A89" w:rsidRPr="00563EF2" w:rsidRDefault="007E3A89" w:rsidP="00FD7676">
      <w:pPr>
        <w:rPr>
          <w:rFonts w:asciiTheme="minorHAnsi" w:hAnsiTheme="minorHAnsi"/>
          <w:sz w:val="22"/>
        </w:rPr>
      </w:pPr>
      <w:r w:rsidRPr="00563EF2">
        <w:rPr>
          <w:rFonts w:asciiTheme="minorHAnsi" w:hAnsiTheme="minorHAnsi"/>
          <w:sz w:val="22"/>
        </w:rPr>
        <w:t xml:space="preserve">Wg danych GUS w 2012 r. w Legnicy pracowało 33 978 osób. Najwięcej osób pracowało w </w:t>
      </w:r>
      <w:r w:rsidR="00FD4BAB" w:rsidRPr="00563EF2">
        <w:rPr>
          <w:rFonts w:asciiTheme="minorHAnsi" w:hAnsiTheme="minorHAnsi"/>
          <w:sz w:val="22"/>
        </w:rPr>
        <w:t>usługach – 14 697 osób (43,25%)</w:t>
      </w:r>
      <w:r w:rsidRPr="00563EF2">
        <w:rPr>
          <w:rFonts w:asciiTheme="minorHAnsi" w:hAnsiTheme="minorHAnsi"/>
          <w:sz w:val="22"/>
        </w:rPr>
        <w:t xml:space="preserve"> oraz przemyśle i budownictwie – 10 837 osób (31,89%). Najmniej osób pracowało w rolnictwie, łowiectwie, leśnictwie i rybactwie, jedynie 324 osoby (0,95%).</w:t>
      </w:r>
    </w:p>
    <w:p w:rsidR="00FD4BAB" w:rsidRPr="00563EF2" w:rsidRDefault="00FD4BAB" w:rsidP="00FD7676">
      <w:pPr>
        <w:rPr>
          <w:rFonts w:asciiTheme="minorHAnsi" w:hAnsiTheme="minorHAnsi"/>
          <w:sz w:val="22"/>
        </w:rPr>
      </w:pP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B05348">
        <w:rPr>
          <w:rFonts w:asciiTheme="minorHAnsi" w:hAnsiTheme="minorHAnsi"/>
          <w:sz w:val="20"/>
          <w:szCs w:val="22"/>
        </w:rPr>
        <w:t>20</w:t>
      </w:r>
      <w:r w:rsidRPr="00EA4219">
        <w:rPr>
          <w:rFonts w:asciiTheme="minorHAnsi" w:hAnsiTheme="minorHAnsi"/>
          <w:sz w:val="20"/>
          <w:szCs w:val="22"/>
        </w:rPr>
        <w:t xml:space="preserve">. Pracujący w Legnicy wg grup sekcji PKD 2007 </w:t>
      </w:r>
      <w:r w:rsidRPr="00EA4219">
        <w:rPr>
          <w:rFonts w:asciiTheme="minorHAnsi" w:hAnsiTheme="minorHAnsi"/>
          <w:noProof/>
          <w:sz w:val="20"/>
          <w:szCs w:val="22"/>
        </w:rPr>
        <w:t>w 2012 r.</w:t>
      </w:r>
    </w:p>
    <w:p w:rsidR="007E3A89" w:rsidRPr="00563EF2" w:rsidRDefault="007E3A89" w:rsidP="00FD7676">
      <w:pPr>
        <w:rPr>
          <w:rFonts w:asciiTheme="minorHAnsi" w:hAnsiTheme="minorHAnsi"/>
          <w:sz w:val="22"/>
        </w:rPr>
      </w:pPr>
      <w:r w:rsidRPr="00563EF2">
        <w:rPr>
          <w:rFonts w:asciiTheme="minorHAnsi" w:hAnsiTheme="minorHAnsi"/>
          <w:noProof/>
          <w:sz w:val="22"/>
          <w:lang w:eastAsia="pl-PL"/>
        </w:rPr>
        <w:drawing>
          <wp:inline distT="0" distB="0" distL="0" distR="0" wp14:anchorId="6998CE9B" wp14:editId="263B01C0">
            <wp:extent cx="6219825" cy="3248025"/>
            <wp:effectExtent l="0" t="0" r="0" b="0"/>
            <wp:docPr id="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5194B" w:rsidRPr="00700661" w:rsidRDefault="007E3A89" w:rsidP="00FD7676">
      <w:pPr>
        <w:rPr>
          <w:rFonts w:asciiTheme="minorHAnsi" w:hAnsiTheme="minorHAnsi"/>
          <w:sz w:val="20"/>
        </w:rPr>
      </w:pPr>
      <w:r w:rsidRPr="00700661">
        <w:rPr>
          <w:rFonts w:asciiTheme="minorHAnsi" w:hAnsiTheme="minorHAnsi"/>
          <w:sz w:val="20"/>
        </w:rPr>
        <w:t xml:space="preserve">Źródło: Opracowanie własne na podstawie: </w:t>
      </w:r>
      <w:r w:rsidRPr="00700661">
        <w:rPr>
          <w:rFonts w:asciiTheme="minorHAnsi" w:hAnsiTheme="minorHAnsi"/>
          <w:i/>
          <w:sz w:val="20"/>
        </w:rPr>
        <w:t>Bank Danych Lokalnych</w:t>
      </w:r>
      <w:r w:rsidR="00700661">
        <w:rPr>
          <w:rFonts w:asciiTheme="minorHAnsi" w:hAnsiTheme="minorHAnsi"/>
          <w:sz w:val="20"/>
        </w:rPr>
        <w:t>, GUS</w:t>
      </w:r>
      <w:r w:rsidR="008B3862">
        <w:rPr>
          <w:rFonts w:asciiTheme="minorHAnsi" w:hAnsiTheme="minorHAnsi"/>
          <w:sz w:val="20"/>
        </w:rPr>
        <w:t>.</w:t>
      </w:r>
    </w:p>
    <w:p w:rsidR="006D4674" w:rsidRPr="00563EF2" w:rsidRDefault="006D4674" w:rsidP="00FD7676">
      <w:pPr>
        <w:rPr>
          <w:rFonts w:asciiTheme="minorHAnsi" w:hAnsiTheme="minorHAnsi"/>
          <w:sz w:val="22"/>
        </w:rPr>
      </w:pPr>
    </w:p>
    <w:p w:rsidR="006D4674" w:rsidRPr="00EA4219" w:rsidRDefault="006D4674" w:rsidP="00FD7676">
      <w:pPr>
        <w:pStyle w:val="Legenda"/>
        <w:keepNext/>
        <w:spacing w:line="276" w:lineRule="auto"/>
        <w:rPr>
          <w:rFonts w:asciiTheme="minorHAnsi" w:hAnsiTheme="minorHAnsi"/>
          <w:sz w:val="20"/>
        </w:rPr>
      </w:pPr>
      <w:r w:rsidRPr="00EA4219">
        <w:rPr>
          <w:rFonts w:asciiTheme="minorHAnsi" w:hAnsiTheme="minorHAnsi"/>
          <w:sz w:val="20"/>
        </w:rPr>
        <w:t>Wykres</w:t>
      </w:r>
      <w:r w:rsidR="00B05348">
        <w:rPr>
          <w:rFonts w:asciiTheme="minorHAnsi" w:hAnsiTheme="minorHAnsi"/>
          <w:sz w:val="20"/>
        </w:rPr>
        <w:t xml:space="preserve"> 21</w:t>
      </w:r>
      <w:r w:rsidRPr="00EA4219">
        <w:rPr>
          <w:rFonts w:asciiTheme="minorHAnsi" w:hAnsiTheme="minorHAnsi"/>
          <w:sz w:val="20"/>
        </w:rPr>
        <w:t>. Przeciętne miesięczne wynagrodzenia (w podmiotach o zatrudnieniu pow. 9 osób) na tle kraju, województwa, powiatów</w:t>
      </w:r>
      <w:r w:rsidR="00FD35CD">
        <w:rPr>
          <w:rFonts w:asciiTheme="minorHAnsi" w:hAnsiTheme="minorHAnsi"/>
          <w:sz w:val="20"/>
        </w:rPr>
        <w:t>:</w:t>
      </w:r>
      <w:r w:rsidRPr="00EA4219">
        <w:rPr>
          <w:rFonts w:asciiTheme="minorHAnsi" w:hAnsiTheme="minorHAnsi"/>
          <w:sz w:val="20"/>
        </w:rPr>
        <w:t xml:space="preserve"> legnickiego i wałbrzyskiego oraz innych dużych miast regionu w 2012 r.</w:t>
      </w:r>
    </w:p>
    <w:p w:rsidR="006D4674" w:rsidRPr="00563EF2" w:rsidRDefault="006D4674" w:rsidP="00FD7676">
      <w:pPr>
        <w:rPr>
          <w:rFonts w:asciiTheme="minorHAnsi" w:hAnsiTheme="minorHAnsi"/>
        </w:rPr>
      </w:pPr>
      <w:r w:rsidRPr="00563EF2">
        <w:rPr>
          <w:rFonts w:asciiTheme="minorHAnsi" w:hAnsiTheme="minorHAnsi"/>
          <w:noProof/>
          <w:lang w:eastAsia="pl-PL"/>
        </w:rPr>
        <w:drawing>
          <wp:inline distT="0" distB="0" distL="0" distR="0" wp14:anchorId="40BEFCBD" wp14:editId="79F2BE44">
            <wp:extent cx="5760720" cy="4144460"/>
            <wp:effectExtent l="19050" t="0" r="11430" b="8440"/>
            <wp:docPr id="5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4674" w:rsidRPr="00BC5391" w:rsidRDefault="006D4674" w:rsidP="00FD7676">
      <w:pPr>
        <w:rPr>
          <w:rFonts w:asciiTheme="minorHAnsi" w:hAnsiTheme="minorHAnsi"/>
          <w:sz w:val="18"/>
          <w:szCs w:val="16"/>
        </w:rPr>
      </w:pPr>
      <w:r w:rsidRPr="00BC5391">
        <w:rPr>
          <w:rFonts w:asciiTheme="minorHAnsi" w:hAnsiTheme="minorHAnsi"/>
          <w:sz w:val="18"/>
          <w:szCs w:val="16"/>
        </w:rPr>
        <w:t>*z uwagi na niewyodrębnienie w badanym okresie Wałbrzycha jako miasta powiatowego rozpatrzono dane dla powiat</w:t>
      </w:r>
      <w:r w:rsidR="00FD35CD">
        <w:rPr>
          <w:rFonts w:asciiTheme="minorHAnsi" w:hAnsiTheme="minorHAnsi"/>
          <w:sz w:val="18"/>
          <w:szCs w:val="16"/>
        </w:rPr>
        <w:t>u</w:t>
      </w:r>
      <w:r w:rsidRPr="00BC5391">
        <w:rPr>
          <w:rFonts w:asciiTheme="minorHAnsi" w:hAnsiTheme="minorHAnsi"/>
          <w:sz w:val="18"/>
          <w:szCs w:val="16"/>
        </w:rPr>
        <w:t xml:space="preserve"> wałbrzyskiego</w:t>
      </w:r>
    </w:p>
    <w:p w:rsidR="006D4674" w:rsidRPr="00700661" w:rsidRDefault="006D4674" w:rsidP="00FD7676">
      <w:pPr>
        <w:rPr>
          <w:rFonts w:asciiTheme="minorHAnsi" w:hAnsiTheme="minorHAnsi"/>
          <w:sz w:val="20"/>
        </w:rPr>
      </w:pPr>
      <w:r w:rsidRPr="00700661">
        <w:rPr>
          <w:rFonts w:asciiTheme="minorHAnsi" w:hAnsiTheme="minorHAnsi"/>
          <w:sz w:val="20"/>
        </w:rPr>
        <w:t xml:space="preserve">Źródło: Opracowanie własne na podstawie: </w:t>
      </w:r>
      <w:r w:rsidRPr="00700661">
        <w:rPr>
          <w:rFonts w:asciiTheme="minorHAnsi" w:hAnsiTheme="minorHAnsi"/>
          <w:i/>
          <w:sz w:val="20"/>
        </w:rPr>
        <w:t>Bank Danych Lokalnych</w:t>
      </w:r>
      <w:r w:rsidR="00700661">
        <w:rPr>
          <w:rFonts w:asciiTheme="minorHAnsi" w:hAnsiTheme="minorHAnsi"/>
          <w:sz w:val="20"/>
        </w:rPr>
        <w:t>, GUS</w:t>
      </w:r>
      <w:r w:rsidR="008B3862">
        <w:rPr>
          <w:rFonts w:asciiTheme="minorHAnsi" w:hAnsiTheme="minorHAnsi"/>
          <w:sz w:val="20"/>
        </w:rPr>
        <w:t>.</w:t>
      </w:r>
    </w:p>
    <w:p w:rsidR="006D4674" w:rsidRPr="00563EF2" w:rsidRDefault="006D4674" w:rsidP="00FD7676">
      <w:pPr>
        <w:rPr>
          <w:rFonts w:asciiTheme="minorHAnsi" w:hAnsiTheme="minorHAnsi"/>
          <w:sz w:val="22"/>
        </w:rPr>
      </w:pPr>
    </w:p>
    <w:p w:rsidR="006D4674" w:rsidRPr="00563EF2" w:rsidRDefault="006D4674" w:rsidP="00FD7676">
      <w:pPr>
        <w:rPr>
          <w:rFonts w:asciiTheme="minorHAnsi" w:hAnsiTheme="minorHAnsi"/>
          <w:sz w:val="22"/>
        </w:rPr>
      </w:pPr>
      <w:r w:rsidRPr="00563EF2">
        <w:rPr>
          <w:rFonts w:asciiTheme="minorHAnsi" w:hAnsiTheme="minorHAnsi"/>
          <w:sz w:val="22"/>
        </w:rPr>
        <w:t>Przeciętne miesięczne wynagrodzenie brutto w Legnicy w 2012 r. wynosiło 3034,05 zł i było zdecydowanie niższe</w:t>
      </w:r>
      <w:r w:rsidR="00FD35CD">
        <w:rPr>
          <w:rFonts w:asciiTheme="minorHAnsi" w:hAnsiTheme="minorHAnsi"/>
          <w:sz w:val="22"/>
        </w:rPr>
        <w:t>,</w:t>
      </w:r>
      <w:r w:rsidRPr="00563EF2">
        <w:rPr>
          <w:rFonts w:asciiTheme="minorHAnsi" w:hAnsiTheme="minorHAnsi"/>
          <w:sz w:val="22"/>
        </w:rPr>
        <w:t xml:space="preserve"> aniżeli średnia krajowa i wojewódzka. Także na tle innych dużych miast regionu funkcjonujących na prawach powiatu, tj. Wrocławia i Jeleniej Gór</w:t>
      </w:r>
      <w:r w:rsidR="00BC5391">
        <w:rPr>
          <w:rFonts w:asciiTheme="minorHAnsi" w:hAnsiTheme="minorHAnsi"/>
          <w:sz w:val="22"/>
        </w:rPr>
        <w:t>y oraz powiatów</w:t>
      </w:r>
      <w:r w:rsidR="00FD35CD">
        <w:rPr>
          <w:rFonts w:asciiTheme="minorHAnsi" w:hAnsiTheme="minorHAnsi"/>
          <w:sz w:val="22"/>
        </w:rPr>
        <w:t>:</w:t>
      </w:r>
      <w:r w:rsidR="00BC5391">
        <w:rPr>
          <w:rFonts w:asciiTheme="minorHAnsi" w:hAnsiTheme="minorHAnsi"/>
          <w:sz w:val="22"/>
        </w:rPr>
        <w:t xml:space="preserve"> wałbrzyskiego i </w:t>
      </w:r>
      <w:r w:rsidRPr="00563EF2">
        <w:rPr>
          <w:rFonts w:asciiTheme="minorHAnsi" w:hAnsiTheme="minorHAnsi"/>
          <w:sz w:val="22"/>
        </w:rPr>
        <w:t xml:space="preserve">legnickiego poziom średnich miesięcznych wynagrodzeń notował niższe poziomy.  Tendencja taka utrzymuje się od 2007 r. Niski poziom średnich wynagrodzeń może przyczynić się do niższych kosztów zasobów pracy, a przez to atrakcyjności inwestycyjnej, równocześnie jednak stanowi zagrożenie w postaci odpływu wysoko wykwalifikowanych kadr do innych ośrodków miejskich o lepszych stawkach płacowych oraz zmniejszenia popytu konsumpcyjnego mieszkańców oraz wpływów z tytułu podatku PIT.  </w:t>
      </w:r>
    </w:p>
    <w:p w:rsidR="006D4674" w:rsidRPr="00563EF2" w:rsidRDefault="006D4674" w:rsidP="00FD7676">
      <w:pPr>
        <w:rPr>
          <w:rFonts w:asciiTheme="minorHAnsi" w:hAnsiTheme="minorHAnsi"/>
          <w:sz w:val="22"/>
        </w:rPr>
      </w:pPr>
    </w:p>
    <w:p w:rsidR="007E3A89" w:rsidRPr="00563EF2" w:rsidRDefault="007E3A89" w:rsidP="00FD7676">
      <w:pPr>
        <w:rPr>
          <w:rFonts w:asciiTheme="minorHAnsi" w:hAnsiTheme="minorHAnsi"/>
          <w:sz w:val="22"/>
        </w:rPr>
      </w:pPr>
      <w:r w:rsidRPr="00563EF2">
        <w:rPr>
          <w:rFonts w:asciiTheme="minorHAnsi" w:hAnsiTheme="minorHAnsi"/>
          <w:sz w:val="22"/>
        </w:rPr>
        <w:t xml:space="preserve">Na początku ostatniej dekady stopa bezrobocia rejestrowanego w Legnicy osiągała bardzo wysokie poziomy, przekraczające 20% próg. Od momentu wejścia do Unii Europejskiej i zwiększenia się emigracji ludności zanotowano stopniową poprawę i znaczne spadki poziomu bezrobocia. Dopiero kryzys ekonomiczny wyhamował tę korzystną tendencję w 2008 r. – przy poziomie bezrobocia równym 6,3%. Od tego momentu stopa bezrobocia zaczęła rosnąć i od 2010 r. utrzymuje się na poziomie oscylującym niewiele powyżej 10 punktów procentowych.    </w:t>
      </w: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B05348">
        <w:rPr>
          <w:rFonts w:asciiTheme="minorHAnsi" w:hAnsiTheme="minorHAnsi"/>
          <w:sz w:val="20"/>
          <w:szCs w:val="22"/>
        </w:rPr>
        <w:t>22</w:t>
      </w:r>
      <w:r w:rsidRPr="00EA4219">
        <w:rPr>
          <w:rFonts w:asciiTheme="minorHAnsi" w:hAnsiTheme="minorHAnsi"/>
          <w:sz w:val="20"/>
          <w:szCs w:val="22"/>
        </w:rPr>
        <w:t>. Kształtowanie się stopy bezrobocia rejestrowanego w Legnicy na przestrzeni lat 2002-2013.</w:t>
      </w:r>
    </w:p>
    <w:p w:rsidR="007E3A89" w:rsidRPr="00563EF2" w:rsidRDefault="007E3A89" w:rsidP="00FD7676">
      <w:pPr>
        <w:rPr>
          <w:rFonts w:asciiTheme="minorHAnsi" w:hAnsiTheme="minorHAnsi"/>
          <w:sz w:val="22"/>
        </w:rPr>
      </w:pPr>
      <w:r w:rsidRPr="00563EF2">
        <w:rPr>
          <w:rFonts w:asciiTheme="minorHAnsi" w:hAnsiTheme="minorHAnsi"/>
          <w:noProof/>
          <w:sz w:val="22"/>
          <w:lang w:eastAsia="pl-PL"/>
        </w:rPr>
        <w:drawing>
          <wp:inline distT="0" distB="0" distL="0" distR="0" wp14:anchorId="707A2E36" wp14:editId="1A4BC308">
            <wp:extent cx="4572000" cy="2743200"/>
            <wp:effectExtent l="19050" t="0" r="19050" b="0"/>
            <wp:docPr id="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E3A89" w:rsidRPr="00700661" w:rsidRDefault="007E3A89" w:rsidP="00FD7676">
      <w:pPr>
        <w:rPr>
          <w:rFonts w:asciiTheme="minorHAnsi" w:hAnsiTheme="minorHAnsi"/>
          <w:i/>
          <w:sz w:val="20"/>
        </w:rPr>
      </w:pPr>
      <w:r w:rsidRPr="00700661">
        <w:rPr>
          <w:rFonts w:asciiTheme="minorHAnsi" w:hAnsiTheme="minorHAnsi"/>
          <w:sz w:val="20"/>
        </w:rPr>
        <w:t xml:space="preserve">Źródło: Opracowanie własne na podstawie: dane z Wojewódzkiego Urzędu Pracy we Wrocławiu; dane Powiatowego Urzędu Pracy w Legnicy i </w:t>
      </w:r>
      <w:r w:rsidR="0005194B" w:rsidRPr="00700661">
        <w:rPr>
          <w:rFonts w:asciiTheme="minorHAnsi" w:hAnsiTheme="minorHAnsi"/>
          <w:i/>
          <w:sz w:val="20"/>
        </w:rPr>
        <w:t>http://statystyka.legnica.eu</w:t>
      </w:r>
    </w:p>
    <w:p w:rsidR="0005194B" w:rsidRPr="00563EF2" w:rsidRDefault="0005194B" w:rsidP="00FD7676">
      <w:pPr>
        <w:rPr>
          <w:rFonts w:asciiTheme="minorHAnsi" w:hAnsiTheme="minorHAnsi"/>
          <w:sz w:val="22"/>
        </w:rPr>
      </w:pPr>
    </w:p>
    <w:p w:rsidR="007E3A89" w:rsidRPr="00563EF2" w:rsidRDefault="007E3A89" w:rsidP="00FD7676">
      <w:pPr>
        <w:rPr>
          <w:rFonts w:asciiTheme="minorHAnsi" w:hAnsiTheme="minorHAnsi"/>
          <w:sz w:val="22"/>
        </w:rPr>
      </w:pPr>
      <w:r w:rsidRPr="00563EF2">
        <w:rPr>
          <w:rFonts w:asciiTheme="minorHAnsi" w:hAnsiTheme="minorHAnsi"/>
          <w:sz w:val="22"/>
        </w:rPr>
        <w:t>Stopa bezrobocia rejestrowanego w 2013 r. w Legnicy wynosiła 10,3%, a zatem była niższa</w:t>
      </w:r>
      <w:r w:rsidR="00FD35CD">
        <w:rPr>
          <w:rFonts w:asciiTheme="minorHAnsi" w:hAnsiTheme="minorHAnsi"/>
          <w:sz w:val="22"/>
        </w:rPr>
        <w:t>,</w:t>
      </w:r>
      <w:r w:rsidRPr="00563EF2">
        <w:rPr>
          <w:rFonts w:asciiTheme="minorHAnsi" w:hAnsiTheme="minorHAnsi"/>
          <w:sz w:val="22"/>
        </w:rPr>
        <w:t xml:space="preserve"> aniżeli średnia stopa dla Polski, województwa dolnośląskiego, oraz powi</w:t>
      </w:r>
      <w:r w:rsidR="00BC5391">
        <w:rPr>
          <w:rFonts w:asciiTheme="minorHAnsi" w:hAnsiTheme="minorHAnsi"/>
          <w:sz w:val="22"/>
        </w:rPr>
        <w:t>atu legnickiego. W porównaniu z </w:t>
      </w:r>
      <w:r w:rsidRPr="00563EF2">
        <w:rPr>
          <w:rFonts w:asciiTheme="minorHAnsi" w:hAnsiTheme="minorHAnsi"/>
          <w:sz w:val="22"/>
        </w:rPr>
        <w:t>innymi dolnośląskimi miastami na prawach powiatu bezrobocie w Legnicy jest niższe</w:t>
      </w:r>
      <w:r w:rsidR="00FD35CD">
        <w:rPr>
          <w:rFonts w:asciiTheme="minorHAnsi" w:hAnsiTheme="minorHAnsi"/>
          <w:sz w:val="22"/>
        </w:rPr>
        <w:t>,</w:t>
      </w:r>
      <w:r w:rsidRPr="00563EF2">
        <w:rPr>
          <w:rFonts w:asciiTheme="minorHAnsi" w:hAnsiTheme="minorHAnsi"/>
          <w:sz w:val="22"/>
        </w:rPr>
        <w:t xml:space="preserve"> </w:t>
      </w:r>
      <w:r w:rsidR="00BC5391">
        <w:rPr>
          <w:rFonts w:asciiTheme="minorHAnsi" w:hAnsiTheme="minorHAnsi"/>
          <w:sz w:val="22"/>
        </w:rPr>
        <w:t>aniżeli w </w:t>
      </w:r>
      <w:r w:rsidRPr="00563EF2">
        <w:rPr>
          <w:rFonts w:asciiTheme="minorHAnsi" w:hAnsiTheme="minorHAnsi"/>
          <w:sz w:val="22"/>
        </w:rPr>
        <w:t>Wałbrzychu, niewiele wyższe niż w Jeleniej Górze i  prawie dwukrotnie wyższe</w:t>
      </w:r>
      <w:r w:rsidR="00FD35CD">
        <w:rPr>
          <w:rFonts w:asciiTheme="minorHAnsi" w:hAnsiTheme="minorHAnsi"/>
          <w:sz w:val="22"/>
        </w:rPr>
        <w:t>,</w:t>
      </w:r>
      <w:r w:rsidRPr="00563EF2">
        <w:rPr>
          <w:rFonts w:asciiTheme="minorHAnsi" w:hAnsiTheme="minorHAnsi"/>
          <w:sz w:val="22"/>
        </w:rPr>
        <w:t xml:space="preserve"> aniżeli we Wrocławiu. Warto wskazać również na bardzo wysoki poziom bezrobocia w powiecie legnickim, wynoszący aż 21,10%.</w:t>
      </w: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Tabela </w:t>
      </w:r>
      <w:r w:rsidR="00017794" w:rsidRPr="00EA4219">
        <w:rPr>
          <w:rFonts w:asciiTheme="minorHAnsi" w:hAnsiTheme="minorHAnsi"/>
          <w:sz w:val="20"/>
          <w:szCs w:val="22"/>
        </w:rPr>
        <w:fldChar w:fldCharType="begin"/>
      </w:r>
      <w:r w:rsidR="00307DD7" w:rsidRPr="00EA4219">
        <w:rPr>
          <w:rFonts w:asciiTheme="minorHAnsi" w:hAnsiTheme="minorHAnsi"/>
          <w:sz w:val="20"/>
          <w:szCs w:val="22"/>
        </w:rPr>
        <w:instrText xml:space="preserve"> SEQ Tabela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37</w:t>
      </w:r>
      <w:r w:rsidR="00017794" w:rsidRPr="00EA4219">
        <w:rPr>
          <w:rFonts w:asciiTheme="minorHAnsi" w:hAnsiTheme="minorHAnsi"/>
          <w:sz w:val="20"/>
          <w:szCs w:val="22"/>
        </w:rPr>
        <w:fldChar w:fldCharType="end"/>
      </w:r>
      <w:r w:rsidRPr="00EA4219">
        <w:rPr>
          <w:rFonts w:asciiTheme="minorHAnsi" w:hAnsiTheme="minorHAnsi"/>
          <w:sz w:val="20"/>
          <w:szCs w:val="22"/>
        </w:rPr>
        <w:t>. Wskaźniki stopy bezrobocia dla Polski, Woj. dolnośląskiego i wybranych miast województwa (stan na X 2013 r.).</w:t>
      </w:r>
    </w:p>
    <w:tbl>
      <w:tblPr>
        <w:tblW w:w="72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1"/>
        <w:gridCol w:w="1274"/>
        <w:gridCol w:w="972"/>
        <w:gridCol w:w="972"/>
        <w:gridCol w:w="972"/>
        <w:gridCol w:w="1083"/>
        <w:gridCol w:w="991"/>
      </w:tblGrid>
      <w:tr w:rsidR="007E3A89" w:rsidRPr="00563EF2" w:rsidTr="00B9498F">
        <w:trPr>
          <w:trHeight w:val="255"/>
        </w:trPr>
        <w:tc>
          <w:tcPr>
            <w:tcW w:w="971"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 xml:space="preserve">Polska </w:t>
            </w:r>
          </w:p>
        </w:tc>
        <w:tc>
          <w:tcPr>
            <w:tcW w:w="1274"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Dolnośląskie</w:t>
            </w:r>
          </w:p>
        </w:tc>
        <w:tc>
          <w:tcPr>
            <w:tcW w:w="972" w:type="dxa"/>
            <w:shd w:val="clear" w:color="auto" w:fill="538135" w:themeFill="accent6" w:themeFillShade="BF"/>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Legnica</w:t>
            </w:r>
          </w:p>
        </w:tc>
        <w:tc>
          <w:tcPr>
            <w:tcW w:w="972"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pow. Legnicki</w:t>
            </w:r>
          </w:p>
        </w:tc>
        <w:tc>
          <w:tcPr>
            <w:tcW w:w="972"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Wrocław</w:t>
            </w:r>
          </w:p>
        </w:tc>
        <w:tc>
          <w:tcPr>
            <w:tcW w:w="1074"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Wałbrzych</w:t>
            </w:r>
          </w:p>
        </w:tc>
        <w:tc>
          <w:tcPr>
            <w:tcW w:w="991"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Jelenia Góra</w:t>
            </w:r>
          </w:p>
        </w:tc>
      </w:tr>
      <w:tr w:rsidR="007E3A89" w:rsidRPr="00563EF2" w:rsidTr="00B9498F">
        <w:trPr>
          <w:trHeight w:val="255"/>
        </w:trPr>
        <w:tc>
          <w:tcPr>
            <w:tcW w:w="971"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13%</w:t>
            </w:r>
          </w:p>
        </w:tc>
        <w:tc>
          <w:tcPr>
            <w:tcW w:w="1274"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12,80%</w:t>
            </w:r>
          </w:p>
        </w:tc>
        <w:tc>
          <w:tcPr>
            <w:tcW w:w="972" w:type="dxa"/>
            <w:shd w:val="clear" w:color="auto" w:fill="A8D08D" w:themeFill="accent6" w:themeFillTint="99"/>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10,30%</w:t>
            </w:r>
          </w:p>
        </w:tc>
        <w:tc>
          <w:tcPr>
            <w:tcW w:w="972"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21,10%</w:t>
            </w:r>
          </w:p>
        </w:tc>
        <w:tc>
          <w:tcPr>
            <w:tcW w:w="972"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5,20%</w:t>
            </w:r>
          </w:p>
        </w:tc>
        <w:tc>
          <w:tcPr>
            <w:tcW w:w="1074"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16,30%</w:t>
            </w:r>
          </w:p>
        </w:tc>
        <w:tc>
          <w:tcPr>
            <w:tcW w:w="991" w:type="dxa"/>
            <w:shd w:val="clear" w:color="auto" w:fill="auto"/>
            <w:noWrap/>
            <w:vAlign w:val="bottom"/>
            <w:hideMark/>
          </w:tcPr>
          <w:p w:rsidR="007E3A89" w:rsidRPr="00563EF2" w:rsidRDefault="007E3A89" w:rsidP="00FD7676">
            <w:pPr>
              <w:rPr>
                <w:rFonts w:asciiTheme="minorHAnsi" w:eastAsia="Times New Roman" w:hAnsiTheme="minorHAnsi" w:cs="Arial"/>
              </w:rPr>
            </w:pPr>
            <w:r w:rsidRPr="00563EF2">
              <w:rPr>
                <w:rFonts w:asciiTheme="minorHAnsi" w:eastAsia="Times New Roman" w:hAnsiTheme="minorHAnsi" w:cs="Arial"/>
                <w:sz w:val="22"/>
              </w:rPr>
              <w:t>9,10%</w:t>
            </w:r>
          </w:p>
        </w:tc>
      </w:tr>
    </w:tbl>
    <w:p w:rsidR="007E3A89" w:rsidRPr="00700661" w:rsidRDefault="007E3A89" w:rsidP="00FD7676">
      <w:pPr>
        <w:rPr>
          <w:rFonts w:asciiTheme="minorHAnsi" w:hAnsiTheme="minorHAnsi"/>
          <w:sz w:val="20"/>
        </w:rPr>
      </w:pPr>
      <w:r w:rsidRPr="00700661">
        <w:rPr>
          <w:rFonts w:asciiTheme="minorHAnsi" w:hAnsiTheme="minorHAnsi"/>
          <w:sz w:val="20"/>
        </w:rPr>
        <w:t>Źródło: Wojew</w:t>
      </w:r>
      <w:r w:rsidR="00700661">
        <w:rPr>
          <w:rFonts w:asciiTheme="minorHAnsi" w:hAnsiTheme="minorHAnsi"/>
          <w:sz w:val="20"/>
        </w:rPr>
        <w:t>ódzki Urząd Pracy we Wrocławiu</w:t>
      </w:r>
      <w:r w:rsidR="008B3862">
        <w:rPr>
          <w:rFonts w:asciiTheme="minorHAnsi" w:hAnsiTheme="minorHAnsi"/>
          <w:sz w:val="20"/>
        </w:rPr>
        <w:t>.</w:t>
      </w:r>
    </w:p>
    <w:p w:rsidR="00632D8E" w:rsidRPr="00563EF2" w:rsidRDefault="00632D8E" w:rsidP="00FD7676">
      <w:pPr>
        <w:rPr>
          <w:rFonts w:asciiTheme="minorHAnsi" w:hAnsiTheme="minorHAnsi"/>
          <w:sz w:val="22"/>
        </w:rPr>
      </w:pPr>
    </w:p>
    <w:p w:rsidR="008662EA" w:rsidRPr="00EA4219" w:rsidRDefault="008662EA"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5A0296" w:rsidRPr="00EA4219">
        <w:rPr>
          <w:rFonts w:asciiTheme="minorHAnsi" w:hAnsiTheme="minorHAnsi"/>
          <w:sz w:val="20"/>
          <w:szCs w:val="22"/>
        </w:rPr>
        <w:fldChar w:fldCharType="begin"/>
      </w:r>
      <w:r w:rsidR="005A0296" w:rsidRPr="00EA4219">
        <w:rPr>
          <w:rFonts w:asciiTheme="minorHAnsi" w:hAnsiTheme="minorHAnsi"/>
          <w:sz w:val="20"/>
          <w:szCs w:val="22"/>
        </w:rPr>
        <w:instrText xml:space="preserve"> SEQ Wykres \* ARABIC </w:instrText>
      </w:r>
      <w:r w:rsidR="005A0296" w:rsidRPr="00EA4219">
        <w:rPr>
          <w:rFonts w:asciiTheme="minorHAnsi" w:hAnsiTheme="minorHAnsi"/>
          <w:sz w:val="20"/>
          <w:szCs w:val="22"/>
        </w:rPr>
        <w:fldChar w:fldCharType="separate"/>
      </w:r>
      <w:r w:rsidR="007B2916">
        <w:rPr>
          <w:rFonts w:asciiTheme="minorHAnsi" w:hAnsiTheme="minorHAnsi"/>
          <w:noProof/>
          <w:sz w:val="20"/>
          <w:szCs w:val="22"/>
        </w:rPr>
        <w:t>20</w:t>
      </w:r>
      <w:r w:rsidR="005A0296" w:rsidRPr="00EA4219">
        <w:rPr>
          <w:rFonts w:asciiTheme="minorHAnsi" w:hAnsiTheme="minorHAnsi"/>
          <w:sz w:val="20"/>
          <w:szCs w:val="22"/>
        </w:rPr>
        <w:fldChar w:fldCharType="end"/>
      </w:r>
      <w:r w:rsidR="00B05348">
        <w:rPr>
          <w:rFonts w:asciiTheme="minorHAnsi" w:hAnsiTheme="minorHAnsi"/>
          <w:sz w:val="20"/>
          <w:szCs w:val="22"/>
        </w:rPr>
        <w:t>3</w:t>
      </w:r>
      <w:r w:rsidRPr="00EA4219">
        <w:rPr>
          <w:rFonts w:asciiTheme="minorHAnsi" w:hAnsiTheme="minorHAnsi"/>
          <w:sz w:val="20"/>
          <w:szCs w:val="22"/>
        </w:rPr>
        <w:t>. Poziom stopy bezrobocia rejestrowanego w powiatach woj. dolnośląskiego</w:t>
      </w:r>
    </w:p>
    <w:p w:rsidR="008662EA" w:rsidRPr="00563EF2" w:rsidRDefault="008662EA" w:rsidP="00FD7676">
      <w:pPr>
        <w:rPr>
          <w:rFonts w:asciiTheme="minorHAnsi" w:hAnsiTheme="minorHAnsi"/>
          <w:sz w:val="22"/>
        </w:rPr>
      </w:pPr>
      <w:r w:rsidRPr="00563EF2">
        <w:rPr>
          <w:rFonts w:asciiTheme="minorHAnsi" w:hAnsiTheme="minorHAnsi"/>
          <w:noProof/>
          <w:sz w:val="22"/>
          <w:lang w:eastAsia="pl-PL"/>
        </w:rPr>
        <w:drawing>
          <wp:inline distT="0" distB="0" distL="0" distR="0" wp14:anchorId="6785D5A8" wp14:editId="14628060">
            <wp:extent cx="4585396" cy="4540102"/>
            <wp:effectExtent l="0" t="0" r="5715" b="0"/>
            <wp:docPr id="24" name="Obraz 2" descr="C:\Users\hp\Desktop\Legnica\Stopa_bezrobocia_10-2013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egnica\Stopa_bezrobocia_10-2013v7.jpg"/>
                    <pic:cNvPicPr>
                      <a:picLocks noChangeAspect="1" noChangeArrowheads="1"/>
                    </pic:cNvPicPr>
                  </pic:nvPicPr>
                  <pic:blipFill>
                    <a:blip r:embed="rId55"/>
                    <a:srcRect/>
                    <a:stretch>
                      <a:fillRect/>
                    </a:stretch>
                  </pic:blipFill>
                  <pic:spPr bwMode="auto">
                    <a:xfrm>
                      <a:off x="0" y="0"/>
                      <a:ext cx="4601170" cy="4555721"/>
                    </a:xfrm>
                    <a:prstGeom prst="rect">
                      <a:avLst/>
                    </a:prstGeom>
                    <a:noFill/>
                    <a:ln w="9525">
                      <a:noFill/>
                      <a:miter lim="800000"/>
                      <a:headEnd/>
                      <a:tailEnd/>
                    </a:ln>
                  </pic:spPr>
                </pic:pic>
              </a:graphicData>
            </a:graphic>
          </wp:inline>
        </w:drawing>
      </w:r>
    </w:p>
    <w:p w:rsidR="008662EA" w:rsidRPr="00700661" w:rsidRDefault="008662EA" w:rsidP="00FD7676">
      <w:pPr>
        <w:rPr>
          <w:rFonts w:asciiTheme="minorHAnsi" w:hAnsiTheme="minorHAnsi"/>
          <w:sz w:val="20"/>
        </w:rPr>
      </w:pPr>
      <w:r w:rsidRPr="00700661">
        <w:rPr>
          <w:rFonts w:asciiTheme="minorHAnsi" w:hAnsiTheme="minorHAnsi"/>
          <w:sz w:val="20"/>
        </w:rPr>
        <w:t>Źródło: Wojewódzki Urząd Pracy we Wrocławiu</w:t>
      </w:r>
      <w:r w:rsidR="008B3862">
        <w:rPr>
          <w:rFonts w:asciiTheme="minorHAnsi" w:hAnsiTheme="minorHAnsi"/>
          <w:sz w:val="20"/>
        </w:rPr>
        <w:t>.</w:t>
      </w:r>
    </w:p>
    <w:p w:rsidR="00214A08" w:rsidRPr="00563EF2" w:rsidRDefault="00214A08" w:rsidP="00FD7676">
      <w:pPr>
        <w:rPr>
          <w:rFonts w:asciiTheme="minorHAnsi" w:hAnsiTheme="minorHAnsi"/>
          <w:sz w:val="22"/>
        </w:rPr>
      </w:pPr>
    </w:p>
    <w:p w:rsidR="006B159E" w:rsidRDefault="006B159E" w:rsidP="00FD7676">
      <w:pPr>
        <w:rPr>
          <w:rFonts w:asciiTheme="minorHAnsi" w:hAnsiTheme="minorHAnsi"/>
          <w:sz w:val="22"/>
        </w:rPr>
      </w:pPr>
      <w:r w:rsidRPr="00563EF2">
        <w:rPr>
          <w:rFonts w:asciiTheme="minorHAnsi" w:hAnsiTheme="minorHAnsi"/>
          <w:sz w:val="22"/>
        </w:rPr>
        <w:t>Porównując  strukturę bezrobocia Legnicy z innymi dużymi miastami województwa jak Wrocław, cz</w:t>
      </w:r>
      <w:r w:rsidR="00BC5391">
        <w:rPr>
          <w:rFonts w:asciiTheme="minorHAnsi" w:hAnsiTheme="minorHAnsi"/>
          <w:sz w:val="22"/>
        </w:rPr>
        <w:t>y </w:t>
      </w:r>
      <w:r w:rsidRPr="00563EF2">
        <w:rPr>
          <w:rFonts w:asciiTheme="minorHAnsi" w:hAnsiTheme="minorHAnsi"/>
          <w:sz w:val="22"/>
        </w:rPr>
        <w:t xml:space="preserve">Jelenia Góra widać, iż w Legnicy wyraźnie brakuje oferty zatrudnienia dla osób wchodzących na rynek pracy, natomiast wskaźniki bezrobocia dla osób w wieku 45+ są relatywnie korzystne.  </w:t>
      </w:r>
    </w:p>
    <w:p w:rsidR="00E96088" w:rsidRPr="00563EF2" w:rsidRDefault="00E96088" w:rsidP="00FD7676">
      <w:pPr>
        <w:rPr>
          <w:rFonts w:asciiTheme="minorHAnsi" w:hAnsiTheme="minorHAnsi"/>
          <w:sz w:val="22"/>
        </w:rPr>
      </w:pPr>
    </w:p>
    <w:p w:rsidR="006B159E" w:rsidRPr="00563EF2" w:rsidRDefault="00AB7C94" w:rsidP="00FD7676">
      <w:pPr>
        <w:rPr>
          <w:rFonts w:asciiTheme="minorHAnsi" w:hAnsiTheme="minorHAnsi"/>
          <w:sz w:val="22"/>
        </w:rPr>
      </w:pPr>
      <w:r w:rsidRPr="00563EF2">
        <w:rPr>
          <w:rFonts w:asciiTheme="minorHAnsi" w:hAnsiTheme="minorHAnsi"/>
          <w:sz w:val="22"/>
        </w:rPr>
        <w:t xml:space="preserve">Struktura wiekowa osób bezrobotnych w Legnicy wykazuje największy udział osób w wieku 25-34 lat -27,68%, a także spory udział osób w wieku do 24 lat -13,57%. </w:t>
      </w:r>
      <w:r w:rsidR="006B159E" w:rsidRPr="00563EF2">
        <w:rPr>
          <w:rFonts w:asciiTheme="minorHAnsi" w:hAnsiTheme="minorHAnsi"/>
          <w:sz w:val="22"/>
        </w:rPr>
        <w:t xml:space="preserve">Wysoki udział osób młodych, które wchodzą na rynek pracy może świadczyć o braku dopasowania kwalifikacji i wykształcenia osób młodych do wymogów rynku pracy i oczekiwań pracodawców. Warto zatem zacieśniać współpracę środowisk biznesowych z uczelniami wyższymi funkcjonującymi na terenie Miasta i szkołami średnimi, aby wypracować ofertę edukacyjną i profil edukacyjny dostosowany do potrzeb pracodawców.  </w:t>
      </w:r>
    </w:p>
    <w:p w:rsidR="005A0296" w:rsidRPr="00EA4219" w:rsidRDefault="005A0296" w:rsidP="005A0296">
      <w:pPr>
        <w:pStyle w:val="Legenda"/>
        <w:keepNext/>
        <w:rPr>
          <w:rFonts w:asciiTheme="minorHAnsi" w:hAnsiTheme="minorHAnsi"/>
          <w:sz w:val="20"/>
        </w:rPr>
      </w:pPr>
      <w:r w:rsidRPr="00EA4219">
        <w:rPr>
          <w:rFonts w:asciiTheme="minorHAnsi" w:hAnsiTheme="minorHAnsi"/>
          <w:sz w:val="20"/>
        </w:rPr>
        <w:t xml:space="preserve">Wykres </w:t>
      </w:r>
      <w:r w:rsidRPr="00EA4219">
        <w:rPr>
          <w:rFonts w:asciiTheme="minorHAnsi" w:hAnsiTheme="minorHAnsi"/>
          <w:sz w:val="20"/>
        </w:rPr>
        <w:fldChar w:fldCharType="begin"/>
      </w:r>
      <w:r w:rsidRPr="00EA4219">
        <w:rPr>
          <w:rFonts w:asciiTheme="minorHAnsi" w:hAnsiTheme="minorHAnsi"/>
          <w:sz w:val="20"/>
        </w:rPr>
        <w:instrText xml:space="preserve"> SEQ Wykres \* ARABIC </w:instrText>
      </w:r>
      <w:r w:rsidRPr="00EA4219">
        <w:rPr>
          <w:rFonts w:asciiTheme="minorHAnsi" w:hAnsiTheme="minorHAnsi"/>
          <w:sz w:val="20"/>
        </w:rPr>
        <w:fldChar w:fldCharType="separate"/>
      </w:r>
      <w:r w:rsidR="007B2916">
        <w:rPr>
          <w:rFonts w:asciiTheme="minorHAnsi" w:hAnsiTheme="minorHAnsi"/>
          <w:noProof/>
          <w:sz w:val="20"/>
        </w:rPr>
        <w:t>21</w:t>
      </w:r>
      <w:r w:rsidRPr="00EA4219">
        <w:rPr>
          <w:rFonts w:asciiTheme="minorHAnsi" w:hAnsiTheme="minorHAnsi"/>
          <w:sz w:val="20"/>
        </w:rPr>
        <w:fldChar w:fldCharType="end"/>
      </w:r>
      <w:r w:rsidR="00B05348">
        <w:rPr>
          <w:rFonts w:asciiTheme="minorHAnsi" w:hAnsiTheme="minorHAnsi"/>
          <w:sz w:val="20"/>
        </w:rPr>
        <w:t>4</w:t>
      </w:r>
      <w:r w:rsidRPr="00EA4219">
        <w:rPr>
          <w:rFonts w:asciiTheme="minorHAnsi" w:hAnsiTheme="minorHAnsi"/>
          <w:sz w:val="20"/>
        </w:rPr>
        <w:t>. Struktura wiekowa osób bezrobotnych w wybranych miastach i powiatach woj. dolnośląskiego.</w:t>
      </w:r>
    </w:p>
    <w:p w:rsidR="00214A08" w:rsidRPr="00563EF2" w:rsidRDefault="00214A08" w:rsidP="00FD7676">
      <w:pPr>
        <w:rPr>
          <w:rFonts w:asciiTheme="minorHAnsi" w:hAnsiTheme="minorHAnsi"/>
          <w:sz w:val="22"/>
        </w:rPr>
      </w:pPr>
      <w:r w:rsidRPr="00563EF2">
        <w:rPr>
          <w:rFonts w:asciiTheme="minorHAnsi" w:hAnsiTheme="minorHAnsi"/>
          <w:noProof/>
          <w:sz w:val="22"/>
          <w:lang w:eastAsia="pl-PL"/>
        </w:rPr>
        <w:drawing>
          <wp:inline distT="0" distB="0" distL="0" distR="0" wp14:anchorId="21E39D65" wp14:editId="341A0036">
            <wp:extent cx="5473700" cy="4000528"/>
            <wp:effectExtent l="19050" t="0" r="12700" b="0"/>
            <wp:docPr id="42"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540B1" w:rsidRDefault="00700661" w:rsidP="00FD7676">
      <w:pPr>
        <w:rPr>
          <w:rFonts w:asciiTheme="minorHAnsi" w:hAnsiTheme="minorHAnsi"/>
          <w:sz w:val="20"/>
        </w:rPr>
      </w:pPr>
      <w:r w:rsidRPr="00700661">
        <w:rPr>
          <w:rFonts w:asciiTheme="minorHAnsi" w:hAnsiTheme="minorHAnsi"/>
          <w:sz w:val="20"/>
        </w:rPr>
        <w:t xml:space="preserve">Źródło: Opracowanie własne na podstawie: </w:t>
      </w:r>
      <w:r w:rsidRPr="00700661">
        <w:rPr>
          <w:rFonts w:asciiTheme="minorHAnsi" w:hAnsiTheme="minorHAnsi"/>
          <w:i/>
          <w:sz w:val="20"/>
        </w:rPr>
        <w:t>Bank Danych Lokalnych</w:t>
      </w:r>
      <w:r w:rsidR="008B3862">
        <w:rPr>
          <w:rFonts w:asciiTheme="minorHAnsi" w:hAnsiTheme="minorHAnsi"/>
          <w:sz w:val="20"/>
        </w:rPr>
        <w:t>, GUS.</w:t>
      </w:r>
    </w:p>
    <w:p w:rsidR="00700661" w:rsidRPr="00700661" w:rsidRDefault="00700661" w:rsidP="00FD7676">
      <w:pPr>
        <w:rPr>
          <w:rFonts w:asciiTheme="minorHAnsi" w:hAnsiTheme="minorHAnsi"/>
          <w:sz w:val="20"/>
        </w:rPr>
      </w:pPr>
    </w:p>
    <w:p w:rsidR="00214A08" w:rsidRPr="00EA4219" w:rsidRDefault="00214A08"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5A0296" w:rsidRPr="00EA4219">
        <w:rPr>
          <w:rFonts w:asciiTheme="minorHAnsi" w:hAnsiTheme="minorHAnsi"/>
          <w:sz w:val="20"/>
          <w:szCs w:val="22"/>
        </w:rPr>
        <w:fldChar w:fldCharType="begin"/>
      </w:r>
      <w:r w:rsidR="005A0296" w:rsidRPr="00EA4219">
        <w:rPr>
          <w:rFonts w:asciiTheme="minorHAnsi" w:hAnsiTheme="minorHAnsi"/>
          <w:sz w:val="20"/>
          <w:szCs w:val="22"/>
        </w:rPr>
        <w:instrText xml:space="preserve"> SEQ Wykres \* ARABIC </w:instrText>
      </w:r>
      <w:r w:rsidR="005A0296" w:rsidRPr="00EA4219">
        <w:rPr>
          <w:rFonts w:asciiTheme="minorHAnsi" w:hAnsiTheme="minorHAnsi"/>
          <w:sz w:val="20"/>
          <w:szCs w:val="22"/>
        </w:rPr>
        <w:fldChar w:fldCharType="separate"/>
      </w:r>
      <w:r w:rsidR="007B2916">
        <w:rPr>
          <w:rFonts w:asciiTheme="minorHAnsi" w:hAnsiTheme="minorHAnsi"/>
          <w:noProof/>
          <w:sz w:val="20"/>
          <w:szCs w:val="22"/>
        </w:rPr>
        <w:t>22</w:t>
      </w:r>
      <w:r w:rsidR="005A0296" w:rsidRPr="00EA4219">
        <w:rPr>
          <w:rFonts w:asciiTheme="minorHAnsi" w:hAnsiTheme="minorHAnsi"/>
          <w:sz w:val="20"/>
          <w:szCs w:val="22"/>
        </w:rPr>
        <w:fldChar w:fldCharType="end"/>
      </w:r>
      <w:r w:rsidRPr="00EA4219">
        <w:rPr>
          <w:rFonts w:asciiTheme="minorHAnsi" w:hAnsiTheme="minorHAnsi"/>
          <w:sz w:val="20"/>
          <w:szCs w:val="22"/>
        </w:rPr>
        <w:t>. Struktura bezrobotnych w Legnicy i powiecie legnickim w 2012 r.</w:t>
      </w:r>
      <w:r w:rsidRPr="00EA4219">
        <w:rPr>
          <w:rFonts w:asciiTheme="minorHAnsi" w:hAnsiTheme="minorHAnsi"/>
          <w:noProof/>
          <w:sz w:val="20"/>
          <w:szCs w:val="22"/>
        </w:rPr>
        <w:t xml:space="preserve"> wg czasu pozostawania bez pracy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4181"/>
      </w:tblGrid>
      <w:tr w:rsidR="00214A08" w:rsidRPr="00563EF2" w:rsidTr="00700661">
        <w:tc>
          <w:tcPr>
            <w:tcW w:w="4988" w:type="dxa"/>
          </w:tcPr>
          <w:p w:rsidR="00214A08" w:rsidRPr="00563EF2" w:rsidRDefault="00214A08" w:rsidP="00FD7676">
            <w:pPr>
              <w:rPr>
                <w:rFonts w:asciiTheme="minorHAnsi" w:hAnsiTheme="minorHAnsi"/>
              </w:rPr>
            </w:pPr>
            <w:r w:rsidRPr="00563EF2">
              <w:rPr>
                <w:rFonts w:asciiTheme="minorHAnsi" w:hAnsiTheme="minorHAnsi"/>
                <w:noProof/>
                <w:lang w:eastAsia="pl-PL"/>
              </w:rPr>
              <w:drawing>
                <wp:inline distT="0" distB="0" distL="0" distR="0" wp14:anchorId="6486ED42" wp14:editId="2748EE6B">
                  <wp:extent cx="3302486" cy="1661910"/>
                  <wp:effectExtent l="0" t="0" r="0" b="0"/>
                  <wp:docPr id="4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084" w:type="dxa"/>
          </w:tcPr>
          <w:p w:rsidR="00214A08" w:rsidRPr="00563EF2" w:rsidRDefault="00214A08" w:rsidP="00FD7676">
            <w:pPr>
              <w:rPr>
                <w:rFonts w:asciiTheme="minorHAnsi" w:hAnsiTheme="minorHAnsi"/>
              </w:rPr>
            </w:pPr>
            <w:r w:rsidRPr="00563EF2">
              <w:rPr>
                <w:rFonts w:asciiTheme="minorHAnsi" w:hAnsiTheme="minorHAnsi"/>
                <w:noProof/>
                <w:lang w:eastAsia="pl-PL"/>
              </w:rPr>
              <w:drawing>
                <wp:inline distT="0" distB="0" distL="0" distR="0" wp14:anchorId="33EF58DC" wp14:editId="0030CF89">
                  <wp:extent cx="2676649" cy="1656195"/>
                  <wp:effectExtent l="0" t="0" r="0" b="0"/>
                  <wp:docPr id="4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700661" w:rsidRDefault="00700661" w:rsidP="00700661">
      <w:pPr>
        <w:rPr>
          <w:rFonts w:asciiTheme="minorHAnsi" w:hAnsiTheme="minorHAnsi"/>
          <w:sz w:val="20"/>
        </w:rPr>
      </w:pPr>
    </w:p>
    <w:p w:rsidR="00700661" w:rsidRPr="00700661" w:rsidRDefault="00700661" w:rsidP="00700661">
      <w:pPr>
        <w:rPr>
          <w:rFonts w:asciiTheme="minorHAnsi" w:hAnsiTheme="minorHAnsi"/>
          <w:sz w:val="20"/>
        </w:rPr>
      </w:pPr>
      <w:r w:rsidRPr="00700661">
        <w:rPr>
          <w:rFonts w:asciiTheme="minorHAnsi" w:hAnsiTheme="minorHAnsi"/>
          <w:sz w:val="20"/>
        </w:rPr>
        <w:t xml:space="preserve">Źródło: Opracowanie własne na podstawie: </w:t>
      </w:r>
      <w:r w:rsidRPr="00700661">
        <w:rPr>
          <w:rFonts w:asciiTheme="minorHAnsi" w:hAnsiTheme="minorHAnsi"/>
          <w:i/>
          <w:sz w:val="20"/>
        </w:rPr>
        <w:t>Bank Danych Lokalnych</w:t>
      </w:r>
      <w:r>
        <w:rPr>
          <w:rFonts w:asciiTheme="minorHAnsi" w:hAnsiTheme="minorHAnsi"/>
          <w:sz w:val="20"/>
        </w:rPr>
        <w:t>, GUS</w:t>
      </w:r>
      <w:r w:rsidR="008B3862">
        <w:rPr>
          <w:rFonts w:asciiTheme="minorHAnsi" w:hAnsiTheme="minorHAnsi"/>
          <w:sz w:val="20"/>
        </w:rPr>
        <w:t>.</w:t>
      </w:r>
      <w:r w:rsidRPr="00700661">
        <w:rPr>
          <w:rFonts w:asciiTheme="minorHAnsi" w:hAnsiTheme="minorHAnsi"/>
          <w:sz w:val="20"/>
        </w:rPr>
        <w:t xml:space="preserve"> </w:t>
      </w:r>
    </w:p>
    <w:p w:rsidR="00214A08" w:rsidRPr="00563EF2" w:rsidRDefault="00214A08" w:rsidP="00FD7676">
      <w:pPr>
        <w:rPr>
          <w:rFonts w:asciiTheme="minorHAnsi" w:hAnsiTheme="minorHAnsi"/>
          <w:sz w:val="22"/>
        </w:rPr>
      </w:pPr>
    </w:p>
    <w:p w:rsidR="00632D8E" w:rsidRPr="00EB06A5" w:rsidRDefault="00632D8E" w:rsidP="00EC5484">
      <w:pPr>
        <w:pStyle w:val="Nagwek3"/>
      </w:pPr>
      <w:bookmarkStart w:id="40" w:name="_Toc399756327"/>
      <w:r w:rsidRPr="00EB06A5">
        <w:t>Komunikacja</w:t>
      </w:r>
      <w:bookmarkEnd w:id="40"/>
    </w:p>
    <w:p w:rsidR="006D4674" w:rsidRPr="00563EF2" w:rsidRDefault="006D4674" w:rsidP="00FD7676">
      <w:pPr>
        <w:rPr>
          <w:rFonts w:asciiTheme="minorHAnsi" w:hAnsiTheme="minorHAnsi"/>
        </w:rPr>
      </w:pPr>
    </w:p>
    <w:p w:rsidR="00BC5391" w:rsidRDefault="00632D8E" w:rsidP="00FD7676">
      <w:pPr>
        <w:spacing w:after="200"/>
        <w:rPr>
          <w:rFonts w:asciiTheme="minorHAnsi" w:hAnsiTheme="minorHAnsi"/>
          <w:sz w:val="22"/>
        </w:rPr>
      </w:pPr>
      <w:r w:rsidRPr="00563EF2">
        <w:rPr>
          <w:rFonts w:asciiTheme="minorHAnsi" w:hAnsiTheme="minorHAnsi"/>
          <w:sz w:val="22"/>
        </w:rPr>
        <w:t xml:space="preserve">Legnica zlokalizowana jest w centrum województwa dolnośląskiego, </w:t>
      </w:r>
      <w:r w:rsidR="00747501" w:rsidRPr="00563EF2">
        <w:rPr>
          <w:rFonts w:asciiTheme="minorHAnsi" w:hAnsiTheme="minorHAnsi"/>
          <w:sz w:val="22"/>
        </w:rPr>
        <w:t>na przecięciu kluczowych szlaków komunikacyjnych.</w:t>
      </w:r>
      <w:r w:rsidRPr="00563EF2">
        <w:rPr>
          <w:rFonts w:asciiTheme="minorHAnsi" w:hAnsiTheme="minorHAnsi"/>
          <w:sz w:val="22"/>
        </w:rPr>
        <w:t xml:space="preserve"> Tak korzystne położenie względem najważniejszych miast regionu (Głogowa, Lubina, Wałbrzycha, Jeleniej Góry), stolicy województwa (Wrocławia)</w:t>
      </w:r>
      <w:r w:rsidR="00FD35CD">
        <w:rPr>
          <w:rFonts w:asciiTheme="minorHAnsi" w:hAnsiTheme="minorHAnsi"/>
          <w:sz w:val="22"/>
        </w:rPr>
        <w:t>,</w:t>
      </w:r>
      <w:r w:rsidR="00BC5391">
        <w:rPr>
          <w:rFonts w:asciiTheme="minorHAnsi" w:hAnsiTheme="minorHAnsi"/>
          <w:sz w:val="22"/>
        </w:rPr>
        <w:t xml:space="preserve"> czy granicy kraju z Czechami i </w:t>
      </w:r>
      <w:r w:rsidRPr="00563EF2">
        <w:rPr>
          <w:rFonts w:asciiTheme="minorHAnsi" w:hAnsiTheme="minorHAnsi"/>
          <w:sz w:val="22"/>
        </w:rPr>
        <w:t xml:space="preserve">Niemcami stanowi główną przewagę konkurencyjną Miasta i jego gospodarczy potencjał. </w:t>
      </w:r>
    </w:p>
    <w:p w:rsidR="00BC5391" w:rsidRDefault="00BC5391" w:rsidP="00EC5484">
      <w:pPr>
        <w:pStyle w:val="Nagwek3"/>
      </w:pPr>
      <w:r>
        <w:br w:type="page"/>
      </w:r>
    </w:p>
    <w:p w:rsidR="00B05348" w:rsidRDefault="00B05348" w:rsidP="00EC5484">
      <w:pPr>
        <w:pStyle w:val="Nagwek3"/>
      </w:pPr>
      <w:bookmarkStart w:id="41" w:name="_Toc399756328"/>
    </w:p>
    <w:p w:rsidR="00EB06A5" w:rsidRDefault="00EC5484" w:rsidP="00EC5484">
      <w:pPr>
        <w:pStyle w:val="Nagwek3"/>
      </w:pPr>
      <w:r>
        <w:t>Transport drogowy</w:t>
      </w:r>
      <w:bookmarkEnd w:id="41"/>
    </w:p>
    <w:p w:rsidR="00BC5391" w:rsidRPr="00BC5391" w:rsidRDefault="00BC5391" w:rsidP="00BC5391"/>
    <w:p w:rsidR="00747501" w:rsidRPr="00563EF2" w:rsidRDefault="00747501" w:rsidP="00FD7676">
      <w:pPr>
        <w:spacing w:after="200"/>
        <w:rPr>
          <w:rFonts w:asciiTheme="minorHAnsi" w:hAnsiTheme="minorHAnsi"/>
          <w:sz w:val="22"/>
        </w:rPr>
      </w:pPr>
      <w:r w:rsidRPr="00563EF2">
        <w:rPr>
          <w:rFonts w:asciiTheme="minorHAnsi" w:hAnsiTheme="minorHAnsi"/>
          <w:sz w:val="22"/>
        </w:rPr>
        <w:t>W okresie 2005-2012 długość przebiegających przez Legnicę dróg powiatowych i gminnych o twardej nawierzchni ulepszonej wzrosła o 24,2 km. Miasto zrealizowało liczne inwestycje w zakresie poprawy jakości, wytyczania nowych dróg, a także modernizacji poboczy i elementów infrastruktury drogowej.</w:t>
      </w:r>
    </w:p>
    <w:p w:rsidR="007E3A89" w:rsidRPr="00EA4219" w:rsidRDefault="007E3A8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Wykres </w:t>
      </w:r>
      <w:r w:rsidR="005A0296" w:rsidRPr="00EA4219">
        <w:rPr>
          <w:rFonts w:asciiTheme="minorHAnsi" w:hAnsiTheme="minorHAnsi"/>
          <w:sz w:val="20"/>
          <w:szCs w:val="22"/>
        </w:rPr>
        <w:fldChar w:fldCharType="begin"/>
      </w:r>
      <w:r w:rsidR="005A0296" w:rsidRPr="00EA4219">
        <w:rPr>
          <w:rFonts w:asciiTheme="minorHAnsi" w:hAnsiTheme="minorHAnsi"/>
          <w:sz w:val="20"/>
          <w:szCs w:val="22"/>
        </w:rPr>
        <w:instrText xml:space="preserve"> SEQ Wykres \* ARABIC </w:instrText>
      </w:r>
      <w:r w:rsidR="005A0296" w:rsidRPr="00EA4219">
        <w:rPr>
          <w:rFonts w:asciiTheme="minorHAnsi" w:hAnsiTheme="minorHAnsi"/>
          <w:sz w:val="20"/>
          <w:szCs w:val="22"/>
        </w:rPr>
        <w:fldChar w:fldCharType="separate"/>
      </w:r>
      <w:r w:rsidR="007B2916">
        <w:rPr>
          <w:rFonts w:asciiTheme="minorHAnsi" w:hAnsiTheme="minorHAnsi"/>
          <w:noProof/>
          <w:sz w:val="20"/>
          <w:szCs w:val="22"/>
        </w:rPr>
        <w:t>23</w:t>
      </w:r>
      <w:r w:rsidR="005A0296" w:rsidRPr="00EA4219">
        <w:rPr>
          <w:rFonts w:asciiTheme="minorHAnsi" w:hAnsiTheme="minorHAnsi"/>
          <w:sz w:val="20"/>
          <w:szCs w:val="22"/>
        </w:rPr>
        <w:fldChar w:fldCharType="end"/>
      </w:r>
      <w:r w:rsidRPr="00EA4219">
        <w:rPr>
          <w:rFonts w:asciiTheme="minorHAnsi" w:hAnsiTheme="minorHAnsi"/>
          <w:sz w:val="20"/>
          <w:szCs w:val="22"/>
        </w:rPr>
        <w:t>. Infrastruktura drogowa w Legnicy.</w:t>
      </w:r>
    </w:p>
    <w:p w:rsidR="007E3A89" w:rsidRPr="00563EF2" w:rsidRDefault="007E3A89" w:rsidP="00FD7676">
      <w:pPr>
        <w:rPr>
          <w:rFonts w:asciiTheme="minorHAnsi" w:hAnsiTheme="minorHAnsi"/>
          <w:sz w:val="22"/>
        </w:rPr>
      </w:pPr>
      <w:r w:rsidRPr="00563EF2">
        <w:rPr>
          <w:rFonts w:asciiTheme="minorHAnsi" w:hAnsiTheme="minorHAnsi"/>
          <w:noProof/>
          <w:sz w:val="22"/>
          <w:lang w:eastAsia="pl-PL"/>
        </w:rPr>
        <w:drawing>
          <wp:inline distT="0" distB="0" distL="0" distR="0" wp14:anchorId="6B96658D" wp14:editId="03C2C791">
            <wp:extent cx="5775695" cy="2743200"/>
            <wp:effectExtent l="19050" t="0" r="1550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E3A89" w:rsidRDefault="007E3A89" w:rsidP="00FD7676">
      <w:pPr>
        <w:rPr>
          <w:rFonts w:asciiTheme="minorHAnsi" w:hAnsiTheme="minorHAnsi"/>
          <w:sz w:val="20"/>
        </w:rPr>
      </w:pPr>
      <w:r w:rsidRPr="00700661">
        <w:rPr>
          <w:rFonts w:asciiTheme="minorHAnsi" w:hAnsiTheme="minorHAnsi"/>
          <w:sz w:val="20"/>
        </w:rPr>
        <w:t>Źró</w:t>
      </w:r>
      <w:r w:rsidR="00700661" w:rsidRPr="00700661">
        <w:rPr>
          <w:rFonts w:asciiTheme="minorHAnsi" w:hAnsiTheme="minorHAnsi"/>
          <w:sz w:val="20"/>
        </w:rPr>
        <w:t>dło:</w:t>
      </w:r>
      <w:r w:rsidR="00700661" w:rsidRPr="00700661">
        <w:rPr>
          <w:rFonts w:asciiTheme="minorHAnsi" w:hAnsiTheme="minorHAnsi"/>
          <w:i/>
          <w:sz w:val="20"/>
        </w:rPr>
        <w:t xml:space="preserve"> Bank Danych Lokalnych, </w:t>
      </w:r>
      <w:r w:rsidR="00700661" w:rsidRPr="00700661">
        <w:rPr>
          <w:rFonts w:asciiTheme="minorHAnsi" w:hAnsiTheme="minorHAnsi"/>
          <w:sz w:val="20"/>
        </w:rPr>
        <w:t>GUS</w:t>
      </w:r>
      <w:r w:rsidR="008B3862">
        <w:rPr>
          <w:rFonts w:asciiTheme="minorHAnsi" w:hAnsiTheme="minorHAnsi"/>
          <w:sz w:val="20"/>
        </w:rPr>
        <w:t>.</w:t>
      </w:r>
    </w:p>
    <w:p w:rsidR="008B3862" w:rsidRPr="00700661" w:rsidRDefault="008B3862" w:rsidP="00FD7676">
      <w:pPr>
        <w:rPr>
          <w:rFonts w:asciiTheme="minorHAnsi" w:hAnsiTheme="minorHAnsi"/>
          <w:i/>
          <w:sz w:val="20"/>
        </w:rPr>
      </w:pPr>
    </w:p>
    <w:p w:rsidR="007E3A89" w:rsidRPr="00563EF2" w:rsidRDefault="007E3A89" w:rsidP="00FD7676">
      <w:pPr>
        <w:rPr>
          <w:rFonts w:asciiTheme="minorHAnsi" w:hAnsiTheme="minorHAnsi"/>
          <w:sz w:val="22"/>
        </w:rPr>
      </w:pPr>
      <w:r w:rsidRPr="00563EF2">
        <w:rPr>
          <w:rFonts w:asciiTheme="minorHAnsi" w:hAnsiTheme="minorHAnsi"/>
          <w:sz w:val="22"/>
        </w:rPr>
        <w:t>Poważny skok jakościowy</w:t>
      </w:r>
      <w:r w:rsidR="00FD35CD">
        <w:rPr>
          <w:rFonts w:asciiTheme="minorHAnsi" w:hAnsiTheme="minorHAnsi"/>
          <w:sz w:val="22"/>
        </w:rPr>
        <w:t>,</w:t>
      </w:r>
      <w:r w:rsidRPr="00563EF2">
        <w:rPr>
          <w:rFonts w:asciiTheme="minorHAnsi" w:hAnsiTheme="minorHAnsi"/>
          <w:sz w:val="22"/>
        </w:rPr>
        <w:t xml:space="preserve"> jaki dokonał się na przestrzeni lat 2004-2014 w zakresie infrastruktury drogowo-komunikacyjnej był możliwy do osiągnięcia dzięki wspa</w:t>
      </w:r>
      <w:r w:rsidR="00BC5391">
        <w:rPr>
          <w:rFonts w:asciiTheme="minorHAnsi" w:hAnsiTheme="minorHAnsi"/>
          <w:sz w:val="22"/>
        </w:rPr>
        <w:t>rciu finansowemu pochodzącemu z </w:t>
      </w:r>
      <w:r w:rsidRPr="00563EF2">
        <w:rPr>
          <w:rFonts w:asciiTheme="minorHAnsi" w:hAnsiTheme="minorHAnsi"/>
          <w:sz w:val="22"/>
        </w:rPr>
        <w:t>Funduszy Europejskich. Sprawne pozyskiwanie funduszy europejskich, w połączeniu ze środkami własnymi Miasta i środkami województwa dolnośląskiego umożliwiło realizację takich projektów inwestycyjnych jak:</w:t>
      </w:r>
    </w:p>
    <w:p w:rsidR="007E3A89" w:rsidRPr="00563EF2" w:rsidRDefault="007E3A89" w:rsidP="00FD7676">
      <w:pPr>
        <w:pStyle w:val="Akapitzlist"/>
        <w:numPr>
          <w:ilvl w:val="0"/>
          <w:numId w:val="7"/>
        </w:numPr>
        <w:spacing w:after="200"/>
        <w:rPr>
          <w:rFonts w:asciiTheme="minorHAnsi" w:hAnsiTheme="minorHAnsi"/>
          <w:sz w:val="22"/>
        </w:rPr>
      </w:pPr>
      <w:r w:rsidRPr="00563EF2">
        <w:rPr>
          <w:rFonts w:asciiTheme="minorHAnsi" w:hAnsiTheme="minorHAnsi"/>
          <w:sz w:val="22"/>
        </w:rPr>
        <w:t>Budowa Obwodnicy Zachodniej Legnicy, Etap ID – odcinek od ul. Nowodworskiej do autostrady</w:t>
      </w:r>
      <w:r w:rsidR="00FD35CD">
        <w:rPr>
          <w:rFonts w:asciiTheme="minorHAnsi" w:hAnsiTheme="minorHAnsi"/>
          <w:sz w:val="22"/>
        </w:rPr>
        <w:t xml:space="preserve"> </w:t>
      </w:r>
      <w:r w:rsidRPr="00563EF2">
        <w:rPr>
          <w:rFonts w:asciiTheme="minorHAnsi" w:hAnsiTheme="minorHAnsi"/>
          <w:sz w:val="22"/>
        </w:rPr>
        <w:t>A4. Koszt projektu wynosił 31 801 930,</w:t>
      </w:r>
      <w:r w:rsidR="00BC5391">
        <w:rPr>
          <w:rFonts w:asciiTheme="minorHAnsi" w:hAnsiTheme="minorHAnsi"/>
          <w:sz w:val="22"/>
        </w:rPr>
        <w:t>66 zł, z czego dofinansowanie z </w:t>
      </w:r>
      <w:r w:rsidRPr="00563EF2">
        <w:rPr>
          <w:rFonts w:asciiTheme="minorHAnsi" w:hAnsiTheme="minorHAnsi"/>
          <w:sz w:val="22"/>
        </w:rPr>
        <w:t>Europejskiego Funduszu Rozwoju Regionalnego wynosiło 17 793 096,01 zł.</w:t>
      </w:r>
      <w:r w:rsidR="00FD35CD">
        <w:rPr>
          <w:rFonts w:asciiTheme="minorHAnsi" w:hAnsiTheme="minorHAnsi"/>
          <w:sz w:val="22"/>
        </w:rPr>
        <w:t>;</w:t>
      </w:r>
    </w:p>
    <w:p w:rsidR="007E3A89" w:rsidRPr="00563EF2" w:rsidRDefault="007E3A89" w:rsidP="00FD7676">
      <w:pPr>
        <w:pStyle w:val="Akapitzlist"/>
        <w:numPr>
          <w:ilvl w:val="0"/>
          <w:numId w:val="7"/>
        </w:numPr>
        <w:spacing w:after="200"/>
        <w:rPr>
          <w:rFonts w:asciiTheme="minorHAnsi" w:hAnsiTheme="minorHAnsi"/>
          <w:sz w:val="22"/>
        </w:rPr>
      </w:pPr>
      <w:r w:rsidRPr="00563EF2">
        <w:rPr>
          <w:rFonts w:asciiTheme="minorHAnsi" w:hAnsiTheme="minorHAnsi"/>
          <w:sz w:val="22"/>
        </w:rPr>
        <w:t>Budowa zbiorczej drogi południowej – modernizacja ul. Grabskiego. Wartość projektu wynosiła 2 294 839,86 zł</w:t>
      </w:r>
      <w:r w:rsidR="00FD35CD">
        <w:rPr>
          <w:rFonts w:asciiTheme="minorHAnsi" w:hAnsiTheme="minorHAnsi"/>
          <w:sz w:val="22"/>
        </w:rPr>
        <w:t>,</w:t>
      </w:r>
      <w:r w:rsidRPr="00563EF2">
        <w:rPr>
          <w:rFonts w:asciiTheme="minorHAnsi" w:hAnsiTheme="minorHAnsi"/>
          <w:sz w:val="22"/>
        </w:rPr>
        <w:t xml:space="preserve"> z czego dofinansowanie z EFRR wynosiło 1 721 129,90 zł</w:t>
      </w:r>
      <w:r w:rsidR="00FD35CD">
        <w:rPr>
          <w:rFonts w:asciiTheme="minorHAnsi" w:hAnsiTheme="minorHAnsi"/>
          <w:sz w:val="22"/>
        </w:rPr>
        <w:t>;</w:t>
      </w:r>
    </w:p>
    <w:p w:rsidR="007E3A89" w:rsidRPr="00563EF2" w:rsidRDefault="007E3A89" w:rsidP="00FD7676">
      <w:pPr>
        <w:pStyle w:val="Akapitzlist"/>
        <w:numPr>
          <w:ilvl w:val="0"/>
          <w:numId w:val="7"/>
        </w:numPr>
        <w:spacing w:after="200"/>
        <w:rPr>
          <w:rFonts w:asciiTheme="minorHAnsi" w:hAnsiTheme="minorHAnsi"/>
          <w:sz w:val="22"/>
        </w:rPr>
      </w:pPr>
      <w:r w:rsidRPr="00563EF2">
        <w:rPr>
          <w:rFonts w:asciiTheme="minorHAnsi" w:hAnsiTheme="minorHAnsi"/>
          <w:sz w:val="22"/>
        </w:rPr>
        <w:t>Rozbudowa systemu transportu publicznego w Legnicy wraz z zakupem taboru autobusowego. Wartość projektu wynosiła 4 443 751,03 zł z czego wartość dofinansowani</w:t>
      </w:r>
      <w:r w:rsidR="00FD35CD">
        <w:rPr>
          <w:rFonts w:asciiTheme="minorHAnsi" w:hAnsiTheme="minorHAnsi"/>
          <w:sz w:val="22"/>
        </w:rPr>
        <w:t>a EFRR wynosiła 3 271 628,74 zł;</w:t>
      </w:r>
    </w:p>
    <w:p w:rsidR="007E3A89" w:rsidRPr="00563EF2" w:rsidRDefault="007E3A89" w:rsidP="00FD7676">
      <w:pPr>
        <w:pStyle w:val="Akapitzlist"/>
        <w:numPr>
          <w:ilvl w:val="0"/>
          <w:numId w:val="7"/>
        </w:numPr>
        <w:spacing w:after="200"/>
        <w:rPr>
          <w:rFonts w:asciiTheme="minorHAnsi" w:hAnsiTheme="minorHAnsi"/>
          <w:sz w:val="22"/>
        </w:rPr>
      </w:pPr>
      <w:r w:rsidRPr="00563EF2">
        <w:rPr>
          <w:rFonts w:asciiTheme="minorHAnsi" w:hAnsiTheme="minorHAnsi"/>
          <w:sz w:val="22"/>
        </w:rPr>
        <w:t>Przebudowa ul. Gniewomierskiej – I etap budowy obwodnicy południowo-wscho</w:t>
      </w:r>
      <w:r w:rsidR="00FD35CD">
        <w:rPr>
          <w:rFonts w:asciiTheme="minorHAnsi" w:hAnsiTheme="minorHAnsi"/>
          <w:sz w:val="22"/>
        </w:rPr>
        <w:t>dniej Legnicy;</w:t>
      </w:r>
      <w:r w:rsidR="00A7721D" w:rsidRPr="00563EF2">
        <w:rPr>
          <w:rFonts w:asciiTheme="minorHAnsi" w:hAnsiTheme="minorHAnsi"/>
          <w:sz w:val="22"/>
        </w:rPr>
        <w:t xml:space="preserve"> </w:t>
      </w:r>
    </w:p>
    <w:p w:rsidR="005E5295" w:rsidRPr="00563EF2" w:rsidRDefault="005E5295" w:rsidP="00FD7676">
      <w:pPr>
        <w:pStyle w:val="Akapitzlist"/>
        <w:numPr>
          <w:ilvl w:val="0"/>
          <w:numId w:val="7"/>
        </w:numPr>
        <w:spacing w:after="200"/>
        <w:rPr>
          <w:rFonts w:asciiTheme="minorHAnsi" w:hAnsiTheme="minorHAnsi"/>
          <w:sz w:val="22"/>
        </w:rPr>
      </w:pPr>
      <w:r w:rsidRPr="00563EF2">
        <w:rPr>
          <w:rFonts w:asciiTheme="minorHAnsi" w:hAnsiTheme="minorHAnsi"/>
          <w:sz w:val="22"/>
        </w:rPr>
        <w:t xml:space="preserve">Przebudowa ulic i dróg w powiązaniu z krajowym układem </w:t>
      </w:r>
      <w:r w:rsidR="00BC5391">
        <w:rPr>
          <w:rFonts w:asciiTheme="minorHAnsi" w:hAnsiTheme="minorHAnsi"/>
          <w:sz w:val="22"/>
        </w:rPr>
        <w:t>komunikacyjnym – Trasa Nr 4 – I </w:t>
      </w:r>
      <w:r w:rsidR="00FD35CD">
        <w:rPr>
          <w:rFonts w:asciiTheme="minorHAnsi" w:hAnsiTheme="minorHAnsi"/>
          <w:sz w:val="22"/>
        </w:rPr>
        <w:t>etap;</w:t>
      </w:r>
    </w:p>
    <w:p w:rsidR="005E5295" w:rsidRPr="00563EF2" w:rsidRDefault="005E5295" w:rsidP="00FD7676">
      <w:pPr>
        <w:pStyle w:val="Akapitzlist"/>
        <w:numPr>
          <w:ilvl w:val="0"/>
          <w:numId w:val="7"/>
        </w:numPr>
        <w:spacing w:after="200"/>
        <w:rPr>
          <w:rFonts w:asciiTheme="minorHAnsi" w:hAnsiTheme="minorHAnsi"/>
          <w:sz w:val="22"/>
        </w:rPr>
      </w:pPr>
      <w:r w:rsidRPr="00563EF2">
        <w:rPr>
          <w:rFonts w:asciiTheme="minorHAnsi" w:hAnsiTheme="minorHAnsi"/>
          <w:sz w:val="22"/>
        </w:rPr>
        <w:t>Przebudowa</w:t>
      </w:r>
      <w:r w:rsidR="00A7721D" w:rsidRPr="00563EF2">
        <w:rPr>
          <w:rFonts w:asciiTheme="minorHAnsi" w:hAnsiTheme="minorHAnsi"/>
          <w:sz w:val="22"/>
        </w:rPr>
        <w:t xml:space="preserve"> drogi krajowej Nr 94 </w:t>
      </w:r>
      <w:r w:rsidRPr="00563EF2">
        <w:rPr>
          <w:rFonts w:asciiTheme="minorHAnsi" w:hAnsiTheme="minorHAnsi"/>
          <w:sz w:val="22"/>
        </w:rPr>
        <w:t>(klika inwestycji na różnych odcinkach)</w:t>
      </w:r>
      <w:r w:rsidR="00FD35CD">
        <w:rPr>
          <w:rFonts w:asciiTheme="minorHAnsi" w:hAnsiTheme="minorHAnsi"/>
          <w:sz w:val="22"/>
        </w:rPr>
        <w:t>;</w:t>
      </w:r>
    </w:p>
    <w:p w:rsidR="00A7721D" w:rsidRPr="00563EF2" w:rsidRDefault="005E5295" w:rsidP="00FD7676">
      <w:pPr>
        <w:pStyle w:val="Akapitzlist"/>
        <w:numPr>
          <w:ilvl w:val="0"/>
          <w:numId w:val="7"/>
        </w:numPr>
        <w:spacing w:after="200"/>
        <w:rPr>
          <w:rFonts w:asciiTheme="minorHAnsi" w:hAnsiTheme="minorHAnsi"/>
          <w:sz w:val="22"/>
        </w:rPr>
      </w:pPr>
      <w:r w:rsidRPr="00563EF2">
        <w:rPr>
          <w:rFonts w:asciiTheme="minorHAnsi" w:hAnsiTheme="minorHAnsi"/>
          <w:sz w:val="22"/>
        </w:rPr>
        <w:t>Przebudowa</w:t>
      </w:r>
      <w:r w:rsidR="00A7721D" w:rsidRPr="00563EF2">
        <w:rPr>
          <w:rFonts w:asciiTheme="minorHAnsi" w:hAnsiTheme="minorHAnsi"/>
          <w:sz w:val="22"/>
        </w:rPr>
        <w:t xml:space="preserve"> ulic gruntowych na osiedlu Piekary Wielkie w powiązaniu z drogą krajową Nr 94</w:t>
      </w:r>
      <w:r w:rsidR="00FD35CD">
        <w:rPr>
          <w:rFonts w:asciiTheme="minorHAnsi" w:hAnsiTheme="minorHAnsi"/>
          <w:sz w:val="22"/>
        </w:rPr>
        <w:t>.</w:t>
      </w:r>
    </w:p>
    <w:p w:rsidR="00BE6BD9" w:rsidRPr="00563EF2" w:rsidRDefault="00BE6BD9" w:rsidP="00FD7676">
      <w:pPr>
        <w:spacing w:after="200"/>
        <w:ind w:left="393"/>
        <w:rPr>
          <w:rFonts w:asciiTheme="minorHAnsi" w:hAnsiTheme="minorHAnsi"/>
          <w:sz w:val="22"/>
        </w:rPr>
      </w:pPr>
      <w:r w:rsidRPr="00563EF2">
        <w:rPr>
          <w:rFonts w:asciiTheme="minorHAnsi" w:hAnsiTheme="minorHAnsi"/>
          <w:sz w:val="22"/>
        </w:rPr>
        <w:t xml:space="preserve">Dzięki inwestycjom w rozbudowę sieci komunikacyjnej dojazd samochodem do największych miast Dolnego Śląska nie przekracza 1,5 godziny. </w:t>
      </w:r>
    </w:p>
    <w:p w:rsidR="00BE6BD9" w:rsidRPr="00EA4219" w:rsidRDefault="00BE6BD9"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Mapa </w:t>
      </w:r>
      <w:r w:rsidR="00017794" w:rsidRPr="00EA4219">
        <w:rPr>
          <w:rFonts w:asciiTheme="minorHAnsi" w:hAnsiTheme="minorHAnsi"/>
          <w:sz w:val="20"/>
          <w:szCs w:val="22"/>
        </w:rPr>
        <w:fldChar w:fldCharType="begin"/>
      </w:r>
      <w:r w:rsidRPr="00EA4219">
        <w:rPr>
          <w:rFonts w:asciiTheme="minorHAnsi" w:hAnsiTheme="minorHAnsi"/>
          <w:sz w:val="20"/>
          <w:szCs w:val="22"/>
        </w:rPr>
        <w:instrText xml:space="preserve"> SEQ Mapa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4</w:t>
      </w:r>
      <w:r w:rsidR="00017794" w:rsidRPr="00EA4219">
        <w:rPr>
          <w:rFonts w:asciiTheme="minorHAnsi" w:hAnsiTheme="minorHAnsi"/>
          <w:sz w:val="20"/>
          <w:szCs w:val="22"/>
        </w:rPr>
        <w:fldChar w:fldCharType="end"/>
      </w:r>
      <w:r w:rsidRPr="00EA4219">
        <w:rPr>
          <w:rFonts w:asciiTheme="minorHAnsi" w:hAnsiTheme="minorHAnsi"/>
          <w:sz w:val="20"/>
          <w:szCs w:val="22"/>
        </w:rPr>
        <w:t>. Czasowa dostępność miast woj. dolnośląskiego do Legnicy</w:t>
      </w:r>
    </w:p>
    <w:p w:rsidR="00C10D0A" w:rsidRDefault="00BE6BD9" w:rsidP="00FD7676">
      <w:pPr>
        <w:pStyle w:val="Akapitzlist"/>
        <w:spacing w:after="200"/>
        <w:ind w:left="0"/>
        <w:rPr>
          <w:rFonts w:asciiTheme="minorHAnsi" w:hAnsiTheme="minorHAnsi"/>
          <w:sz w:val="22"/>
        </w:rPr>
      </w:pPr>
      <w:r w:rsidRPr="00563EF2">
        <w:rPr>
          <w:rFonts w:asciiTheme="minorHAnsi" w:hAnsiTheme="minorHAnsi"/>
          <w:noProof/>
          <w:sz w:val="22"/>
          <w:lang w:eastAsia="pl-PL"/>
        </w:rPr>
        <w:drawing>
          <wp:inline distT="0" distB="0" distL="0" distR="0" wp14:anchorId="626EB268" wp14:editId="4BBF2A7B">
            <wp:extent cx="4936528" cy="4275117"/>
            <wp:effectExtent l="0" t="0" r="0" b="0"/>
            <wp:docPr id="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956206" cy="4292158"/>
                    </a:xfrm>
                    <a:prstGeom prst="rect">
                      <a:avLst/>
                    </a:prstGeom>
                    <a:noFill/>
                    <a:ln w="9525">
                      <a:noFill/>
                      <a:miter lim="800000"/>
                      <a:headEnd/>
                      <a:tailEnd/>
                    </a:ln>
                  </pic:spPr>
                </pic:pic>
              </a:graphicData>
            </a:graphic>
          </wp:inline>
        </w:drawing>
      </w:r>
    </w:p>
    <w:p w:rsidR="007151FE" w:rsidRPr="00700661" w:rsidRDefault="00BE6BD9" w:rsidP="00FD7676">
      <w:pPr>
        <w:pStyle w:val="Akapitzlist"/>
        <w:spacing w:after="200"/>
        <w:ind w:left="0"/>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Raport o miastach województwa dolnośląskiego</w:t>
      </w:r>
      <w:r w:rsidRPr="00700661">
        <w:rPr>
          <w:rFonts w:asciiTheme="minorHAnsi" w:hAnsiTheme="minorHAnsi"/>
          <w:sz w:val="20"/>
        </w:rPr>
        <w:t>, Instytut Rozwoju Terytorialnego, Wrocław, 2012</w:t>
      </w:r>
      <w:r w:rsidR="008B3862">
        <w:rPr>
          <w:rFonts w:asciiTheme="minorHAnsi" w:hAnsiTheme="minorHAnsi"/>
          <w:sz w:val="20"/>
        </w:rPr>
        <w:t>.</w:t>
      </w:r>
    </w:p>
    <w:p w:rsidR="00B238C0" w:rsidRDefault="00B238C0" w:rsidP="00FD7676">
      <w:pPr>
        <w:spacing w:after="200"/>
        <w:rPr>
          <w:rFonts w:asciiTheme="minorHAnsi" w:hAnsiTheme="minorHAnsi"/>
          <w:sz w:val="22"/>
        </w:rPr>
      </w:pPr>
      <w:r w:rsidRPr="00563EF2">
        <w:rPr>
          <w:rFonts w:asciiTheme="minorHAnsi" w:hAnsiTheme="minorHAnsi"/>
          <w:sz w:val="22"/>
        </w:rPr>
        <w:t>Dobry stan dróg przekłada się również na wzrost zarejestrowanych pojazdów. W 201</w:t>
      </w:r>
      <w:r w:rsidR="00974EA9">
        <w:rPr>
          <w:rFonts w:asciiTheme="minorHAnsi" w:hAnsiTheme="minorHAnsi"/>
          <w:sz w:val="22"/>
        </w:rPr>
        <w:t>3</w:t>
      </w:r>
      <w:r w:rsidRPr="00563EF2">
        <w:rPr>
          <w:rFonts w:asciiTheme="minorHAnsi" w:hAnsiTheme="minorHAnsi"/>
          <w:sz w:val="22"/>
        </w:rPr>
        <w:t xml:space="preserve"> r. na terenie Legnicy zarejestrowanych było </w:t>
      </w:r>
      <w:r w:rsidR="00974EA9">
        <w:rPr>
          <w:rFonts w:asciiTheme="minorHAnsi" w:hAnsiTheme="minorHAnsi"/>
          <w:sz w:val="22"/>
        </w:rPr>
        <w:t>98 486 pojazdów</w:t>
      </w:r>
      <w:r w:rsidR="00FD35CD">
        <w:rPr>
          <w:rFonts w:asciiTheme="minorHAnsi" w:hAnsiTheme="minorHAnsi"/>
          <w:sz w:val="22"/>
        </w:rPr>
        <w:t>,</w:t>
      </w:r>
      <w:r w:rsidR="00974EA9">
        <w:rPr>
          <w:rFonts w:asciiTheme="minorHAnsi" w:hAnsiTheme="minorHAnsi"/>
          <w:sz w:val="22"/>
        </w:rPr>
        <w:t xml:space="preserve"> co oznacza ponad 2,5-krotny wzrost w stosunku do 2004 r. (34 558 zarejestrowanych pojazdów)</w:t>
      </w:r>
      <w:r w:rsidR="00FD35CD">
        <w:rPr>
          <w:rFonts w:asciiTheme="minorHAnsi" w:hAnsiTheme="minorHAnsi"/>
          <w:sz w:val="22"/>
        </w:rPr>
        <w:t>.</w:t>
      </w:r>
      <w:r w:rsidR="00974EA9">
        <w:rPr>
          <w:rFonts w:asciiTheme="minorHAnsi" w:hAnsiTheme="minorHAnsi"/>
          <w:sz w:val="22"/>
        </w:rPr>
        <w:t xml:space="preserve"> </w:t>
      </w:r>
    </w:p>
    <w:p w:rsidR="00936BE2" w:rsidRPr="00EA4219" w:rsidRDefault="00936BE2" w:rsidP="00936BE2">
      <w:pPr>
        <w:pStyle w:val="Legenda"/>
        <w:keepNext/>
        <w:rPr>
          <w:rFonts w:asciiTheme="minorHAnsi" w:hAnsiTheme="minorHAnsi"/>
          <w:sz w:val="20"/>
        </w:rPr>
      </w:pPr>
      <w:r w:rsidRPr="00EA4219">
        <w:rPr>
          <w:rFonts w:asciiTheme="minorHAnsi" w:hAnsiTheme="minorHAnsi"/>
          <w:sz w:val="20"/>
        </w:rPr>
        <w:t xml:space="preserve">Wykres </w:t>
      </w:r>
      <w:r w:rsidRPr="00EA4219">
        <w:rPr>
          <w:rFonts w:asciiTheme="minorHAnsi" w:hAnsiTheme="minorHAnsi"/>
          <w:sz w:val="20"/>
        </w:rPr>
        <w:fldChar w:fldCharType="begin"/>
      </w:r>
      <w:r w:rsidRPr="00EA4219">
        <w:rPr>
          <w:rFonts w:asciiTheme="minorHAnsi" w:hAnsiTheme="minorHAnsi"/>
          <w:sz w:val="20"/>
        </w:rPr>
        <w:instrText xml:space="preserve"> SEQ Wykres \* ARABIC </w:instrText>
      </w:r>
      <w:r w:rsidRPr="00EA4219">
        <w:rPr>
          <w:rFonts w:asciiTheme="minorHAnsi" w:hAnsiTheme="minorHAnsi"/>
          <w:sz w:val="20"/>
        </w:rPr>
        <w:fldChar w:fldCharType="separate"/>
      </w:r>
      <w:r w:rsidR="007B2916">
        <w:rPr>
          <w:rFonts w:asciiTheme="minorHAnsi" w:hAnsiTheme="minorHAnsi"/>
          <w:noProof/>
          <w:sz w:val="20"/>
        </w:rPr>
        <w:t>24</w:t>
      </w:r>
      <w:r w:rsidRPr="00EA4219">
        <w:rPr>
          <w:rFonts w:asciiTheme="minorHAnsi" w:hAnsiTheme="minorHAnsi"/>
          <w:sz w:val="20"/>
        </w:rPr>
        <w:fldChar w:fldCharType="end"/>
      </w:r>
      <w:r w:rsidR="00B05348">
        <w:rPr>
          <w:rFonts w:asciiTheme="minorHAnsi" w:hAnsiTheme="minorHAnsi"/>
          <w:sz w:val="20"/>
        </w:rPr>
        <w:t>7</w:t>
      </w:r>
      <w:r w:rsidRPr="00EA4219">
        <w:rPr>
          <w:rFonts w:asciiTheme="minorHAnsi" w:hAnsiTheme="minorHAnsi"/>
          <w:sz w:val="20"/>
        </w:rPr>
        <w:t>. Zarejestrowane pojazdy ogółem w latach 2004-2013</w:t>
      </w:r>
    </w:p>
    <w:p w:rsidR="00936BE2" w:rsidRDefault="00936BE2" w:rsidP="00FD7676">
      <w:pPr>
        <w:spacing w:after="200"/>
        <w:rPr>
          <w:rFonts w:asciiTheme="minorHAnsi" w:hAnsiTheme="minorHAnsi"/>
          <w:sz w:val="22"/>
        </w:rPr>
      </w:pPr>
      <w:r>
        <w:rPr>
          <w:noProof/>
          <w:lang w:eastAsia="pl-PL"/>
        </w:rPr>
        <w:drawing>
          <wp:inline distT="0" distB="0" distL="0" distR="0" wp14:anchorId="7FCD7D55" wp14:editId="094E1F1E">
            <wp:extent cx="4648200" cy="214312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36BE2" w:rsidRPr="00700661" w:rsidRDefault="00936BE2" w:rsidP="00FD7676">
      <w:pPr>
        <w:spacing w:after="200"/>
        <w:rPr>
          <w:rFonts w:asciiTheme="minorHAnsi" w:hAnsiTheme="minorHAnsi"/>
          <w:sz w:val="20"/>
        </w:rPr>
      </w:pPr>
      <w:r w:rsidRPr="00700661">
        <w:rPr>
          <w:rFonts w:asciiTheme="minorHAnsi" w:hAnsiTheme="minorHAnsi"/>
          <w:sz w:val="20"/>
        </w:rPr>
        <w:t>Źródło: Urząd Miast</w:t>
      </w:r>
      <w:r w:rsidR="00700661">
        <w:rPr>
          <w:rFonts w:asciiTheme="minorHAnsi" w:hAnsiTheme="minorHAnsi"/>
          <w:sz w:val="20"/>
        </w:rPr>
        <w:t>a Legnicy</w:t>
      </w:r>
      <w:r w:rsidR="008B3862">
        <w:rPr>
          <w:rFonts w:asciiTheme="minorHAnsi" w:hAnsiTheme="minorHAnsi"/>
          <w:sz w:val="20"/>
        </w:rPr>
        <w:t>.</w:t>
      </w:r>
    </w:p>
    <w:p w:rsidR="007151FE" w:rsidRPr="00563EF2" w:rsidRDefault="00974EA9" w:rsidP="00FD7676">
      <w:pPr>
        <w:spacing w:after="200"/>
        <w:rPr>
          <w:rFonts w:asciiTheme="minorHAnsi" w:hAnsiTheme="minorHAnsi"/>
          <w:sz w:val="22"/>
        </w:rPr>
      </w:pPr>
      <w:r>
        <w:rPr>
          <w:rFonts w:asciiTheme="minorHAnsi" w:hAnsiTheme="minorHAnsi"/>
          <w:sz w:val="22"/>
        </w:rPr>
        <w:t>Tak wysoka dynamika rosnącej</w:t>
      </w:r>
      <w:r w:rsidR="007151FE" w:rsidRPr="00563EF2">
        <w:rPr>
          <w:rFonts w:asciiTheme="minorHAnsi" w:hAnsiTheme="minorHAnsi"/>
          <w:sz w:val="22"/>
        </w:rPr>
        <w:t xml:space="preserve"> liczby pojazdów przyczynia się do zwiększonego obciążenia ruchem kołowym dróg wewnętrznych w Legnicy</w:t>
      </w:r>
      <w:r w:rsidR="00FD35CD">
        <w:rPr>
          <w:rFonts w:asciiTheme="minorHAnsi" w:hAnsiTheme="minorHAnsi"/>
          <w:sz w:val="22"/>
        </w:rPr>
        <w:t>,</w:t>
      </w:r>
      <w:r w:rsidR="007151FE" w:rsidRPr="00563EF2">
        <w:rPr>
          <w:rFonts w:asciiTheme="minorHAnsi" w:hAnsiTheme="minorHAnsi"/>
          <w:sz w:val="22"/>
        </w:rPr>
        <w:t xml:space="preserve"> co prowadzi do ich dekapitalizacji, a także zwiększa niską emisję spalin oraz uciążliwość hałasu dla mieszkańców. </w:t>
      </w:r>
    </w:p>
    <w:p w:rsidR="007151FE" w:rsidRPr="00563EF2" w:rsidRDefault="007151FE" w:rsidP="00FD7676">
      <w:pPr>
        <w:spacing w:after="200"/>
        <w:rPr>
          <w:rFonts w:asciiTheme="minorHAnsi" w:hAnsiTheme="minorHAnsi"/>
          <w:sz w:val="22"/>
        </w:rPr>
      </w:pPr>
      <w:r w:rsidRPr="00563EF2">
        <w:rPr>
          <w:rFonts w:asciiTheme="minorHAnsi" w:hAnsiTheme="minorHAnsi"/>
          <w:sz w:val="22"/>
        </w:rPr>
        <w:t>W najbliższych latach GDDKiA planuje zamknięcie i przebudowę węzłów na autostradzie A4 służące dostosowaniu autostrady do wymogów autostrady płatnej i budowy bramek. O ile w samej Legnicy powstać mają dwa dodatkowe węzły Leg</w:t>
      </w:r>
      <w:r w:rsidR="000D7ADD" w:rsidRPr="00563EF2">
        <w:rPr>
          <w:rFonts w:asciiTheme="minorHAnsi" w:hAnsiTheme="minorHAnsi"/>
          <w:sz w:val="22"/>
        </w:rPr>
        <w:t>nica S</w:t>
      </w:r>
      <w:r w:rsidRPr="00563EF2">
        <w:rPr>
          <w:rFonts w:asciiTheme="minorHAnsi" w:hAnsiTheme="minorHAnsi"/>
          <w:sz w:val="22"/>
        </w:rPr>
        <w:t>SE oraz Legnica II</w:t>
      </w:r>
      <w:r w:rsidR="00FD35CD">
        <w:rPr>
          <w:rFonts w:asciiTheme="minorHAnsi" w:hAnsiTheme="minorHAnsi"/>
          <w:sz w:val="22"/>
        </w:rPr>
        <w:t>,</w:t>
      </w:r>
      <w:r w:rsidRPr="00563EF2">
        <w:rPr>
          <w:rFonts w:asciiTheme="minorHAnsi" w:hAnsiTheme="minorHAnsi"/>
          <w:sz w:val="22"/>
        </w:rPr>
        <w:t xml:space="preserve"> o tyle sąsiednie gminy zostaną pozbawione możliwości bezpośredniego skomunikowan</w:t>
      </w:r>
      <w:r w:rsidR="009C1B39" w:rsidRPr="00563EF2">
        <w:rPr>
          <w:rFonts w:asciiTheme="minorHAnsi" w:hAnsiTheme="minorHAnsi"/>
          <w:sz w:val="22"/>
        </w:rPr>
        <w:t>ia drogowego z autostradą. Likwidacja węzłów oraz wprowadzenie opłat prawdopodobnie spowoduje przenie</w:t>
      </w:r>
      <w:r w:rsidR="00BC5391">
        <w:rPr>
          <w:rFonts w:asciiTheme="minorHAnsi" w:hAnsiTheme="minorHAnsi"/>
          <w:sz w:val="22"/>
        </w:rPr>
        <w:t>sienie ruchu na inne trasy, a w </w:t>
      </w:r>
      <w:r w:rsidR="009C1B39" w:rsidRPr="00563EF2">
        <w:rPr>
          <w:rFonts w:asciiTheme="minorHAnsi" w:hAnsiTheme="minorHAnsi"/>
          <w:sz w:val="22"/>
        </w:rPr>
        <w:t xml:space="preserve">szczególności drogę krajową 94, przebiegającą przez Legnicę. </w:t>
      </w:r>
      <w:r w:rsidR="003C67A9">
        <w:rPr>
          <w:rFonts w:asciiTheme="minorHAnsi" w:hAnsiTheme="minorHAnsi"/>
          <w:sz w:val="22"/>
        </w:rPr>
        <w:t>Kluczową</w:t>
      </w:r>
      <w:r w:rsidR="006D4674" w:rsidRPr="00563EF2">
        <w:rPr>
          <w:rFonts w:asciiTheme="minorHAnsi" w:hAnsiTheme="minorHAnsi"/>
          <w:sz w:val="22"/>
        </w:rPr>
        <w:t xml:space="preserve"> inwestycją w najbliższych latach jest zatem budowa obwodnicy południowo-wschodniej, która odciąży ruch w centrum miasta oraz polepszy dostępność komunikacyjną stref aktywizacji inwestycyjnej w południowej części miasta.</w:t>
      </w:r>
    </w:p>
    <w:p w:rsidR="001C6624" w:rsidRPr="00563EF2" w:rsidRDefault="001C6624" w:rsidP="00FD7676">
      <w:pPr>
        <w:spacing w:after="200"/>
        <w:rPr>
          <w:rFonts w:asciiTheme="minorHAnsi" w:hAnsiTheme="minorHAnsi"/>
          <w:sz w:val="22"/>
        </w:rPr>
      </w:pPr>
      <w:r w:rsidRPr="00563EF2">
        <w:rPr>
          <w:rFonts w:asciiTheme="minorHAnsi" w:hAnsiTheme="minorHAnsi"/>
          <w:sz w:val="22"/>
        </w:rPr>
        <w:t>Głównym usługodawcą w zakresie komunikacji miejskiej jest Miejskie Przedsiębiorstwo Komunikacyjne Sp. z o.o. w Legnicy</w:t>
      </w:r>
      <w:r w:rsidR="00761267" w:rsidRPr="00563EF2">
        <w:rPr>
          <w:rFonts w:asciiTheme="minorHAnsi" w:hAnsiTheme="minorHAnsi"/>
          <w:sz w:val="22"/>
        </w:rPr>
        <w:t xml:space="preserve">. MPK świadczy usługi komunikacji miejskiej na terenie miasta Legnicy oraz gmin: Kunice, Prochowice, Miłkowice. </w:t>
      </w:r>
      <w:r w:rsidRPr="00563EF2">
        <w:rPr>
          <w:rFonts w:asciiTheme="minorHAnsi" w:hAnsiTheme="minorHAnsi"/>
          <w:sz w:val="22"/>
        </w:rPr>
        <w:t xml:space="preserve">Spółka obsługuje </w:t>
      </w:r>
      <w:r w:rsidR="00BC5391">
        <w:rPr>
          <w:rFonts w:asciiTheme="minorHAnsi" w:hAnsiTheme="minorHAnsi"/>
          <w:bCs/>
          <w:sz w:val="22"/>
        </w:rPr>
        <w:t>14 linii miejskich dziennych, 2 </w:t>
      </w:r>
      <w:r w:rsidRPr="00563EF2">
        <w:rPr>
          <w:rFonts w:asciiTheme="minorHAnsi" w:hAnsiTheme="minorHAnsi"/>
          <w:bCs/>
          <w:sz w:val="22"/>
        </w:rPr>
        <w:t>podmiejskie i 2 linie nocne.</w:t>
      </w:r>
      <w:r w:rsidR="00761267" w:rsidRPr="00563EF2">
        <w:rPr>
          <w:rFonts w:asciiTheme="minorHAnsi" w:hAnsiTheme="minorHAnsi"/>
          <w:sz w:val="22"/>
        </w:rPr>
        <w:t xml:space="preserve"> Rocznie MPK Sp. z o.o. w</w:t>
      </w:r>
      <w:r w:rsidRPr="00563EF2">
        <w:rPr>
          <w:rFonts w:asciiTheme="minorHAnsi" w:hAnsiTheme="minorHAnsi"/>
          <w:sz w:val="22"/>
        </w:rPr>
        <w:t xml:space="preserve">ykonuje około </w:t>
      </w:r>
      <w:r w:rsidRPr="00563EF2">
        <w:rPr>
          <w:rFonts w:asciiTheme="minorHAnsi" w:hAnsiTheme="minorHAnsi"/>
          <w:bCs/>
          <w:sz w:val="22"/>
        </w:rPr>
        <w:t xml:space="preserve">3,3 mln </w:t>
      </w:r>
      <w:r w:rsidR="00BC5391">
        <w:rPr>
          <w:rFonts w:asciiTheme="minorHAnsi" w:hAnsiTheme="minorHAnsi"/>
          <w:bCs/>
          <w:sz w:val="22"/>
        </w:rPr>
        <w:t>wozokilometrów, a </w:t>
      </w:r>
      <w:r w:rsidR="00761267" w:rsidRPr="00563EF2">
        <w:rPr>
          <w:rFonts w:asciiTheme="minorHAnsi" w:hAnsiTheme="minorHAnsi"/>
          <w:bCs/>
          <w:sz w:val="22"/>
        </w:rPr>
        <w:t>przewóz</w:t>
      </w:r>
      <w:r w:rsidRPr="00563EF2">
        <w:rPr>
          <w:rFonts w:asciiTheme="minorHAnsi" w:hAnsiTheme="minorHAnsi"/>
          <w:sz w:val="22"/>
        </w:rPr>
        <w:t xml:space="preserve"> pasażerów wynosi ok </w:t>
      </w:r>
      <w:r w:rsidRPr="00563EF2">
        <w:rPr>
          <w:rFonts w:asciiTheme="minorHAnsi" w:hAnsiTheme="minorHAnsi"/>
          <w:bCs/>
          <w:sz w:val="22"/>
        </w:rPr>
        <w:t>14 mln.</w:t>
      </w:r>
      <w:r w:rsidR="00761267" w:rsidRPr="00563EF2">
        <w:rPr>
          <w:rFonts w:asciiTheme="minorHAnsi" w:hAnsiTheme="minorHAnsi"/>
          <w:sz w:val="22"/>
        </w:rPr>
        <w:t xml:space="preserve"> </w:t>
      </w:r>
      <w:r w:rsidRPr="00563EF2">
        <w:rPr>
          <w:rFonts w:asciiTheme="minorHAnsi" w:hAnsiTheme="minorHAnsi"/>
          <w:sz w:val="22"/>
        </w:rPr>
        <w:t xml:space="preserve">Spółka sukcesywnie wymienia autobusy, aktualnie posiada 68 pojazdów. </w:t>
      </w:r>
    </w:p>
    <w:p w:rsidR="006D4674" w:rsidRPr="00563EF2" w:rsidRDefault="00761267" w:rsidP="00FD7676">
      <w:pPr>
        <w:spacing w:after="200"/>
        <w:rPr>
          <w:rFonts w:asciiTheme="minorHAnsi" w:hAnsiTheme="minorHAnsi"/>
          <w:sz w:val="22"/>
        </w:rPr>
      </w:pPr>
      <w:r w:rsidRPr="00563EF2">
        <w:rPr>
          <w:rFonts w:asciiTheme="minorHAnsi" w:hAnsiTheme="minorHAnsi"/>
          <w:sz w:val="22"/>
        </w:rPr>
        <w:t xml:space="preserve">W ostatnich latach </w:t>
      </w:r>
      <w:r w:rsidR="001C6624" w:rsidRPr="00563EF2">
        <w:rPr>
          <w:rFonts w:asciiTheme="minorHAnsi" w:hAnsiTheme="minorHAnsi"/>
          <w:sz w:val="22"/>
        </w:rPr>
        <w:t>Mias</w:t>
      </w:r>
      <w:r w:rsidRPr="00563EF2">
        <w:rPr>
          <w:rFonts w:asciiTheme="minorHAnsi" w:hAnsiTheme="minorHAnsi"/>
          <w:sz w:val="22"/>
        </w:rPr>
        <w:t>to Legnica zrealizowało projekt „</w:t>
      </w:r>
      <w:r w:rsidR="001C6624" w:rsidRPr="00563EF2">
        <w:rPr>
          <w:rFonts w:asciiTheme="minorHAnsi" w:hAnsiTheme="minorHAnsi"/>
          <w:sz w:val="22"/>
        </w:rPr>
        <w:t>Rozbudowa systemu transportu publicznego w Legnicy wra</w:t>
      </w:r>
      <w:r w:rsidRPr="00563EF2">
        <w:rPr>
          <w:rFonts w:asciiTheme="minorHAnsi" w:hAnsiTheme="minorHAnsi"/>
          <w:sz w:val="22"/>
        </w:rPr>
        <w:t>z z zakupem taboru autobusowego”</w:t>
      </w:r>
      <w:r w:rsidRPr="00563EF2">
        <w:rPr>
          <w:rFonts w:asciiTheme="minorHAnsi" w:hAnsiTheme="minorHAnsi"/>
          <w:bCs/>
          <w:sz w:val="22"/>
        </w:rPr>
        <w:t xml:space="preserve">. </w:t>
      </w:r>
      <w:r w:rsidR="001C6624" w:rsidRPr="00563EF2">
        <w:rPr>
          <w:rFonts w:asciiTheme="minorHAnsi" w:hAnsiTheme="minorHAnsi"/>
          <w:sz w:val="22"/>
        </w:rPr>
        <w:t xml:space="preserve">Wartość projektu wynosiła </w:t>
      </w:r>
      <w:r w:rsidR="001C6624" w:rsidRPr="00563EF2">
        <w:rPr>
          <w:rFonts w:asciiTheme="minorHAnsi" w:hAnsiTheme="minorHAnsi"/>
          <w:bCs/>
          <w:sz w:val="22"/>
        </w:rPr>
        <w:t>4 443 751,03 zł</w:t>
      </w:r>
      <w:r w:rsidR="00FD35CD">
        <w:rPr>
          <w:rFonts w:asciiTheme="minorHAnsi" w:hAnsiTheme="minorHAnsi"/>
          <w:bCs/>
          <w:sz w:val="22"/>
        </w:rPr>
        <w:t>,</w:t>
      </w:r>
      <w:r w:rsidR="001C6624" w:rsidRPr="00563EF2">
        <w:rPr>
          <w:rFonts w:asciiTheme="minorHAnsi" w:hAnsiTheme="minorHAnsi"/>
          <w:b/>
          <w:bCs/>
          <w:sz w:val="22"/>
        </w:rPr>
        <w:t xml:space="preserve"> </w:t>
      </w:r>
      <w:r w:rsidR="001C6624" w:rsidRPr="00563EF2">
        <w:rPr>
          <w:rFonts w:asciiTheme="minorHAnsi" w:hAnsiTheme="minorHAnsi"/>
          <w:sz w:val="22"/>
        </w:rPr>
        <w:t>z czego wartość dofi</w:t>
      </w:r>
      <w:r w:rsidRPr="00563EF2">
        <w:rPr>
          <w:rFonts w:asciiTheme="minorHAnsi" w:hAnsiTheme="minorHAnsi"/>
          <w:sz w:val="22"/>
        </w:rPr>
        <w:t>nansowania EFRR 3 271 628,74 z</w:t>
      </w:r>
      <w:r w:rsidR="00E0011D">
        <w:rPr>
          <w:rFonts w:asciiTheme="minorHAnsi" w:hAnsiTheme="minorHAnsi"/>
          <w:sz w:val="22"/>
        </w:rPr>
        <w:t>ł, w ramach projektu zakupiono 4 nowoczesne autobusy miejskie i zmodernizowano ul. Myrka. W ramach projektu „Zakup nowych przyjaznych dla środowiska autobusów na potrzeby komunikacji miejskiej w Legnicy” nabyto 6 kolejnych autobusów (koszt to 5 626 020 zł),</w:t>
      </w:r>
      <w:r w:rsidRPr="00563EF2">
        <w:rPr>
          <w:rFonts w:asciiTheme="minorHAnsi" w:hAnsiTheme="minorHAnsi"/>
          <w:sz w:val="22"/>
        </w:rPr>
        <w:t xml:space="preserve"> które będą obsługiwały dwie nowe linie. </w:t>
      </w:r>
      <w:r w:rsidR="001C6624" w:rsidRPr="00563EF2">
        <w:rPr>
          <w:rFonts w:asciiTheme="minorHAnsi" w:hAnsiTheme="minorHAnsi"/>
          <w:sz w:val="22"/>
        </w:rPr>
        <w:t>W trakcie wdrażania jest</w:t>
      </w:r>
      <w:r w:rsidR="00E0011D">
        <w:rPr>
          <w:rFonts w:asciiTheme="minorHAnsi" w:hAnsiTheme="minorHAnsi"/>
          <w:sz w:val="22"/>
        </w:rPr>
        <w:t xml:space="preserve"> także</w:t>
      </w:r>
      <w:r w:rsidR="001C6624" w:rsidRPr="00563EF2">
        <w:rPr>
          <w:rFonts w:asciiTheme="minorHAnsi" w:hAnsiTheme="minorHAnsi"/>
          <w:sz w:val="22"/>
        </w:rPr>
        <w:t xml:space="preserve"> projekt miejski: Budowy i modernizacji systemu zarządzania ruchem i transportem publicznym w mieście Legnica – szacowany koszt projektu wynosi </w:t>
      </w:r>
      <w:r w:rsidR="001C6624" w:rsidRPr="00563EF2">
        <w:rPr>
          <w:rFonts w:asciiTheme="minorHAnsi" w:hAnsiTheme="minorHAnsi"/>
          <w:bCs/>
          <w:sz w:val="22"/>
        </w:rPr>
        <w:t>21 281 523,26 zł,</w:t>
      </w:r>
      <w:r w:rsidR="001C6624" w:rsidRPr="00563EF2">
        <w:rPr>
          <w:rFonts w:asciiTheme="minorHAnsi" w:hAnsiTheme="minorHAnsi"/>
          <w:b/>
          <w:bCs/>
          <w:sz w:val="22"/>
        </w:rPr>
        <w:t xml:space="preserve"> </w:t>
      </w:r>
      <w:r w:rsidR="001C6624" w:rsidRPr="00563EF2">
        <w:rPr>
          <w:rFonts w:asciiTheme="minorHAnsi" w:hAnsiTheme="minorHAnsi"/>
          <w:sz w:val="22"/>
        </w:rPr>
        <w:t xml:space="preserve">a wysokość dofinansowania </w:t>
      </w:r>
      <w:r w:rsidR="00975285" w:rsidRPr="00563EF2">
        <w:rPr>
          <w:rFonts w:asciiTheme="minorHAnsi" w:hAnsiTheme="minorHAnsi"/>
          <w:bCs/>
          <w:sz w:val="22"/>
        </w:rPr>
        <w:t>18 045 494,27 zł. Projekt ten ma znacząco przyczynić się do zwiększenia płynności i przepustowości ulic na terenie Miasta.</w:t>
      </w:r>
    </w:p>
    <w:p w:rsidR="00450A71" w:rsidRPr="00563EF2" w:rsidRDefault="00747501" w:rsidP="00EC5484">
      <w:pPr>
        <w:pStyle w:val="Nagwek3"/>
        <w:rPr>
          <w:b w:val="0"/>
        </w:rPr>
      </w:pPr>
      <w:bookmarkStart w:id="42" w:name="_Toc399756329"/>
      <w:r w:rsidRPr="00563EF2">
        <w:rPr>
          <w:b w:val="0"/>
        </w:rPr>
        <w:t>Transport kolejowy</w:t>
      </w:r>
      <w:bookmarkEnd w:id="42"/>
    </w:p>
    <w:p w:rsidR="006D4674" w:rsidRPr="00563EF2" w:rsidRDefault="006D4674" w:rsidP="00FD7676">
      <w:pPr>
        <w:rPr>
          <w:rFonts w:asciiTheme="minorHAnsi" w:hAnsiTheme="minorHAnsi"/>
          <w:b/>
          <w:sz w:val="22"/>
        </w:rPr>
      </w:pPr>
    </w:p>
    <w:p w:rsidR="00577B39" w:rsidRPr="00563EF2" w:rsidRDefault="00577B39" w:rsidP="00FD7676">
      <w:pPr>
        <w:rPr>
          <w:rFonts w:asciiTheme="minorHAnsi" w:hAnsiTheme="minorHAnsi"/>
          <w:sz w:val="22"/>
        </w:rPr>
      </w:pPr>
      <w:r w:rsidRPr="00563EF2">
        <w:rPr>
          <w:rFonts w:asciiTheme="minorHAnsi" w:hAnsiTheme="minorHAnsi"/>
          <w:sz w:val="22"/>
        </w:rPr>
        <w:t xml:space="preserve">Legnica stanowi ważny węzeł kolejowy. </w:t>
      </w:r>
      <w:r w:rsidR="00747501" w:rsidRPr="00563EF2">
        <w:rPr>
          <w:rFonts w:asciiTheme="minorHAnsi" w:hAnsiTheme="minorHAnsi"/>
          <w:sz w:val="22"/>
        </w:rPr>
        <w:t xml:space="preserve">Przez Legnicę przebiega kluczowy szlak komunikacji kolejowej E-30 łączący Europę Zachodnią z Ukrainą i wschodem kontynentu. </w:t>
      </w:r>
      <w:r w:rsidR="00BC5391">
        <w:rPr>
          <w:rFonts w:asciiTheme="minorHAnsi" w:hAnsiTheme="minorHAnsi"/>
          <w:sz w:val="22"/>
        </w:rPr>
        <w:t>Trasa ta obsługuje połączenia z </w:t>
      </w:r>
      <w:r w:rsidR="00747501" w:rsidRPr="00563EF2">
        <w:rPr>
          <w:rFonts w:asciiTheme="minorHAnsi" w:hAnsiTheme="minorHAnsi"/>
          <w:sz w:val="22"/>
        </w:rPr>
        <w:t xml:space="preserve">Wrocławiem i innymi ważnymi ośrodkami miejskimi Polski, jak i </w:t>
      </w:r>
      <w:r w:rsidR="00C364C1" w:rsidRPr="00563EF2">
        <w:rPr>
          <w:rFonts w:asciiTheme="minorHAnsi" w:hAnsiTheme="minorHAnsi"/>
          <w:sz w:val="22"/>
        </w:rPr>
        <w:t>linie kolejowe do miast wschodnich Niemiec: Drezna, Lipska, czy Berlina.</w:t>
      </w:r>
    </w:p>
    <w:p w:rsidR="006D4674" w:rsidRPr="00563EF2" w:rsidRDefault="006D4674" w:rsidP="00FD7676">
      <w:pPr>
        <w:rPr>
          <w:rFonts w:asciiTheme="minorHAnsi" w:hAnsiTheme="minorHAnsi"/>
          <w:sz w:val="22"/>
        </w:rPr>
      </w:pPr>
    </w:p>
    <w:p w:rsidR="00577B39" w:rsidRPr="00563EF2" w:rsidRDefault="00577B39" w:rsidP="00FD7676">
      <w:pPr>
        <w:pStyle w:val="Default"/>
        <w:spacing w:line="276" w:lineRule="auto"/>
        <w:jc w:val="both"/>
        <w:rPr>
          <w:rFonts w:asciiTheme="minorHAnsi" w:hAnsiTheme="minorHAnsi" w:cs="Calibri"/>
          <w:sz w:val="22"/>
          <w:szCs w:val="22"/>
        </w:rPr>
      </w:pPr>
      <w:r w:rsidRPr="00563EF2">
        <w:rPr>
          <w:rFonts w:asciiTheme="minorHAnsi" w:hAnsiTheme="minorHAnsi"/>
          <w:sz w:val="22"/>
          <w:szCs w:val="22"/>
        </w:rPr>
        <w:t>Wśród zadań dotyczących rozwoju powiązań kolejowych</w:t>
      </w:r>
      <w:r w:rsidR="00F65AD1" w:rsidRPr="00563EF2">
        <w:rPr>
          <w:rFonts w:asciiTheme="minorHAnsi" w:hAnsiTheme="minorHAnsi"/>
          <w:sz w:val="22"/>
          <w:szCs w:val="22"/>
        </w:rPr>
        <w:t xml:space="preserve"> w </w:t>
      </w:r>
      <w:r w:rsidR="00F65AD1" w:rsidRPr="00563EF2">
        <w:rPr>
          <w:rFonts w:asciiTheme="minorHAnsi" w:hAnsiTheme="minorHAnsi"/>
          <w:i/>
          <w:sz w:val="22"/>
          <w:szCs w:val="22"/>
        </w:rPr>
        <w:t>Master Planie dla Transportu Kolejowego w Polsce do 2030 roku</w:t>
      </w:r>
      <w:r w:rsidR="00F65AD1" w:rsidRPr="00563EF2">
        <w:rPr>
          <w:rFonts w:asciiTheme="minorHAnsi" w:hAnsiTheme="minorHAnsi"/>
          <w:sz w:val="22"/>
          <w:szCs w:val="22"/>
        </w:rPr>
        <w:t xml:space="preserve"> oraz w</w:t>
      </w:r>
      <w:r w:rsidRPr="00563EF2">
        <w:rPr>
          <w:rFonts w:asciiTheme="minorHAnsi" w:hAnsiTheme="minorHAnsi"/>
          <w:sz w:val="22"/>
          <w:szCs w:val="22"/>
        </w:rPr>
        <w:t xml:space="preserve"> </w:t>
      </w:r>
      <w:r w:rsidRPr="00563EF2">
        <w:rPr>
          <w:rFonts w:asciiTheme="minorHAnsi" w:hAnsiTheme="minorHAnsi"/>
          <w:i/>
          <w:sz w:val="22"/>
          <w:szCs w:val="22"/>
        </w:rPr>
        <w:t>Plan</w:t>
      </w:r>
      <w:r w:rsidR="00F65AD1" w:rsidRPr="00563EF2">
        <w:rPr>
          <w:rFonts w:asciiTheme="minorHAnsi" w:hAnsiTheme="minorHAnsi"/>
          <w:i/>
          <w:sz w:val="22"/>
          <w:szCs w:val="22"/>
        </w:rPr>
        <w:t>ie</w:t>
      </w:r>
      <w:r w:rsidRPr="00563EF2">
        <w:rPr>
          <w:rFonts w:asciiTheme="minorHAnsi" w:hAnsiTheme="minorHAnsi"/>
          <w:i/>
          <w:sz w:val="22"/>
          <w:szCs w:val="22"/>
        </w:rPr>
        <w:t xml:space="preserve"> Zagospodarowania Przestrzennego Województwa Dolnośląskiego </w:t>
      </w:r>
      <w:r w:rsidRPr="00563EF2">
        <w:rPr>
          <w:rFonts w:asciiTheme="minorHAnsi" w:hAnsiTheme="minorHAnsi"/>
          <w:sz w:val="22"/>
          <w:szCs w:val="22"/>
        </w:rPr>
        <w:t xml:space="preserve">wpisano także modernizację magistrali kolejowej E-30. </w:t>
      </w:r>
      <w:r w:rsidR="00F65AD1" w:rsidRPr="00563EF2">
        <w:rPr>
          <w:rFonts w:asciiTheme="minorHAnsi" w:hAnsiTheme="minorHAnsi"/>
          <w:sz w:val="22"/>
          <w:szCs w:val="22"/>
        </w:rPr>
        <w:t>„</w:t>
      </w:r>
      <w:r w:rsidR="00F65AD1" w:rsidRPr="00563EF2">
        <w:rPr>
          <w:rFonts w:asciiTheme="minorHAnsi" w:hAnsiTheme="minorHAnsi" w:cs="Calibri"/>
          <w:sz w:val="22"/>
          <w:szCs w:val="22"/>
        </w:rPr>
        <w:t>Modernizacja linii kolejowej E 30, etap II Wdrożenie ERTMS/ETCS i ERTMS/GSM-R w Polsce na odcinku Legnica – Wrocław – Opole” została wpisana na listę projektów indywidualnych</w:t>
      </w:r>
      <w:r w:rsidR="00FD35CD">
        <w:rPr>
          <w:rFonts w:asciiTheme="minorHAnsi" w:hAnsiTheme="minorHAnsi" w:cs="Calibri"/>
          <w:sz w:val="22"/>
          <w:szCs w:val="22"/>
        </w:rPr>
        <w:t>,</w:t>
      </w:r>
      <w:r w:rsidR="00F65AD1" w:rsidRPr="00563EF2">
        <w:rPr>
          <w:rFonts w:asciiTheme="minorHAnsi" w:hAnsiTheme="minorHAnsi" w:cs="Calibri"/>
          <w:sz w:val="22"/>
          <w:szCs w:val="22"/>
        </w:rPr>
        <w:t xml:space="preserve"> realizowanych w ramach PO Infrastruktura i Środowisko na lata 2007-2013</w:t>
      </w:r>
      <w:r w:rsidR="00F65AD1" w:rsidRPr="00563EF2">
        <w:rPr>
          <w:rStyle w:val="Odwoanieprzypisudolnego"/>
          <w:rFonts w:asciiTheme="minorHAnsi" w:hAnsiTheme="minorHAnsi" w:cs="Calibri"/>
          <w:sz w:val="22"/>
          <w:szCs w:val="22"/>
        </w:rPr>
        <w:footnoteReference w:id="25"/>
      </w:r>
      <w:r w:rsidR="00F65AD1" w:rsidRPr="00563EF2">
        <w:rPr>
          <w:rFonts w:asciiTheme="minorHAnsi" w:hAnsiTheme="minorHAnsi" w:cs="Calibri"/>
          <w:sz w:val="22"/>
          <w:szCs w:val="22"/>
        </w:rPr>
        <w:t xml:space="preserve">. </w:t>
      </w:r>
    </w:p>
    <w:p w:rsidR="00747501" w:rsidRPr="00563EF2" w:rsidRDefault="00577B39" w:rsidP="00FD7676">
      <w:pPr>
        <w:rPr>
          <w:rFonts w:asciiTheme="minorHAnsi" w:hAnsiTheme="minorHAnsi"/>
          <w:b/>
          <w:sz w:val="22"/>
        </w:rPr>
      </w:pPr>
      <w:r w:rsidRPr="00563EF2">
        <w:rPr>
          <w:rFonts w:asciiTheme="minorHAnsi" w:hAnsiTheme="minorHAnsi"/>
          <w:sz w:val="22"/>
        </w:rPr>
        <w:t>Ponadto sieć linii kolejowych</w:t>
      </w:r>
      <w:r w:rsidR="00F65AD1" w:rsidRPr="00563EF2">
        <w:rPr>
          <w:rFonts w:asciiTheme="minorHAnsi" w:hAnsiTheme="minorHAnsi"/>
          <w:sz w:val="22"/>
        </w:rPr>
        <w:t xml:space="preserve"> na terenie Legnicy</w:t>
      </w:r>
      <w:r w:rsidRPr="00563EF2">
        <w:rPr>
          <w:rFonts w:asciiTheme="minorHAnsi" w:hAnsiTheme="minorHAnsi"/>
          <w:sz w:val="22"/>
        </w:rPr>
        <w:t xml:space="preserve"> tworzą: linia Nr 275 Miłkowice - Żagań – granice państwa; linia Nr 289 Legnica – Rudna Gwizdanów; linia tranzytowa Piekary – Miłkowice; linia Nr 137 Legnica – Jaworzyna Śląska</w:t>
      </w:r>
      <w:r w:rsidR="00F65AD1" w:rsidRPr="00563EF2">
        <w:rPr>
          <w:rFonts w:asciiTheme="minorHAnsi" w:hAnsiTheme="minorHAnsi"/>
          <w:sz w:val="22"/>
        </w:rPr>
        <w:t xml:space="preserve"> (również wskazana do modernizacji w PZPWD)</w:t>
      </w:r>
      <w:r w:rsidRPr="00563EF2">
        <w:rPr>
          <w:rFonts w:asciiTheme="minorHAnsi" w:hAnsiTheme="minorHAnsi"/>
          <w:sz w:val="22"/>
        </w:rPr>
        <w:t>; linia Nr 284 Legnica – Jerzmanice Zdrój.</w:t>
      </w:r>
    </w:p>
    <w:p w:rsidR="006560A4" w:rsidRPr="00EA4219" w:rsidRDefault="006560A4"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Mapa </w:t>
      </w:r>
      <w:r w:rsidR="00017794" w:rsidRPr="00EA4219">
        <w:rPr>
          <w:rFonts w:asciiTheme="minorHAnsi" w:hAnsiTheme="minorHAnsi"/>
          <w:sz w:val="20"/>
          <w:szCs w:val="22"/>
        </w:rPr>
        <w:fldChar w:fldCharType="begin"/>
      </w:r>
      <w:r w:rsidR="00307DD7" w:rsidRPr="00EA4219">
        <w:rPr>
          <w:rFonts w:asciiTheme="minorHAnsi" w:hAnsiTheme="minorHAnsi"/>
          <w:sz w:val="20"/>
          <w:szCs w:val="22"/>
        </w:rPr>
        <w:instrText xml:space="preserve"> SEQ Mapa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5</w:t>
      </w:r>
      <w:r w:rsidR="00017794" w:rsidRPr="00EA4219">
        <w:rPr>
          <w:rFonts w:asciiTheme="minorHAnsi" w:hAnsiTheme="minorHAnsi"/>
          <w:sz w:val="20"/>
          <w:szCs w:val="22"/>
        </w:rPr>
        <w:fldChar w:fldCharType="end"/>
      </w:r>
      <w:r w:rsidRPr="00EA4219">
        <w:rPr>
          <w:rFonts w:asciiTheme="minorHAnsi" w:hAnsiTheme="minorHAnsi"/>
          <w:sz w:val="20"/>
          <w:szCs w:val="22"/>
        </w:rPr>
        <w:t>. Średni czas połączeń kolejowych miast Dolnego Śląska  z Legnicą</w:t>
      </w:r>
      <w:r w:rsidRPr="00EA4219">
        <w:rPr>
          <w:rFonts w:asciiTheme="minorHAnsi" w:hAnsiTheme="minorHAnsi"/>
          <w:noProof/>
          <w:sz w:val="20"/>
          <w:szCs w:val="22"/>
        </w:rPr>
        <w:t>.</w:t>
      </w:r>
    </w:p>
    <w:p w:rsidR="006560A4" w:rsidRPr="00563EF2" w:rsidRDefault="006560A4" w:rsidP="00FD7676">
      <w:pPr>
        <w:rPr>
          <w:rFonts w:asciiTheme="minorHAnsi" w:hAnsiTheme="minorHAnsi"/>
          <w:sz w:val="22"/>
        </w:rPr>
      </w:pPr>
      <w:r w:rsidRPr="00563EF2">
        <w:rPr>
          <w:rFonts w:asciiTheme="minorHAnsi" w:hAnsiTheme="minorHAnsi"/>
          <w:noProof/>
          <w:sz w:val="22"/>
          <w:lang w:eastAsia="pl-PL"/>
        </w:rPr>
        <w:drawing>
          <wp:inline distT="0" distB="0" distL="0" distR="0" wp14:anchorId="150C7155" wp14:editId="19647C88">
            <wp:extent cx="4741859" cy="4210493"/>
            <wp:effectExtent l="0" t="0" r="190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759379" cy="4226050"/>
                    </a:xfrm>
                    <a:prstGeom prst="rect">
                      <a:avLst/>
                    </a:prstGeom>
                    <a:noFill/>
                    <a:ln w="9525">
                      <a:noFill/>
                      <a:miter lim="800000"/>
                      <a:headEnd/>
                      <a:tailEnd/>
                    </a:ln>
                  </pic:spPr>
                </pic:pic>
              </a:graphicData>
            </a:graphic>
          </wp:inline>
        </w:drawing>
      </w:r>
    </w:p>
    <w:p w:rsidR="00C364C1" w:rsidRDefault="006560A4" w:rsidP="00FD7676">
      <w:pPr>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Raport o miastach województwa dolnośląskiego</w:t>
      </w:r>
      <w:r w:rsidRPr="00700661">
        <w:rPr>
          <w:rFonts w:asciiTheme="minorHAnsi" w:hAnsiTheme="minorHAnsi"/>
          <w:sz w:val="20"/>
        </w:rPr>
        <w:t>, Instytut Rozwoju Terytorialnego, Wrocław, 2012</w:t>
      </w:r>
      <w:r w:rsidR="008B3862">
        <w:rPr>
          <w:rFonts w:asciiTheme="minorHAnsi" w:hAnsiTheme="minorHAnsi"/>
          <w:sz w:val="20"/>
        </w:rPr>
        <w:t>.</w:t>
      </w:r>
      <w:r w:rsidR="00C364C1" w:rsidRPr="00700661">
        <w:rPr>
          <w:rFonts w:asciiTheme="minorHAnsi" w:hAnsiTheme="minorHAnsi"/>
          <w:sz w:val="20"/>
        </w:rPr>
        <w:t xml:space="preserve"> </w:t>
      </w:r>
    </w:p>
    <w:p w:rsidR="0010032B" w:rsidRPr="00700661" w:rsidRDefault="0010032B" w:rsidP="00FD7676">
      <w:pPr>
        <w:rPr>
          <w:rFonts w:asciiTheme="minorHAnsi" w:hAnsiTheme="minorHAnsi"/>
          <w:sz w:val="20"/>
        </w:rPr>
      </w:pPr>
    </w:p>
    <w:p w:rsidR="00FC645A" w:rsidRPr="00563EF2" w:rsidRDefault="00C364C1" w:rsidP="00FD7676">
      <w:pPr>
        <w:rPr>
          <w:rFonts w:asciiTheme="minorHAnsi" w:hAnsiTheme="minorHAnsi"/>
          <w:sz w:val="22"/>
        </w:rPr>
      </w:pPr>
      <w:r w:rsidRPr="00563EF2">
        <w:rPr>
          <w:rFonts w:asciiTheme="minorHAnsi" w:hAnsiTheme="minorHAnsi"/>
          <w:sz w:val="22"/>
        </w:rPr>
        <w:t>O ile połączenie kolejowe ze stolicą województwa jest dogodne dla mieszkańców Legnicy i czas dojazdu nie przekracza 1,5 godziny</w:t>
      </w:r>
      <w:r w:rsidR="00FD35CD">
        <w:rPr>
          <w:rFonts w:asciiTheme="minorHAnsi" w:hAnsiTheme="minorHAnsi"/>
          <w:sz w:val="22"/>
        </w:rPr>
        <w:t>,</w:t>
      </w:r>
      <w:r w:rsidRPr="00563EF2">
        <w:rPr>
          <w:rFonts w:asciiTheme="minorHAnsi" w:hAnsiTheme="minorHAnsi"/>
          <w:sz w:val="22"/>
        </w:rPr>
        <w:t xml:space="preserve"> to połączenia kolejowe z Jelenią Górą, czy Wałbrzychem z powodu braku odpowiednich trakcji kolejowych i połączeń znacząco przekraczają czas dojazdu do tych miast autem. Dziwi brak połączeń kolejowych z innymi miastami LGOP. Rozwój tego obszaru funkcjonalnego powinien być oparty na sprawnej dostępności komunikacyjnej  i zintegrowanej sieci połączeń. </w:t>
      </w:r>
    </w:p>
    <w:p w:rsidR="00DA398C" w:rsidRPr="00563EF2" w:rsidRDefault="00DA398C" w:rsidP="00FD7676">
      <w:pPr>
        <w:rPr>
          <w:rFonts w:asciiTheme="minorHAnsi" w:hAnsiTheme="minorHAnsi"/>
          <w:sz w:val="22"/>
        </w:rPr>
      </w:pPr>
    </w:p>
    <w:p w:rsidR="00C364C1" w:rsidRPr="00563EF2" w:rsidRDefault="00C364C1" w:rsidP="00FD7676">
      <w:pPr>
        <w:spacing w:after="200"/>
        <w:rPr>
          <w:rFonts w:asciiTheme="minorHAnsi" w:hAnsiTheme="minorHAnsi"/>
          <w:sz w:val="22"/>
        </w:rPr>
      </w:pPr>
      <w:r w:rsidRPr="00563EF2">
        <w:rPr>
          <w:rFonts w:asciiTheme="minorHAnsi" w:hAnsiTheme="minorHAnsi"/>
          <w:sz w:val="22"/>
        </w:rPr>
        <w:t>Rozbudowana i zmodernizowana sieć drogowa zapewnia Legniczanom łatwy dostęp zarówno do największych miast i centrów gospodarczych regionu</w:t>
      </w:r>
      <w:r w:rsidR="00FD35CD">
        <w:rPr>
          <w:rFonts w:asciiTheme="minorHAnsi" w:hAnsiTheme="minorHAnsi"/>
          <w:sz w:val="22"/>
        </w:rPr>
        <w:t>,</w:t>
      </w:r>
      <w:r w:rsidRPr="00563EF2">
        <w:rPr>
          <w:rFonts w:asciiTheme="minorHAnsi" w:hAnsiTheme="minorHAnsi"/>
          <w:sz w:val="22"/>
        </w:rPr>
        <w:t xml:space="preserve"> jak i górskich terenów rekreacyjnych. Tylko cztery miasta leżące na zachód od Legnicy, przy magistrali kolejowej E-30 posiadają korzystniejsze połączenia koleją</w:t>
      </w:r>
      <w:r w:rsidR="00FD35CD">
        <w:rPr>
          <w:rFonts w:asciiTheme="minorHAnsi" w:hAnsiTheme="minorHAnsi"/>
          <w:sz w:val="22"/>
        </w:rPr>
        <w:t>,</w:t>
      </w:r>
      <w:r w:rsidRPr="00563EF2">
        <w:rPr>
          <w:rFonts w:asciiTheme="minorHAnsi" w:hAnsiTheme="minorHAnsi"/>
          <w:sz w:val="22"/>
        </w:rPr>
        <w:t xml:space="preserve"> aniżeli samochodem. </w:t>
      </w:r>
    </w:p>
    <w:p w:rsidR="00BB2FEC" w:rsidRDefault="00BB2FEC" w:rsidP="00EC5484">
      <w:pPr>
        <w:pStyle w:val="Nagwek3"/>
      </w:pPr>
      <w:bookmarkStart w:id="43" w:name="_Toc399756330"/>
      <w:r>
        <w:t>Wyzwania komunikacyjne</w:t>
      </w:r>
      <w:bookmarkEnd w:id="43"/>
    </w:p>
    <w:p w:rsidR="00BB2FEC" w:rsidRDefault="00BB2FEC" w:rsidP="00FD7676">
      <w:pPr>
        <w:pStyle w:val="Legenda"/>
        <w:keepNext/>
        <w:spacing w:line="276" w:lineRule="auto"/>
        <w:rPr>
          <w:rFonts w:asciiTheme="minorHAnsi" w:hAnsiTheme="minorHAnsi"/>
          <w:sz w:val="22"/>
          <w:szCs w:val="22"/>
        </w:rPr>
      </w:pPr>
    </w:p>
    <w:p w:rsidR="006560A4" w:rsidRPr="00EA4219" w:rsidRDefault="006560A4" w:rsidP="00FD7676">
      <w:pPr>
        <w:pStyle w:val="Legenda"/>
        <w:keepNext/>
        <w:spacing w:line="276" w:lineRule="auto"/>
        <w:rPr>
          <w:rFonts w:asciiTheme="minorHAnsi" w:hAnsiTheme="minorHAnsi"/>
          <w:sz w:val="20"/>
          <w:szCs w:val="22"/>
        </w:rPr>
      </w:pPr>
      <w:r w:rsidRPr="00EA4219">
        <w:rPr>
          <w:rFonts w:asciiTheme="minorHAnsi" w:hAnsiTheme="minorHAnsi"/>
          <w:sz w:val="20"/>
          <w:szCs w:val="22"/>
        </w:rPr>
        <w:t xml:space="preserve">Mapa </w:t>
      </w:r>
      <w:r w:rsidR="00017794" w:rsidRPr="00EA4219">
        <w:rPr>
          <w:rFonts w:asciiTheme="minorHAnsi" w:hAnsiTheme="minorHAnsi"/>
          <w:sz w:val="20"/>
          <w:szCs w:val="22"/>
        </w:rPr>
        <w:fldChar w:fldCharType="begin"/>
      </w:r>
      <w:r w:rsidR="00307DD7" w:rsidRPr="00EA4219">
        <w:rPr>
          <w:rFonts w:asciiTheme="minorHAnsi" w:hAnsiTheme="minorHAnsi"/>
          <w:sz w:val="20"/>
          <w:szCs w:val="22"/>
        </w:rPr>
        <w:instrText xml:space="preserve"> SEQ Mapa \* ARABIC </w:instrText>
      </w:r>
      <w:r w:rsidR="00017794" w:rsidRPr="00EA4219">
        <w:rPr>
          <w:rFonts w:asciiTheme="minorHAnsi" w:hAnsiTheme="minorHAnsi"/>
          <w:sz w:val="20"/>
          <w:szCs w:val="22"/>
        </w:rPr>
        <w:fldChar w:fldCharType="separate"/>
      </w:r>
      <w:r w:rsidR="007B2916">
        <w:rPr>
          <w:rFonts w:asciiTheme="minorHAnsi" w:hAnsiTheme="minorHAnsi"/>
          <w:noProof/>
          <w:sz w:val="20"/>
          <w:szCs w:val="22"/>
        </w:rPr>
        <w:t>6</w:t>
      </w:r>
      <w:r w:rsidR="00017794" w:rsidRPr="00EA4219">
        <w:rPr>
          <w:rFonts w:asciiTheme="minorHAnsi" w:hAnsiTheme="minorHAnsi"/>
          <w:sz w:val="20"/>
          <w:szCs w:val="22"/>
        </w:rPr>
        <w:fldChar w:fldCharType="end"/>
      </w:r>
      <w:r w:rsidRPr="00EA4219">
        <w:rPr>
          <w:rFonts w:asciiTheme="minorHAnsi" w:hAnsiTheme="minorHAnsi"/>
          <w:sz w:val="20"/>
          <w:szCs w:val="22"/>
        </w:rPr>
        <w:t>. Najbardziej dogodny środek transportu z Legnicą.</w:t>
      </w:r>
    </w:p>
    <w:p w:rsidR="006560A4" w:rsidRPr="00563EF2" w:rsidRDefault="006560A4" w:rsidP="00FD7676">
      <w:pPr>
        <w:rPr>
          <w:rFonts w:asciiTheme="minorHAnsi" w:hAnsiTheme="minorHAnsi"/>
          <w:sz w:val="22"/>
        </w:rPr>
      </w:pPr>
      <w:r w:rsidRPr="00563EF2">
        <w:rPr>
          <w:rFonts w:asciiTheme="minorHAnsi" w:hAnsiTheme="minorHAnsi"/>
          <w:noProof/>
          <w:sz w:val="22"/>
          <w:lang w:eastAsia="pl-PL"/>
        </w:rPr>
        <w:drawing>
          <wp:inline distT="0" distB="0" distL="0" distR="0" wp14:anchorId="3F0A3F27" wp14:editId="07259B88">
            <wp:extent cx="5137834" cy="4380613"/>
            <wp:effectExtent l="0" t="0" r="5715" b="127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151248" cy="4392050"/>
                    </a:xfrm>
                    <a:prstGeom prst="rect">
                      <a:avLst/>
                    </a:prstGeom>
                    <a:noFill/>
                    <a:ln w="9525">
                      <a:noFill/>
                      <a:miter lim="800000"/>
                      <a:headEnd/>
                      <a:tailEnd/>
                    </a:ln>
                  </pic:spPr>
                </pic:pic>
              </a:graphicData>
            </a:graphic>
          </wp:inline>
        </w:drawing>
      </w:r>
    </w:p>
    <w:p w:rsidR="006560A4" w:rsidRPr="00700661" w:rsidRDefault="006560A4" w:rsidP="00FD7676">
      <w:pPr>
        <w:spacing w:after="200"/>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Raport o miastach województwa dolnośląskiego</w:t>
      </w:r>
      <w:r w:rsidRPr="00700661">
        <w:rPr>
          <w:rFonts w:asciiTheme="minorHAnsi" w:hAnsiTheme="minorHAnsi"/>
          <w:sz w:val="20"/>
        </w:rPr>
        <w:t>, Instytut Rozwoju Terytorialnego, Wrocław, 2012</w:t>
      </w:r>
      <w:r w:rsidR="008B3862">
        <w:rPr>
          <w:rFonts w:asciiTheme="minorHAnsi" w:hAnsiTheme="minorHAnsi"/>
          <w:sz w:val="20"/>
        </w:rPr>
        <w:t>.</w:t>
      </w:r>
    </w:p>
    <w:p w:rsidR="006560A4" w:rsidRPr="00563EF2" w:rsidRDefault="00C364C1" w:rsidP="00FD7676">
      <w:pPr>
        <w:rPr>
          <w:rFonts w:asciiTheme="minorHAnsi" w:hAnsiTheme="minorHAnsi"/>
          <w:sz w:val="22"/>
        </w:rPr>
      </w:pPr>
      <w:r w:rsidRPr="00563EF2">
        <w:rPr>
          <w:rFonts w:asciiTheme="minorHAnsi" w:hAnsiTheme="minorHAnsi"/>
          <w:sz w:val="22"/>
        </w:rPr>
        <w:t>Dobra do</w:t>
      </w:r>
      <w:r w:rsidR="0008274D" w:rsidRPr="00563EF2">
        <w:rPr>
          <w:rFonts w:asciiTheme="minorHAnsi" w:hAnsiTheme="minorHAnsi"/>
          <w:sz w:val="22"/>
        </w:rPr>
        <w:t>stępność komunikacyjna, pozwala</w:t>
      </w:r>
      <w:r w:rsidR="001D108D" w:rsidRPr="00563EF2">
        <w:rPr>
          <w:rFonts w:asciiTheme="minorHAnsi" w:hAnsiTheme="minorHAnsi"/>
          <w:sz w:val="22"/>
        </w:rPr>
        <w:t xml:space="preserve"> na łatwy transfer wiedzy, zasobów pracy, przepływ surowców i materiałów, co sprzyja lokalizowaniu się firm logistycznych i transportowych na terenie miasta i okolic, a także wpływa na rozwój społeczno-gospodarczy Miasta. </w:t>
      </w:r>
    </w:p>
    <w:p w:rsidR="00137688" w:rsidRPr="00563EF2" w:rsidRDefault="00137688" w:rsidP="00FD7676">
      <w:pPr>
        <w:rPr>
          <w:rFonts w:asciiTheme="minorHAnsi" w:hAnsiTheme="minorHAnsi"/>
          <w:sz w:val="22"/>
        </w:rPr>
      </w:pPr>
    </w:p>
    <w:p w:rsidR="006F1E23" w:rsidRDefault="00137688" w:rsidP="00FD7676">
      <w:pPr>
        <w:rPr>
          <w:rFonts w:asciiTheme="minorHAnsi" w:hAnsiTheme="minorHAnsi"/>
          <w:sz w:val="22"/>
        </w:rPr>
      </w:pPr>
      <w:r w:rsidRPr="00563EF2">
        <w:rPr>
          <w:rFonts w:asciiTheme="minorHAnsi" w:hAnsiTheme="minorHAnsi"/>
          <w:sz w:val="22"/>
        </w:rPr>
        <w:t xml:space="preserve">Kluczowym problemem komunikacyjnym jest słaba jakość połączeń autobusowych i kolejowych na terenie Legnicko Głogowskiego Okręgu Miedziowego, uniemożliwiająca swobodny przepływ pracowników, studentów, uczniów i mieszkańców pomiędzy miejscowościami LGOM. Szansą na zmianę tego stanu jest przystąpienie </w:t>
      </w:r>
      <w:r w:rsidR="006F1E23" w:rsidRPr="00563EF2">
        <w:rPr>
          <w:rFonts w:asciiTheme="minorHAnsi" w:hAnsiTheme="minorHAnsi"/>
          <w:sz w:val="22"/>
        </w:rPr>
        <w:t>Legnic</w:t>
      </w:r>
      <w:r w:rsidRPr="00563EF2">
        <w:rPr>
          <w:rFonts w:asciiTheme="minorHAnsi" w:hAnsiTheme="minorHAnsi"/>
          <w:sz w:val="22"/>
        </w:rPr>
        <w:t>y</w:t>
      </w:r>
      <w:r w:rsidR="006F1E23" w:rsidRPr="00563EF2">
        <w:rPr>
          <w:rFonts w:asciiTheme="minorHAnsi" w:hAnsiTheme="minorHAnsi"/>
          <w:sz w:val="22"/>
        </w:rPr>
        <w:t xml:space="preserve"> wraz z Gminą Miejską Głogów, Gminą Legnickie Pole, Jerzmanowa, Żukowice, Kotla i Głogów oraz Powiatem Bolesławieckim</w:t>
      </w:r>
      <w:r w:rsidRPr="00563EF2">
        <w:rPr>
          <w:rFonts w:asciiTheme="minorHAnsi" w:hAnsiTheme="minorHAnsi"/>
          <w:sz w:val="22"/>
        </w:rPr>
        <w:t xml:space="preserve"> </w:t>
      </w:r>
      <w:r w:rsidR="006F1E23" w:rsidRPr="00563EF2">
        <w:rPr>
          <w:rFonts w:asciiTheme="minorHAnsi" w:hAnsiTheme="minorHAnsi"/>
          <w:sz w:val="22"/>
        </w:rPr>
        <w:t>do porozumienia Legnicko Głogowskiego Obszaru Funkcjonalnego (LGOF), którego liderem jest Województwo Dolnośląskie. Zakładany  obszar LGOF obejmuje 42 gminy z 8 powiatów</w:t>
      </w:r>
      <w:r w:rsidRPr="00563EF2">
        <w:rPr>
          <w:rFonts w:asciiTheme="minorHAnsi" w:hAnsiTheme="minorHAnsi"/>
          <w:sz w:val="22"/>
        </w:rPr>
        <w:t xml:space="preserve"> liczące w sumie 588 tys. mieszkańców</w:t>
      </w:r>
      <w:r w:rsidR="006F1E23" w:rsidRPr="00563EF2">
        <w:rPr>
          <w:rFonts w:asciiTheme="minorHAnsi" w:hAnsiTheme="minorHAnsi"/>
          <w:sz w:val="22"/>
        </w:rPr>
        <w:t>. Łączna powierzchnia gmin to ponad 5 tys. km2, co stanowi 26% powierzchni województwa</w:t>
      </w:r>
      <w:r w:rsidRPr="00563EF2">
        <w:rPr>
          <w:rFonts w:asciiTheme="minorHAnsi" w:hAnsiTheme="minorHAnsi"/>
          <w:sz w:val="22"/>
        </w:rPr>
        <w:t xml:space="preserve">. </w:t>
      </w:r>
      <w:r w:rsidR="006F1E23" w:rsidRPr="00563EF2">
        <w:rPr>
          <w:rFonts w:asciiTheme="minorHAnsi" w:hAnsiTheme="minorHAnsi"/>
          <w:sz w:val="22"/>
        </w:rPr>
        <w:t>Celem porozumienia jest wypracowanie zintegrowanego modelu powiązań transportowych w aglomeracji policentrycznej LGOF, który przełoży się na wzmocnienie integracji oraz spójności przestrzennej i infrastrukturalnej obszaru.</w:t>
      </w:r>
      <w:r w:rsidR="00477DD0" w:rsidRPr="00563EF2">
        <w:rPr>
          <w:rStyle w:val="Odwoanieprzypisudolnego"/>
          <w:rFonts w:asciiTheme="minorHAnsi" w:hAnsiTheme="minorHAnsi"/>
          <w:sz w:val="22"/>
        </w:rPr>
        <w:footnoteReference w:id="26"/>
      </w:r>
    </w:p>
    <w:p w:rsidR="00EA4219" w:rsidRDefault="00EA4219" w:rsidP="00FD7676">
      <w:pPr>
        <w:rPr>
          <w:rFonts w:asciiTheme="minorHAnsi" w:hAnsiTheme="minorHAnsi"/>
          <w:sz w:val="22"/>
        </w:rPr>
      </w:pPr>
      <w:r>
        <w:rPr>
          <w:rFonts w:asciiTheme="minorHAnsi" w:hAnsiTheme="minorHAnsi"/>
          <w:noProof/>
          <w:sz w:val="22"/>
          <w:lang w:eastAsia="pl-PL"/>
        </w:rPr>
        <mc:AlternateContent>
          <mc:Choice Requires="wps">
            <w:drawing>
              <wp:anchor distT="0" distB="0" distL="114300" distR="114300" simplePos="0" relativeHeight="251675648" behindDoc="0" locked="0" layoutInCell="1" allowOverlap="1" wp14:anchorId="48CC5426" wp14:editId="61C501EE">
                <wp:simplePos x="0" y="0"/>
                <wp:positionH relativeFrom="column">
                  <wp:posOffset>-33020</wp:posOffset>
                </wp:positionH>
                <wp:positionV relativeFrom="paragraph">
                  <wp:posOffset>0</wp:posOffset>
                </wp:positionV>
                <wp:extent cx="5857875" cy="2505075"/>
                <wp:effectExtent l="0" t="0" r="28575" b="28575"/>
                <wp:wrapTopAndBottom/>
                <wp:docPr id="81" name="Pole tekstowe 81"/>
                <wp:cNvGraphicFramePr/>
                <a:graphic xmlns:a="http://schemas.openxmlformats.org/drawingml/2006/main">
                  <a:graphicData uri="http://schemas.microsoft.com/office/word/2010/wordprocessingShape">
                    <wps:wsp>
                      <wps:cNvSpPr txBox="1"/>
                      <wps:spPr>
                        <a:xfrm>
                          <a:off x="0" y="0"/>
                          <a:ext cx="5857875" cy="25050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Pr="007F6382" w:rsidRDefault="00A469F2" w:rsidP="00EA4219">
                            <w:pPr>
                              <w:rPr>
                                <w:rFonts w:asciiTheme="minorHAnsi" w:hAnsiTheme="minorHAnsi"/>
                                <w:b/>
                                <w:color w:val="FFFFFF" w:themeColor="background1"/>
                                <w:sz w:val="22"/>
                              </w:rPr>
                            </w:pPr>
                            <w:r w:rsidRPr="007F6382">
                              <w:rPr>
                                <w:rFonts w:asciiTheme="minorHAnsi" w:hAnsiTheme="minorHAnsi"/>
                                <w:b/>
                                <w:color w:val="FFFFFF" w:themeColor="background1"/>
                                <w:sz w:val="22"/>
                              </w:rPr>
                              <w:t>Obszar problemowy – rozwój Środkowoeuropejskiego Korytarza Transportowego CETC-ROUTE 65</w:t>
                            </w:r>
                          </w:p>
                          <w:p w:rsidR="00A469F2" w:rsidRPr="007F6382" w:rsidRDefault="00A469F2" w:rsidP="00EA4219">
                            <w:pPr>
                              <w:rPr>
                                <w:rFonts w:asciiTheme="minorHAnsi" w:hAnsiTheme="minorHAnsi"/>
                                <w:b/>
                                <w:color w:val="FFFFFF" w:themeColor="background1"/>
                                <w:sz w:val="22"/>
                              </w:rPr>
                            </w:pPr>
                          </w:p>
                          <w:p w:rsidR="00A469F2" w:rsidRPr="007F6382" w:rsidRDefault="00A469F2" w:rsidP="00EA4219">
                            <w:pPr>
                              <w:rPr>
                                <w:rFonts w:asciiTheme="minorHAnsi" w:hAnsiTheme="minorHAnsi"/>
                                <w:color w:val="FFFFFF" w:themeColor="background1"/>
                                <w:sz w:val="22"/>
                              </w:rPr>
                            </w:pPr>
                            <w:r w:rsidRPr="007F6382">
                              <w:rPr>
                                <w:rFonts w:asciiTheme="minorHAnsi" w:hAnsiTheme="minorHAnsi" w:cs="Arial"/>
                                <w:color w:val="FFFFFF" w:themeColor="background1"/>
                                <w:sz w:val="22"/>
                              </w:rPr>
                              <w:t xml:space="preserve">Województwo Dolnośląskie jest uczestnikiem oddolnej inicjatywy regionów CETC-ROUTE65, integrującej działania </w:t>
                            </w:r>
                            <w:r w:rsidRPr="007F6382">
                              <w:rPr>
                                <w:rFonts w:asciiTheme="minorHAnsi" w:hAnsiTheme="minorHAnsi"/>
                                <w:color w:val="FFFFFF" w:themeColor="background1"/>
                                <w:sz w:val="22"/>
                              </w:rPr>
                              <w:t>17 partnerów z 5 państw Unii Europejskiej i jednego państwa kandydującego do Unii, mającej</w:t>
                            </w:r>
                            <w:r w:rsidRPr="007F6382">
                              <w:rPr>
                                <w:rFonts w:asciiTheme="minorHAnsi" w:hAnsiTheme="minorHAnsi" w:cs="Arial"/>
                                <w:color w:val="FFFFFF" w:themeColor="background1"/>
                                <w:sz w:val="22"/>
                              </w:rPr>
                              <w:t xml:space="preserve"> na celu stworzenie intermodalnego Środkowoeuropejskiego Korytarza Transportowego, którego zakres przestrzenny ulokowany jest wokół trasy E-65 stanowiącej jego oś nadrzędną oraz tereny do niej przyległe. </w:t>
                            </w:r>
                            <w:r w:rsidRPr="007F6382">
                              <w:rPr>
                                <w:rFonts w:asciiTheme="minorHAnsi" w:hAnsiTheme="minorHAnsi"/>
                                <w:color w:val="FFFFFF" w:themeColor="background1"/>
                                <w:sz w:val="22"/>
                              </w:rPr>
                              <w:t>Korytarz CETC-ROUTE65 zajmuje powierzchnię ok. 230 005 km², a jego trasa przebiega ze Skanii (Południowa Szwecja), poprzez Morze Bałtyckie (projekt autostrady morskiej Świnoujście – Ystad), Europę Środkową, aż na Południe Europy – do Morza Adriatyckiego</w:t>
                            </w:r>
                            <w:r w:rsidRPr="007F6382">
                              <w:rPr>
                                <w:rFonts w:asciiTheme="minorHAnsi" w:hAnsiTheme="minorHAnsi" w:cs="Arial"/>
                                <w:color w:val="FFFFFF" w:themeColor="background1"/>
                                <w:sz w:val="22"/>
                              </w:rPr>
                              <w:t xml:space="preserve">. Celem porozumienia jest </w:t>
                            </w:r>
                            <w:r w:rsidRPr="007F6382">
                              <w:rPr>
                                <w:rFonts w:asciiTheme="minorHAnsi" w:hAnsiTheme="minorHAnsi"/>
                                <w:color w:val="FFFFFF" w:themeColor="background1"/>
                                <w:sz w:val="22"/>
                              </w:rPr>
                              <w:t>wykreowanie systemu multimodalnych powiązań infrastrukturalnych i gospodarczych, służących zrównoważonemu rozwojowi oraz wzmocnieniu konkurencyjności tego obszaru.</w:t>
                            </w:r>
                          </w:p>
                          <w:p w:rsidR="00A469F2" w:rsidRDefault="00A46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81" o:spid="_x0000_s1060" type="#_x0000_t202" style="position:absolute;left:0;text-align:left;margin-left:-2.6pt;margin-top:0;width:461.25pt;height:19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eAsgIAAOoFAAAOAAAAZHJzL2Uyb0RvYy54bWysVFtv0zAUfkfiP1h+Z0nLQku1dCqbhpDG&#10;NrGhPbuOvVqzfYztNim/nmMn7bqBkIZ4SWyf79y+czk57YwmG+GDAlvT0VFJibAcGmUfavr97uLd&#10;lJIQmW2YBitquhWBns7fvjlp3UyMYQW6EZ6gERtmravpKkY3K4rAV8KwcAROWBRK8IZFvPqHovGs&#10;RetGF+Oy/FC04BvngYsQ8PW8F9J5ti+l4PFayiAi0TXF2GL++vxdpm8xP2GzB8/cSvEhDPYPURim&#10;LDrdmzpnkZG1V7+ZMop7CCDjEQdTgJSKi5wDZjMqX2Rzu2JO5FyQnOD2NIX/Z5ZfbW48UU1NpyNK&#10;LDNYoxvQgkTxGCK0guA7ktS6MEPsrUN07D5Bh8XevQd8TLl30pv0x6wIypHu7Z5i0UXC8bGaVpPp&#10;pKKEo2xclVWJF7RfPKk7H+JnAYakQ0091jBTyzaXIfbQHSR5C6BVc6G0zpfUN+JMe7JhWHHGubBx&#10;lNX12nyFpn+fVGWZa49uc6sllRzEM2vakramH95XZbbwTJZC2PtZasYfhzQOUGhd2xSWyJ04hJ+o&#10;7CnLp7jVImG0/SYkViIz95dcegYyOqEkZv4axQH/FNVrlPs8UCN7Bhv3ykZZ8D1Lz0vQPOY+QSpk&#10;j0eaD/JOx9gtu9yCo8mupZbQbLHTPPQDGxy/UEj4JQvxhnmcUGwu3DrxGj9SA1YJhhMlK/A///Se&#10;8Dg4KKWkxYmvafixZl5Qor9YHKmPo+PjtCLy5biajPHiDyXLQ4ldmzPAFsOpwejyMeGj3h2lB3OP&#10;y2mRvKKIWY6+axp3x7PY7yFcblwsFhmES8GxeGlvHU+mE82p0e66e+bdMBARZ+kKdruBzV7MRY9N&#10;mhYW6whS5aFJRPesDgXAhZI7flh+aWMd3jPqaUXPfwEAAP//AwBQSwMEFAAGAAgAAAAhAILtdBHd&#10;AAAABwEAAA8AAABkcnMvZG93bnJldi54bWxMj8FOwzAQRO9I/IO1SNxapykBGrKpAAFC3Boizk68&#10;JIF4HdluG/h6zAmOoxnNvCm2sxnFgZwfLCOslgkI4tbqgTuE+vVxcQ3CB8VajZYJ4Ys8bMvTk0Ll&#10;2h55R4cqdCKWsM8VQh/ClEvp256M8ks7EUfv3TqjQpSuk9qpYyw3o0yT5FIaNXBc6NVE9z21n9Xe&#10;IFRPbd3swvxc25fvO2ezt4+H1CCen823NyACzeEvDL/4ER3KyNTYPWsvRoRFlsYkQjwU3c3qag2i&#10;QVhvLjKQZSH/85c/AAAA//8DAFBLAQItABQABgAIAAAAIQC2gziS/gAAAOEBAAATAAAAAAAAAAAA&#10;AAAAAAAAAABbQ29udGVudF9UeXBlc10ueG1sUEsBAi0AFAAGAAgAAAAhADj9If/WAAAAlAEAAAsA&#10;AAAAAAAAAAAAAAAALwEAAF9yZWxzLy5yZWxzUEsBAi0AFAAGAAgAAAAhAKMNN4CyAgAA6gUAAA4A&#10;AAAAAAAAAAAAAAAALgIAAGRycy9lMm9Eb2MueG1sUEsBAi0AFAAGAAgAAAAhAILtdBHdAAAABwEA&#10;AA8AAAAAAAAAAAAAAAAADAUAAGRycy9kb3ducmV2LnhtbFBLBQYAAAAABAAEAPMAAAAWBgAAAAA=&#10;" fillcolor="#2e74b5 [2404]" strokeweight=".5pt">
                <v:textbox>
                  <w:txbxContent>
                    <w:p w:rsidR="00960314" w:rsidRPr="007F6382" w:rsidRDefault="00960314" w:rsidP="00EA4219">
                      <w:pPr>
                        <w:rPr>
                          <w:rFonts w:asciiTheme="minorHAnsi" w:hAnsiTheme="minorHAnsi"/>
                          <w:b/>
                          <w:color w:val="FFFFFF" w:themeColor="background1"/>
                          <w:sz w:val="22"/>
                        </w:rPr>
                      </w:pPr>
                      <w:r w:rsidRPr="007F6382">
                        <w:rPr>
                          <w:rFonts w:asciiTheme="minorHAnsi" w:hAnsiTheme="minorHAnsi"/>
                          <w:b/>
                          <w:color w:val="FFFFFF" w:themeColor="background1"/>
                          <w:sz w:val="22"/>
                        </w:rPr>
                        <w:t>Obszar problemowy – rozwój Środkowoeuropejskiego Korytarza Transportowego CETC-ROUTE 65</w:t>
                      </w:r>
                    </w:p>
                    <w:p w:rsidR="00960314" w:rsidRPr="007F6382" w:rsidRDefault="00960314" w:rsidP="00EA4219">
                      <w:pPr>
                        <w:rPr>
                          <w:rFonts w:asciiTheme="minorHAnsi" w:hAnsiTheme="minorHAnsi"/>
                          <w:b/>
                          <w:color w:val="FFFFFF" w:themeColor="background1"/>
                          <w:sz w:val="22"/>
                        </w:rPr>
                      </w:pPr>
                    </w:p>
                    <w:p w:rsidR="00960314" w:rsidRPr="007F6382" w:rsidRDefault="00960314" w:rsidP="00EA4219">
                      <w:pPr>
                        <w:rPr>
                          <w:rFonts w:asciiTheme="minorHAnsi" w:hAnsiTheme="minorHAnsi"/>
                          <w:color w:val="FFFFFF" w:themeColor="background1"/>
                          <w:sz w:val="22"/>
                        </w:rPr>
                      </w:pPr>
                      <w:r w:rsidRPr="007F6382">
                        <w:rPr>
                          <w:rFonts w:asciiTheme="minorHAnsi" w:hAnsiTheme="minorHAnsi" w:cs="Arial"/>
                          <w:color w:val="FFFFFF" w:themeColor="background1"/>
                          <w:sz w:val="22"/>
                        </w:rPr>
                        <w:t xml:space="preserve">Województwo Dolnośląskie jest uczestnikiem oddolnej inicjatywy regionów CETC-ROUTE65, integrującej działania </w:t>
                      </w:r>
                      <w:r w:rsidRPr="007F6382">
                        <w:rPr>
                          <w:rFonts w:asciiTheme="minorHAnsi" w:hAnsiTheme="minorHAnsi"/>
                          <w:color w:val="FFFFFF" w:themeColor="background1"/>
                          <w:sz w:val="22"/>
                        </w:rPr>
                        <w:t>17 partnerów z 5 państw Unii Europejskiej i jednego państwa kandydującego do Unii, mającej</w:t>
                      </w:r>
                      <w:r w:rsidRPr="007F6382">
                        <w:rPr>
                          <w:rFonts w:asciiTheme="minorHAnsi" w:hAnsiTheme="minorHAnsi" w:cs="Arial"/>
                          <w:color w:val="FFFFFF" w:themeColor="background1"/>
                          <w:sz w:val="22"/>
                        </w:rPr>
                        <w:t xml:space="preserve"> na celu stworzenie intermodalnego Środkowoeuropejskiego Korytarza Transportowego, którego zakres przestrzenny ulokowany jest wokół trasy E-65 stanowiącej jego oś nadrzędną oraz tereny do niej przyległe. </w:t>
                      </w:r>
                      <w:r w:rsidRPr="007F6382">
                        <w:rPr>
                          <w:rFonts w:asciiTheme="minorHAnsi" w:hAnsiTheme="minorHAnsi"/>
                          <w:color w:val="FFFFFF" w:themeColor="background1"/>
                          <w:sz w:val="22"/>
                        </w:rPr>
                        <w:t>Korytarz CETC-ROUTE65 zajmuje powierzchnię ok. 230 005 km², a jego trasa przebiega ze Skanii (Południowa Szwecja), poprzez Morze Bałtyckie (projekt autostrady morskiej Świnoujście – Ystad), Europę Środkową, aż na Południe Europy – do Morza Adriatyckiego</w:t>
                      </w:r>
                      <w:r w:rsidRPr="007F6382">
                        <w:rPr>
                          <w:rFonts w:asciiTheme="minorHAnsi" w:hAnsiTheme="minorHAnsi" w:cs="Arial"/>
                          <w:color w:val="FFFFFF" w:themeColor="background1"/>
                          <w:sz w:val="22"/>
                        </w:rPr>
                        <w:t xml:space="preserve">. Celem porozumienia jest </w:t>
                      </w:r>
                      <w:r w:rsidRPr="007F6382">
                        <w:rPr>
                          <w:rFonts w:asciiTheme="minorHAnsi" w:hAnsiTheme="minorHAnsi"/>
                          <w:color w:val="FFFFFF" w:themeColor="background1"/>
                          <w:sz w:val="22"/>
                        </w:rPr>
                        <w:t>wykreowanie systemu multimodalnych powiązań infrastrukturalnych i gospodarczych, służących zrównoważonemu rozwojowi oraz wzmocnieniu konkurencyjności tego obszaru.</w:t>
                      </w:r>
                    </w:p>
                    <w:p w:rsidR="00960314" w:rsidRDefault="00960314"/>
                  </w:txbxContent>
                </v:textbox>
                <w10:wrap type="topAndBottom"/>
              </v:shape>
            </w:pict>
          </mc:Fallback>
        </mc:AlternateContent>
      </w:r>
    </w:p>
    <w:tbl>
      <w:tblPr>
        <w:tblStyle w:val="Tabela-Siatka"/>
        <w:tblW w:w="10904" w:type="dxa"/>
        <w:tblInd w:w="-922" w:type="dxa"/>
        <w:tblBorders>
          <w:insideH w:val="none" w:sz="0" w:space="0" w:color="auto"/>
          <w:insideV w:val="none" w:sz="0" w:space="0" w:color="auto"/>
        </w:tblBorders>
        <w:tblLook w:val="04A0" w:firstRow="1" w:lastRow="0" w:firstColumn="1" w:lastColumn="0" w:noHBand="0" w:noVBand="1"/>
      </w:tblPr>
      <w:tblGrid>
        <w:gridCol w:w="5078"/>
        <w:gridCol w:w="5826"/>
      </w:tblGrid>
      <w:tr w:rsidR="00565CCF" w:rsidRPr="00563EF2" w:rsidTr="00565CCF">
        <w:trPr>
          <w:trHeight w:val="7084"/>
        </w:trPr>
        <w:tc>
          <w:tcPr>
            <w:tcW w:w="5078" w:type="dxa"/>
            <w:shd w:val="clear" w:color="auto" w:fill="auto"/>
          </w:tcPr>
          <w:p w:rsidR="00EA4219" w:rsidRPr="00565CCF" w:rsidRDefault="00EA4219" w:rsidP="007F6382">
            <w:pPr>
              <w:pStyle w:val="Legenda"/>
              <w:keepNext/>
              <w:spacing w:line="276" w:lineRule="auto"/>
              <w:rPr>
                <w:rFonts w:asciiTheme="minorHAnsi" w:hAnsiTheme="minorHAnsi"/>
                <w:color w:val="000000" w:themeColor="text1"/>
                <w:sz w:val="22"/>
                <w:szCs w:val="22"/>
              </w:rPr>
            </w:pPr>
            <w:r w:rsidRPr="00565CCF">
              <w:rPr>
                <w:rFonts w:asciiTheme="minorHAnsi" w:hAnsiTheme="minorHAnsi"/>
                <w:color w:val="000000" w:themeColor="text1"/>
                <w:sz w:val="22"/>
                <w:szCs w:val="22"/>
              </w:rPr>
              <w:t xml:space="preserve">Mapa </w:t>
            </w:r>
            <w:r w:rsidRPr="00565CCF">
              <w:rPr>
                <w:rFonts w:asciiTheme="minorHAnsi" w:hAnsiTheme="minorHAnsi"/>
                <w:color w:val="000000" w:themeColor="text1"/>
                <w:sz w:val="22"/>
                <w:szCs w:val="22"/>
              </w:rPr>
              <w:fldChar w:fldCharType="begin"/>
            </w:r>
            <w:r w:rsidRPr="00565CCF">
              <w:rPr>
                <w:rFonts w:asciiTheme="minorHAnsi" w:hAnsiTheme="minorHAnsi"/>
                <w:color w:val="000000" w:themeColor="text1"/>
                <w:sz w:val="22"/>
                <w:szCs w:val="22"/>
              </w:rPr>
              <w:instrText xml:space="preserve"> SEQ Mapa \* ARABIC </w:instrText>
            </w:r>
            <w:r w:rsidRPr="00565CCF">
              <w:rPr>
                <w:rFonts w:asciiTheme="minorHAnsi" w:hAnsiTheme="minorHAnsi"/>
                <w:color w:val="000000" w:themeColor="text1"/>
                <w:sz w:val="22"/>
                <w:szCs w:val="22"/>
              </w:rPr>
              <w:fldChar w:fldCharType="separate"/>
            </w:r>
            <w:r w:rsidR="007B2916">
              <w:rPr>
                <w:rFonts w:asciiTheme="minorHAnsi" w:hAnsiTheme="minorHAnsi"/>
                <w:noProof/>
                <w:color w:val="000000" w:themeColor="text1"/>
                <w:sz w:val="22"/>
                <w:szCs w:val="22"/>
              </w:rPr>
              <w:t>7</w:t>
            </w:r>
            <w:r w:rsidRPr="00565CCF">
              <w:rPr>
                <w:rFonts w:asciiTheme="minorHAnsi" w:hAnsiTheme="minorHAnsi"/>
                <w:color w:val="000000" w:themeColor="text1"/>
                <w:sz w:val="22"/>
                <w:szCs w:val="22"/>
              </w:rPr>
              <w:fldChar w:fldCharType="end"/>
            </w:r>
            <w:r w:rsidRPr="00565CCF">
              <w:rPr>
                <w:rFonts w:asciiTheme="minorHAnsi" w:hAnsiTheme="minorHAnsi"/>
                <w:color w:val="000000" w:themeColor="text1"/>
                <w:sz w:val="22"/>
                <w:szCs w:val="22"/>
              </w:rPr>
              <w:t>. CETC w odniesieniu do innych intermodalnych korytarzy transportowych Adriatyk-Bałtyk</w:t>
            </w:r>
          </w:p>
          <w:p w:rsidR="00EA4219" w:rsidRPr="00565CCF" w:rsidRDefault="00EA4219" w:rsidP="007F6382">
            <w:pPr>
              <w:keepNext/>
              <w:rPr>
                <w:rFonts w:asciiTheme="minorHAnsi" w:hAnsiTheme="minorHAnsi"/>
                <w:color w:val="000000" w:themeColor="text1"/>
              </w:rPr>
            </w:pPr>
            <w:r w:rsidRPr="00565CCF">
              <w:rPr>
                <w:rFonts w:asciiTheme="minorHAnsi" w:hAnsiTheme="minorHAnsi" w:cs="Arial"/>
                <w:noProof/>
                <w:color w:val="000000" w:themeColor="text1"/>
                <w:lang w:eastAsia="pl-PL"/>
              </w:rPr>
              <w:drawing>
                <wp:inline distT="0" distB="0" distL="0" distR="0" wp14:anchorId="5DE7F647" wp14:editId="26DFF46F">
                  <wp:extent cx="3068604" cy="4791075"/>
                  <wp:effectExtent l="19050" t="0" r="0" b="0"/>
                  <wp:docPr id="22" name="Obraz 1" descr="C:\Users\hp\AppData\Local\Te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6.jpg"/>
                          <pic:cNvPicPr>
                            <a:picLocks noChangeAspect="1" noChangeArrowheads="1"/>
                          </pic:cNvPicPr>
                        </pic:nvPicPr>
                        <pic:blipFill>
                          <a:blip r:embed="rId64" cstate="print"/>
                          <a:srcRect/>
                          <a:stretch>
                            <a:fillRect/>
                          </a:stretch>
                        </pic:blipFill>
                        <pic:spPr bwMode="auto">
                          <a:xfrm>
                            <a:off x="0" y="0"/>
                            <a:ext cx="3069536" cy="4792530"/>
                          </a:xfrm>
                          <a:prstGeom prst="rect">
                            <a:avLst/>
                          </a:prstGeom>
                          <a:noFill/>
                          <a:ln w="9525">
                            <a:noFill/>
                            <a:miter lim="800000"/>
                            <a:headEnd/>
                            <a:tailEnd/>
                          </a:ln>
                        </pic:spPr>
                      </pic:pic>
                    </a:graphicData>
                  </a:graphic>
                </wp:inline>
              </w:drawing>
            </w:r>
          </w:p>
          <w:p w:rsidR="00EA4219" w:rsidRPr="00565CCF" w:rsidRDefault="00EA4219" w:rsidP="007F6382">
            <w:pPr>
              <w:pStyle w:val="Legenda"/>
              <w:spacing w:line="276" w:lineRule="auto"/>
              <w:rPr>
                <w:rFonts w:asciiTheme="minorHAnsi" w:hAnsiTheme="minorHAnsi" w:cs="Arial"/>
                <w:color w:val="000000" w:themeColor="text1"/>
                <w:sz w:val="22"/>
                <w:szCs w:val="22"/>
              </w:rPr>
            </w:pPr>
          </w:p>
        </w:tc>
        <w:tc>
          <w:tcPr>
            <w:tcW w:w="5826" w:type="dxa"/>
            <w:shd w:val="clear" w:color="auto" w:fill="auto"/>
          </w:tcPr>
          <w:p w:rsidR="00EA4219" w:rsidRPr="00565CCF" w:rsidRDefault="00EA4219" w:rsidP="007F6382">
            <w:pPr>
              <w:pStyle w:val="Legenda"/>
              <w:keepNext/>
              <w:spacing w:line="276" w:lineRule="auto"/>
              <w:rPr>
                <w:rFonts w:asciiTheme="minorHAnsi" w:hAnsiTheme="minorHAnsi"/>
                <w:color w:val="000000" w:themeColor="text1"/>
                <w:sz w:val="22"/>
                <w:szCs w:val="22"/>
              </w:rPr>
            </w:pPr>
            <w:r w:rsidRPr="00565CCF">
              <w:rPr>
                <w:rFonts w:asciiTheme="minorHAnsi" w:hAnsiTheme="minorHAnsi"/>
                <w:color w:val="000000" w:themeColor="text1"/>
                <w:sz w:val="22"/>
                <w:szCs w:val="22"/>
              </w:rPr>
              <w:t xml:space="preserve">Mapa </w:t>
            </w:r>
            <w:r w:rsidRPr="00565CCF">
              <w:rPr>
                <w:rFonts w:asciiTheme="minorHAnsi" w:hAnsiTheme="minorHAnsi"/>
                <w:color w:val="000000" w:themeColor="text1"/>
                <w:sz w:val="22"/>
                <w:szCs w:val="22"/>
              </w:rPr>
              <w:fldChar w:fldCharType="begin"/>
            </w:r>
            <w:r w:rsidRPr="00565CCF">
              <w:rPr>
                <w:rFonts w:asciiTheme="minorHAnsi" w:hAnsiTheme="minorHAnsi"/>
                <w:color w:val="000000" w:themeColor="text1"/>
                <w:sz w:val="22"/>
                <w:szCs w:val="22"/>
              </w:rPr>
              <w:instrText xml:space="preserve"> SEQ Mapa \* ARABIC </w:instrText>
            </w:r>
            <w:r w:rsidRPr="00565CCF">
              <w:rPr>
                <w:rFonts w:asciiTheme="minorHAnsi" w:hAnsiTheme="minorHAnsi"/>
                <w:color w:val="000000" w:themeColor="text1"/>
                <w:sz w:val="22"/>
                <w:szCs w:val="22"/>
              </w:rPr>
              <w:fldChar w:fldCharType="separate"/>
            </w:r>
            <w:r w:rsidR="007B2916">
              <w:rPr>
                <w:rFonts w:asciiTheme="minorHAnsi" w:hAnsiTheme="minorHAnsi"/>
                <w:noProof/>
                <w:color w:val="000000" w:themeColor="text1"/>
                <w:sz w:val="22"/>
                <w:szCs w:val="22"/>
              </w:rPr>
              <w:t>8</w:t>
            </w:r>
            <w:r w:rsidRPr="00565CCF">
              <w:rPr>
                <w:rFonts w:asciiTheme="minorHAnsi" w:hAnsiTheme="minorHAnsi"/>
                <w:color w:val="000000" w:themeColor="text1"/>
                <w:sz w:val="22"/>
                <w:szCs w:val="22"/>
              </w:rPr>
              <w:fldChar w:fldCharType="end"/>
            </w:r>
            <w:r w:rsidRPr="00565CCF">
              <w:rPr>
                <w:rFonts w:asciiTheme="minorHAnsi" w:hAnsiTheme="minorHAnsi"/>
                <w:color w:val="000000" w:themeColor="text1"/>
                <w:sz w:val="22"/>
                <w:szCs w:val="22"/>
              </w:rPr>
              <w:t>. Zakres przestrzenny Środkowoeuropejskiego Korytarza Transportowego CETC.</w:t>
            </w:r>
          </w:p>
          <w:p w:rsidR="00EA4219" w:rsidRPr="00565CCF" w:rsidRDefault="00EA4219" w:rsidP="007F6382">
            <w:pPr>
              <w:rPr>
                <w:rFonts w:asciiTheme="minorHAnsi" w:hAnsiTheme="minorHAnsi" w:cs="Arial"/>
                <w:color w:val="000000" w:themeColor="text1"/>
              </w:rPr>
            </w:pPr>
            <w:r w:rsidRPr="00565CCF">
              <w:rPr>
                <w:rFonts w:asciiTheme="minorHAnsi" w:hAnsiTheme="minorHAnsi" w:cs="Arial"/>
                <w:noProof/>
                <w:color w:val="000000" w:themeColor="text1"/>
                <w:lang w:eastAsia="pl-PL"/>
              </w:rPr>
              <w:drawing>
                <wp:inline distT="0" distB="0" distL="0" distR="0" wp14:anchorId="78B11CB7" wp14:editId="3DA782E1">
                  <wp:extent cx="3540748" cy="4848225"/>
                  <wp:effectExtent l="19050" t="0" r="2552" b="0"/>
                  <wp:docPr id="23" name="Obraz 2" descr="C:\Users\hp\AppData\Local\Temp\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18-1.jpg"/>
                          <pic:cNvPicPr>
                            <a:picLocks noChangeAspect="1" noChangeArrowheads="1"/>
                          </pic:cNvPicPr>
                        </pic:nvPicPr>
                        <pic:blipFill>
                          <a:blip r:embed="rId65"/>
                          <a:srcRect/>
                          <a:stretch>
                            <a:fillRect/>
                          </a:stretch>
                        </pic:blipFill>
                        <pic:spPr bwMode="auto">
                          <a:xfrm>
                            <a:off x="0" y="0"/>
                            <a:ext cx="3540748" cy="4848225"/>
                          </a:xfrm>
                          <a:prstGeom prst="rect">
                            <a:avLst/>
                          </a:prstGeom>
                          <a:noFill/>
                          <a:ln w="9525">
                            <a:noFill/>
                            <a:miter lim="800000"/>
                            <a:headEnd/>
                            <a:tailEnd/>
                          </a:ln>
                        </pic:spPr>
                      </pic:pic>
                    </a:graphicData>
                  </a:graphic>
                </wp:inline>
              </w:drawing>
            </w:r>
          </w:p>
        </w:tc>
      </w:tr>
      <w:tr w:rsidR="00EA4219" w:rsidRPr="00563EF2" w:rsidTr="00565CCF">
        <w:trPr>
          <w:trHeight w:val="264"/>
        </w:trPr>
        <w:tc>
          <w:tcPr>
            <w:tcW w:w="10904" w:type="dxa"/>
            <w:gridSpan w:val="2"/>
            <w:shd w:val="clear" w:color="auto" w:fill="auto"/>
          </w:tcPr>
          <w:p w:rsidR="00EA4219" w:rsidRPr="00565CCF" w:rsidRDefault="00EA4219" w:rsidP="007F6382">
            <w:pPr>
              <w:rPr>
                <w:rFonts w:asciiTheme="minorHAnsi" w:hAnsiTheme="minorHAnsi" w:cs="Arial"/>
                <w:color w:val="000000" w:themeColor="text1"/>
              </w:rPr>
            </w:pPr>
            <w:r w:rsidRPr="00700661">
              <w:rPr>
                <w:rFonts w:asciiTheme="minorHAnsi" w:hAnsiTheme="minorHAnsi" w:cs="Arial"/>
                <w:color w:val="000000" w:themeColor="text1"/>
                <w:sz w:val="20"/>
              </w:rPr>
              <w:t>Źródło:  http://www.cetc.pl/index.php?lang=pl&amp;mod=mapy&amp;action=show&amp;cat=9</w:t>
            </w:r>
          </w:p>
        </w:tc>
      </w:tr>
    </w:tbl>
    <w:p w:rsidR="00EA4219" w:rsidRPr="00563EF2" w:rsidRDefault="00565CCF" w:rsidP="00FD7676">
      <w:pPr>
        <w:rPr>
          <w:rFonts w:asciiTheme="minorHAnsi" w:hAnsiTheme="minorHAnsi"/>
          <w:sz w:val="22"/>
        </w:rPr>
      </w:pPr>
      <w:r>
        <w:rPr>
          <w:rFonts w:asciiTheme="minorHAnsi" w:hAnsiTheme="minorHAnsi"/>
          <w:noProof/>
          <w:sz w:val="22"/>
          <w:lang w:eastAsia="pl-PL"/>
        </w:rPr>
        <mc:AlternateContent>
          <mc:Choice Requires="wps">
            <w:drawing>
              <wp:anchor distT="0" distB="0" distL="114300" distR="114300" simplePos="0" relativeHeight="251676672" behindDoc="0" locked="0" layoutInCell="1" allowOverlap="1" wp14:anchorId="5E54C8E1" wp14:editId="75AB4317">
                <wp:simplePos x="0" y="0"/>
                <wp:positionH relativeFrom="column">
                  <wp:posOffset>-33020</wp:posOffset>
                </wp:positionH>
                <wp:positionV relativeFrom="paragraph">
                  <wp:posOffset>0</wp:posOffset>
                </wp:positionV>
                <wp:extent cx="6029325" cy="5019675"/>
                <wp:effectExtent l="0" t="0" r="28575" b="28575"/>
                <wp:wrapTopAndBottom/>
                <wp:docPr id="110" name="Pole tekstowe 110"/>
                <wp:cNvGraphicFramePr/>
                <a:graphic xmlns:a="http://schemas.openxmlformats.org/drawingml/2006/main">
                  <a:graphicData uri="http://schemas.microsoft.com/office/word/2010/wordprocessingShape">
                    <wps:wsp>
                      <wps:cNvSpPr txBox="1"/>
                      <wps:spPr>
                        <a:xfrm>
                          <a:off x="0" y="0"/>
                          <a:ext cx="6029325" cy="50196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Pr="007F6382" w:rsidRDefault="00A469F2" w:rsidP="00565CCF">
                            <w:pPr>
                              <w:rPr>
                                <w:rFonts w:asciiTheme="minorHAnsi" w:hAnsiTheme="minorHAnsi" w:cs="Arial"/>
                                <w:color w:val="FFFFFF" w:themeColor="background1"/>
                                <w:sz w:val="22"/>
                              </w:rPr>
                            </w:pPr>
                            <w:r w:rsidRPr="007F6382">
                              <w:rPr>
                                <w:rFonts w:asciiTheme="minorHAnsi" w:hAnsiTheme="minorHAnsi" w:cs="Arial"/>
                                <w:color w:val="FFFFFF" w:themeColor="background1"/>
                                <w:sz w:val="22"/>
                              </w:rPr>
                              <w:t>Legnica leżąca przy międzynarodowym szlaku E-65, pomiędzy Hradec Kralove, a Zieloną Górą staje się istotnym punktem na mapie tego korytarza transportowego. Rozwój porozumienia i samego szlaku transportowego stanowi olbrzymią szansę dla Legnicy, stymulując jej dynamikę wzrostu gospodarczego oraz przyczyniając się do rozwoju społecznego i zacieśniania współpracy międzyregionalnej.</w:t>
                            </w:r>
                          </w:p>
                          <w:p w:rsidR="00A469F2" w:rsidRPr="007F6382" w:rsidRDefault="00A469F2" w:rsidP="00565CCF">
                            <w:pPr>
                              <w:rPr>
                                <w:rFonts w:asciiTheme="minorHAnsi" w:hAnsiTheme="minorHAnsi"/>
                                <w:color w:val="FFFFFF" w:themeColor="background1"/>
                                <w:sz w:val="22"/>
                              </w:rPr>
                            </w:pPr>
                          </w:p>
                          <w:p w:rsidR="00A469F2" w:rsidRDefault="00A469F2"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Kluczową inwestycją dla rozwoju tego konceptu jest rozbudowa drogi ekspresowej S-3 łączącej Świnoujście z granicą czeską w Lubawce. Budowa tej drogi na odcinku granica województwa – Legnica – Lubawka wpisana jest w plan zadań transportu drogowego zamieszczony w </w:t>
                            </w:r>
                            <w:r w:rsidRPr="007F6382">
                              <w:rPr>
                                <w:rFonts w:asciiTheme="minorHAnsi" w:hAnsiTheme="minorHAnsi"/>
                                <w:i/>
                                <w:color w:val="FFFFFF" w:themeColor="background1"/>
                                <w:sz w:val="22"/>
                              </w:rPr>
                              <w:t>Planie Za</w:t>
                            </w:r>
                            <w:r>
                              <w:rPr>
                                <w:rFonts w:asciiTheme="minorHAnsi" w:hAnsiTheme="minorHAnsi"/>
                                <w:i/>
                                <w:color w:val="FFFFFF" w:themeColor="background1"/>
                                <w:sz w:val="22"/>
                              </w:rPr>
                              <w:t>gospodarowania</w:t>
                            </w:r>
                            <w:r w:rsidRPr="007F6382">
                              <w:rPr>
                                <w:rFonts w:asciiTheme="minorHAnsi" w:hAnsiTheme="minorHAnsi"/>
                                <w:i/>
                                <w:color w:val="FFFFFF" w:themeColor="background1"/>
                                <w:sz w:val="22"/>
                              </w:rPr>
                              <w:t xml:space="preserve"> Przestrzennego Województwa Dolnośląskiego. </w:t>
                            </w:r>
                            <w:r w:rsidRPr="007F6382">
                              <w:rPr>
                                <w:rFonts w:asciiTheme="minorHAnsi" w:hAnsiTheme="minorHAnsi"/>
                                <w:color w:val="FFFFFF" w:themeColor="background1"/>
                                <w:sz w:val="22"/>
                              </w:rPr>
                              <w:t xml:space="preserve">Inwestycja ta na odcinku Legnica – Lubawka oraz Nowa Sól -Legnica widnieje również na liście projektów indywidualnych dla Programu Operacyjnego Infrastruktura i Środowisko na lata 2007-2013 oraz w zestawieniu inwestycji zawartych w </w:t>
                            </w:r>
                            <w:r w:rsidRPr="007F6382">
                              <w:rPr>
                                <w:rFonts w:asciiTheme="minorHAnsi" w:hAnsiTheme="minorHAnsi"/>
                                <w:i/>
                                <w:color w:val="FFFFFF" w:themeColor="background1"/>
                                <w:sz w:val="22"/>
                              </w:rPr>
                              <w:t xml:space="preserve">Programie Budowy Dróg Krajowych na lata 2011-2015. </w:t>
                            </w:r>
                            <w:r w:rsidRPr="007F6382">
                              <w:rPr>
                                <w:rFonts w:asciiTheme="minorHAnsi" w:hAnsiTheme="minorHAnsi"/>
                                <w:color w:val="FFFFFF" w:themeColor="background1"/>
                                <w:sz w:val="22"/>
                              </w:rPr>
                              <w:t>W dniu 10 grudnia 2013 r. Rada Ministrów przesunęła środki pi</w:t>
                            </w:r>
                            <w:r>
                              <w:rPr>
                                <w:rFonts w:asciiTheme="minorHAnsi" w:hAnsiTheme="minorHAnsi"/>
                                <w:color w:val="FFFFFF" w:themeColor="background1"/>
                                <w:sz w:val="22"/>
                              </w:rPr>
                              <w:t>erwotnie przeznaczone na budowę południowego odcinka</w:t>
                            </w:r>
                            <w:r w:rsidRPr="007F6382">
                              <w:rPr>
                                <w:rFonts w:asciiTheme="minorHAnsi" w:hAnsiTheme="minorHAnsi"/>
                                <w:color w:val="FFFFFF" w:themeColor="background1"/>
                                <w:sz w:val="22"/>
                              </w:rPr>
                              <w:t xml:space="preserve"> trasy S-3 z Legnicy do Lubawki</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na</w:t>
                            </w:r>
                            <w:r>
                              <w:rPr>
                                <w:rFonts w:asciiTheme="minorHAnsi" w:hAnsiTheme="minorHAnsi"/>
                                <w:color w:val="FFFFFF" w:themeColor="background1"/>
                                <w:sz w:val="22"/>
                              </w:rPr>
                              <w:t xml:space="preserve"> rzecz budowy</w:t>
                            </w:r>
                            <w:r w:rsidRPr="007F6382">
                              <w:rPr>
                                <w:rFonts w:asciiTheme="minorHAnsi" w:hAnsiTheme="minorHAnsi"/>
                                <w:color w:val="FFFFFF" w:themeColor="background1"/>
                                <w:sz w:val="22"/>
                              </w:rPr>
                              <w:t xml:space="preserve"> Południowej Obwodnicy Warszawy</w:t>
                            </w:r>
                            <w:r>
                              <w:rPr>
                                <w:rFonts w:asciiTheme="minorHAnsi" w:hAnsiTheme="minorHAnsi"/>
                                <w:color w:val="FFFFFF" w:themeColor="background1"/>
                                <w:sz w:val="22"/>
                              </w:rPr>
                              <w:t>. N</w:t>
                            </w:r>
                            <w:r w:rsidRPr="007F6382">
                              <w:rPr>
                                <w:rFonts w:asciiTheme="minorHAnsi" w:hAnsiTheme="minorHAnsi"/>
                                <w:color w:val="FFFFFF" w:themeColor="background1"/>
                                <w:sz w:val="22"/>
                              </w:rPr>
                              <w:t>owelizacja dokonana na mocy uchwały RM  z dnia 4 marca 2014 r.  dołączyła</w:t>
                            </w:r>
                            <w:r>
                              <w:rPr>
                                <w:rFonts w:asciiTheme="minorHAnsi" w:hAnsiTheme="minorHAnsi"/>
                                <w:color w:val="FFFFFF" w:themeColor="background1"/>
                                <w:sz w:val="22"/>
                              </w:rPr>
                              <w:t xml:space="preserve"> jednak budowę odcinka trasy S-3 z</w:t>
                            </w:r>
                            <w:r w:rsidRPr="007F6382">
                              <w:rPr>
                                <w:rFonts w:asciiTheme="minorHAnsi" w:hAnsiTheme="minorHAnsi"/>
                                <w:color w:val="FFFFFF" w:themeColor="background1"/>
                                <w:sz w:val="22"/>
                              </w:rPr>
                              <w:t xml:space="preserve"> Legnicy do Bolkowa do listy inwestycji</w:t>
                            </w:r>
                            <w:r>
                              <w:rPr>
                                <w:rFonts w:asciiTheme="minorHAnsi" w:hAnsiTheme="minorHAnsi"/>
                                <w:color w:val="FFFFFF" w:themeColor="background1"/>
                                <w:sz w:val="22"/>
                              </w:rPr>
                              <w:t xml:space="preserve"> </w:t>
                            </w:r>
                            <w:r w:rsidRPr="00FD35CD">
                              <w:rPr>
                                <w:rFonts w:asciiTheme="minorHAnsi" w:hAnsiTheme="minorHAnsi"/>
                                <w:i/>
                                <w:color w:val="FFFFFF" w:themeColor="background1"/>
                                <w:sz w:val="22"/>
                              </w:rPr>
                              <w:t>Programu Budowy Dróg Krajowych.</w:t>
                            </w:r>
                            <w:r w:rsidRPr="007F6382">
                              <w:rPr>
                                <w:rFonts w:asciiTheme="minorHAnsi" w:hAnsiTheme="minorHAnsi"/>
                                <w:color w:val="FFFFFF" w:themeColor="background1"/>
                                <w:sz w:val="22"/>
                              </w:rPr>
                              <w:t xml:space="preserve"> </w:t>
                            </w:r>
                            <w:r w:rsidRPr="002A7467">
                              <w:rPr>
                                <w:rFonts w:asciiTheme="minorHAnsi" w:hAnsiTheme="minorHAnsi"/>
                                <w:color w:val="FFFFFF" w:themeColor="background1"/>
                                <w:sz w:val="22"/>
                              </w:rPr>
                              <w:t>Zgodnie z uchwałą nr 158/2014 Rady Ministrów z dnia 5 sierpnia 2014 r. planowane zakończenie realizacji inwestycji na południowym odcinku trasy (Legnica-Bolków) oraz inwestycji na odcinku północnym (Sulechów – Legnica) to rok 2018.</w:t>
                            </w:r>
                          </w:p>
                          <w:p w:rsidR="00A469F2" w:rsidRPr="007F6382" w:rsidRDefault="00A469F2" w:rsidP="00565CCF">
                            <w:pPr>
                              <w:rPr>
                                <w:rFonts w:asciiTheme="minorHAnsi" w:hAnsiTheme="minorHAnsi"/>
                                <w:color w:val="FFFFFF" w:themeColor="background1"/>
                                <w:sz w:val="22"/>
                              </w:rPr>
                            </w:pPr>
                          </w:p>
                          <w:p w:rsidR="00A469F2" w:rsidRPr="007F6382" w:rsidRDefault="00A469F2"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Warto lobbować za realizacją tej inwestycji, bowiem jeżeli strona czeska również wdroży planowany projekt inwestycyjny zakładający trasę ekspresową od przejścia w Lubawce, Legnica poszerzy swój dostęp do infrastruktury komunikacyjnej o kolejny, znaczący i </w:t>
                            </w:r>
                            <w:r>
                              <w:rPr>
                                <w:rFonts w:asciiTheme="minorHAnsi" w:hAnsiTheme="minorHAnsi"/>
                                <w:color w:val="FFFFFF" w:themeColor="background1"/>
                                <w:sz w:val="22"/>
                              </w:rPr>
                              <w:t>dogodny korytarz transportowy o </w:t>
                            </w:r>
                            <w:r w:rsidRPr="007F6382">
                              <w:rPr>
                                <w:rFonts w:asciiTheme="minorHAnsi" w:hAnsiTheme="minorHAnsi"/>
                                <w:color w:val="FFFFFF" w:themeColor="background1"/>
                                <w:sz w:val="22"/>
                              </w:rPr>
                              <w:t>charakterze międzynarodowym.</w:t>
                            </w:r>
                          </w:p>
                          <w:p w:rsidR="00A469F2" w:rsidRDefault="00A46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10" o:spid="_x0000_s1061" type="#_x0000_t202" style="position:absolute;left:0;text-align:left;margin-left:-2.6pt;margin-top:0;width:474.75pt;height:39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QLsQIAAOwFAAAOAAAAZHJzL2Uyb0RvYy54bWysVFtP2zAUfp+0/2D5fSQplEtFijoQ0yQG&#10;aDDx7Do2jbB9PNttUn79ju20FDZNYtpLYvt85/ady+lZrxVZCedbMDWt9kpKhOHQtOaxpj/uLz8d&#10;U+IDMw1TYERN18LTs+nHD6ednYgRLEA1whE0YvykszVdhGAnReH5Qmjm98AKg0IJTrOAV/dYNI51&#10;aF2rYlSWh0UHrrEOuPAeXy+ykE6TfSkFDzdSehGIqinGFtLXpe88fovpKZs8OmYXLR/CYP8QhWat&#10;QadbUxcsMLJ07W+mdMsdeJBhj4MuQMqWi5QDZlOVb7K5WzArUi5Ijrdbmvz/M8uvV7eOtA3WrkJ+&#10;DNNYpFtQggTx5AN0gkQB0tRZP0H0nUV86D9Djyqbd4+PMfteOh3/mBdBORpcb0kWfSAcHw/L0cn+&#10;aEwJR9m4rE4Oj8bRTvGibp0PXwRoEg81dVjFRC5bXfmQoRtI9OZBtc1lq1S6xM4R58qRFcOaM86F&#10;CVVSV0v9DZr8fjQuy5QWuk3NFlVSEK+sKUM6DHl/XCYLr2QxhK2fuWL8aUhjB4XWlYlhidSLQ/iR&#10;ykxZOoW1EhGjzHchsRaJub/kkhlI6IiSmPl7FAf8S1TvUc55oEbyDCZslXVrwGWWXpegeUp9glTI&#10;jEead/KOx9DP+9yEx5uWmkOzxk5zkEfWW37ZIuFXzIdb5nBGsblw74Qb/EgFWCUYTpQswD3/6T3i&#10;cXRQSkmHM19T/3PJnKBEfTU4VCfVwUFcEulyMD4a4cXtSua7ErPU54AtVuGGszwdIz6ozVE60A+4&#10;nmbRK4qY4ei7pmFzPA95E+F642I2SyBcC5aFK3NneTQdaY6Ndt8/MGeHgQg4S9ew2Q5s8mYuMjZq&#10;GpgtA8g2DU0kOrM6FABXSur4Yf3FnbV7T6iXJT39BQAA//8DAFBLAwQUAAYACAAAACEAn5HTa90A&#10;AAAHAQAADwAAAGRycy9kb3ducmV2LnhtbEyPwU7DMBBE70j8g7VI3FqH0AAN2VSAAFXcGiLOTrwk&#10;gdiObLcNfD3LCY6jGc28KTazGcWBfBicRbhYJiDItk4PtkOoX58WNyBCVFar0VlC+KIAm/L0pFC5&#10;dke7o0MVO8ElNuQKoY9xyqUMbU9GhaWbyLL37rxRkaXvpPbqyOVmlGmSXEmjBssLvZrooaf2s9ob&#10;hOq5rZtdnLe1e/m+9y57+3hMDeL52Xx3CyLSHP/C8IvP6FAyU+P2VgcxIiyylJMIfIjd9Wp1CaJB&#10;uF4nGciykP/5yx8AAAD//wMAUEsBAi0AFAAGAAgAAAAhALaDOJL+AAAA4QEAABMAAAAAAAAAAAAA&#10;AAAAAAAAAFtDb250ZW50X1R5cGVzXS54bWxQSwECLQAUAAYACAAAACEAOP0h/9YAAACUAQAACwAA&#10;AAAAAAAAAAAAAAAvAQAAX3JlbHMvLnJlbHNQSwECLQAUAAYACAAAACEAABn0C7ECAADsBQAADgAA&#10;AAAAAAAAAAAAAAAuAgAAZHJzL2Uyb0RvYy54bWxQSwECLQAUAAYACAAAACEAn5HTa90AAAAHAQAA&#10;DwAAAAAAAAAAAAAAAAALBQAAZHJzL2Rvd25yZXYueG1sUEsFBgAAAAAEAAQA8wAAABUGAAAAAA==&#10;" fillcolor="#2e74b5 [2404]" strokeweight=".5pt">
                <v:textbox>
                  <w:txbxContent>
                    <w:p w:rsidR="00960314" w:rsidRPr="007F6382" w:rsidRDefault="00960314" w:rsidP="00565CCF">
                      <w:pPr>
                        <w:rPr>
                          <w:rFonts w:asciiTheme="minorHAnsi" w:hAnsiTheme="minorHAnsi" w:cs="Arial"/>
                          <w:color w:val="FFFFFF" w:themeColor="background1"/>
                          <w:sz w:val="22"/>
                        </w:rPr>
                      </w:pPr>
                      <w:r w:rsidRPr="007F6382">
                        <w:rPr>
                          <w:rFonts w:asciiTheme="minorHAnsi" w:hAnsiTheme="minorHAnsi" w:cs="Arial"/>
                          <w:color w:val="FFFFFF" w:themeColor="background1"/>
                          <w:sz w:val="22"/>
                        </w:rPr>
                        <w:t>Legnica leżąca przy międzynarodowym szlaku E-65, pomiędzy Hradec Kralove, a Zieloną Górą staje się istotnym punktem na mapie tego korytarza transportowego. Rozwój porozumienia i samego szlaku transportowego stanowi olbrzymią szansę dla Legnicy, stymulując jej dynamikę wzrostu gospodarczego oraz przyczyniając się do rozwoju społecznego i zacieśniania współpracy międzyregionalnej.</w:t>
                      </w:r>
                    </w:p>
                    <w:p w:rsidR="00960314" w:rsidRPr="007F6382" w:rsidRDefault="00960314" w:rsidP="00565CCF">
                      <w:pPr>
                        <w:rPr>
                          <w:rFonts w:asciiTheme="minorHAnsi" w:hAnsiTheme="minorHAnsi"/>
                          <w:color w:val="FFFFFF" w:themeColor="background1"/>
                          <w:sz w:val="22"/>
                        </w:rPr>
                      </w:pPr>
                    </w:p>
                    <w:p w:rsidR="00960314" w:rsidRDefault="00960314"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Kluczową inwestycją dla rozwoju tego konceptu jest rozbudowa drogi ekspresowej S-3 łączącej Świnoujście z granicą czeską w Lubawce. Budowa tej drogi na odcinku granica województwa – Legnica – Lubawka wpisana jest w plan zadań transportu drogowego zamieszczony w </w:t>
                      </w:r>
                      <w:r w:rsidRPr="007F6382">
                        <w:rPr>
                          <w:rFonts w:asciiTheme="minorHAnsi" w:hAnsiTheme="minorHAnsi"/>
                          <w:i/>
                          <w:color w:val="FFFFFF" w:themeColor="background1"/>
                          <w:sz w:val="22"/>
                        </w:rPr>
                        <w:t>Planie Za</w:t>
                      </w:r>
                      <w:r>
                        <w:rPr>
                          <w:rFonts w:asciiTheme="minorHAnsi" w:hAnsiTheme="minorHAnsi"/>
                          <w:i/>
                          <w:color w:val="FFFFFF" w:themeColor="background1"/>
                          <w:sz w:val="22"/>
                        </w:rPr>
                        <w:t>gospodarowania</w:t>
                      </w:r>
                      <w:r w:rsidRPr="007F6382">
                        <w:rPr>
                          <w:rFonts w:asciiTheme="minorHAnsi" w:hAnsiTheme="minorHAnsi"/>
                          <w:i/>
                          <w:color w:val="FFFFFF" w:themeColor="background1"/>
                          <w:sz w:val="22"/>
                        </w:rPr>
                        <w:t xml:space="preserve"> Przestrzennego Województwa Dolnośląskiego. </w:t>
                      </w:r>
                      <w:r w:rsidRPr="007F6382">
                        <w:rPr>
                          <w:rFonts w:asciiTheme="minorHAnsi" w:hAnsiTheme="minorHAnsi"/>
                          <w:color w:val="FFFFFF" w:themeColor="background1"/>
                          <w:sz w:val="22"/>
                        </w:rPr>
                        <w:t xml:space="preserve">Inwestycja ta na odcinku Legnica – Lubawka oraz Nowa Sól -Legnica widnieje również na liście projektów indywidualnych dla Programu Operacyjnego Infrastruktura i Środowisko na lata 2007-2013 oraz w zestawieniu inwestycji zawartych w </w:t>
                      </w:r>
                      <w:r w:rsidRPr="007F6382">
                        <w:rPr>
                          <w:rFonts w:asciiTheme="minorHAnsi" w:hAnsiTheme="minorHAnsi"/>
                          <w:i/>
                          <w:color w:val="FFFFFF" w:themeColor="background1"/>
                          <w:sz w:val="22"/>
                        </w:rPr>
                        <w:t xml:space="preserve">Programie Budowy Dróg Krajowych na lata 2011-2015. </w:t>
                      </w:r>
                      <w:r w:rsidRPr="007F6382">
                        <w:rPr>
                          <w:rFonts w:asciiTheme="minorHAnsi" w:hAnsiTheme="minorHAnsi"/>
                          <w:color w:val="FFFFFF" w:themeColor="background1"/>
                          <w:sz w:val="22"/>
                        </w:rPr>
                        <w:t>W dniu 10 grudnia 2013 r. Rada Ministrów przesunęła środki pi</w:t>
                      </w:r>
                      <w:r>
                        <w:rPr>
                          <w:rFonts w:asciiTheme="minorHAnsi" w:hAnsiTheme="minorHAnsi"/>
                          <w:color w:val="FFFFFF" w:themeColor="background1"/>
                          <w:sz w:val="22"/>
                        </w:rPr>
                        <w:t>erwotnie przeznaczone na budowę południowego odcinka</w:t>
                      </w:r>
                      <w:r w:rsidRPr="007F6382">
                        <w:rPr>
                          <w:rFonts w:asciiTheme="minorHAnsi" w:hAnsiTheme="minorHAnsi"/>
                          <w:color w:val="FFFFFF" w:themeColor="background1"/>
                          <w:sz w:val="22"/>
                        </w:rPr>
                        <w:t xml:space="preserve"> trasy S-3 z Legnicy do Lubawki</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na</w:t>
                      </w:r>
                      <w:r>
                        <w:rPr>
                          <w:rFonts w:asciiTheme="minorHAnsi" w:hAnsiTheme="minorHAnsi"/>
                          <w:color w:val="FFFFFF" w:themeColor="background1"/>
                          <w:sz w:val="22"/>
                        </w:rPr>
                        <w:t xml:space="preserve"> rzecz budowy</w:t>
                      </w:r>
                      <w:r w:rsidRPr="007F6382">
                        <w:rPr>
                          <w:rFonts w:asciiTheme="minorHAnsi" w:hAnsiTheme="minorHAnsi"/>
                          <w:color w:val="FFFFFF" w:themeColor="background1"/>
                          <w:sz w:val="22"/>
                        </w:rPr>
                        <w:t xml:space="preserve"> Południowej Obwodnicy Warszawy</w:t>
                      </w:r>
                      <w:r>
                        <w:rPr>
                          <w:rFonts w:asciiTheme="minorHAnsi" w:hAnsiTheme="minorHAnsi"/>
                          <w:color w:val="FFFFFF" w:themeColor="background1"/>
                          <w:sz w:val="22"/>
                        </w:rPr>
                        <w:t>. N</w:t>
                      </w:r>
                      <w:r w:rsidRPr="007F6382">
                        <w:rPr>
                          <w:rFonts w:asciiTheme="minorHAnsi" w:hAnsiTheme="minorHAnsi"/>
                          <w:color w:val="FFFFFF" w:themeColor="background1"/>
                          <w:sz w:val="22"/>
                        </w:rPr>
                        <w:t>owelizacja dokonana na mocy uchwały RM  z dnia 4 marca 2014 r.  dołączyła</w:t>
                      </w:r>
                      <w:r>
                        <w:rPr>
                          <w:rFonts w:asciiTheme="minorHAnsi" w:hAnsiTheme="minorHAnsi"/>
                          <w:color w:val="FFFFFF" w:themeColor="background1"/>
                          <w:sz w:val="22"/>
                        </w:rPr>
                        <w:t xml:space="preserve"> jednak budowę odcinka trasy S-3 z</w:t>
                      </w:r>
                      <w:r w:rsidRPr="007F6382">
                        <w:rPr>
                          <w:rFonts w:asciiTheme="minorHAnsi" w:hAnsiTheme="minorHAnsi"/>
                          <w:color w:val="FFFFFF" w:themeColor="background1"/>
                          <w:sz w:val="22"/>
                        </w:rPr>
                        <w:t xml:space="preserve"> Legnicy do Bolkowa do listy inwestycji</w:t>
                      </w:r>
                      <w:r>
                        <w:rPr>
                          <w:rFonts w:asciiTheme="minorHAnsi" w:hAnsiTheme="minorHAnsi"/>
                          <w:color w:val="FFFFFF" w:themeColor="background1"/>
                          <w:sz w:val="22"/>
                        </w:rPr>
                        <w:t xml:space="preserve"> </w:t>
                      </w:r>
                      <w:r w:rsidRPr="00FD35CD">
                        <w:rPr>
                          <w:rFonts w:asciiTheme="minorHAnsi" w:hAnsiTheme="minorHAnsi"/>
                          <w:i/>
                          <w:color w:val="FFFFFF" w:themeColor="background1"/>
                          <w:sz w:val="22"/>
                        </w:rPr>
                        <w:t>Programu Budowy Dróg Krajowych.</w:t>
                      </w:r>
                      <w:r w:rsidRPr="007F6382">
                        <w:rPr>
                          <w:rFonts w:asciiTheme="minorHAnsi" w:hAnsiTheme="minorHAnsi"/>
                          <w:color w:val="FFFFFF" w:themeColor="background1"/>
                          <w:sz w:val="22"/>
                        </w:rPr>
                        <w:t xml:space="preserve"> </w:t>
                      </w:r>
                      <w:r w:rsidRPr="002A7467">
                        <w:rPr>
                          <w:rFonts w:asciiTheme="minorHAnsi" w:hAnsiTheme="minorHAnsi"/>
                          <w:color w:val="FFFFFF" w:themeColor="background1"/>
                          <w:sz w:val="22"/>
                        </w:rPr>
                        <w:t>Zgodnie z uchwałą nr 158/2014 Rady Ministrów z dnia 5 sierpnia 2014 r. planowane zakończenie realizacji inwestycji na południowym odcinku trasy (Legnica-Bolków) oraz inwestycji na odcinku północnym (Sulechów – Legnica) to rok 2018.</w:t>
                      </w:r>
                    </w:p>
                    <w:p w:rsidR="00960314" w:rsidRPr="007F6382" w:rsidRDefault="00960314" w:rsidP="00565CCF">
                      <w:pPr>
                        <w:rPr>
                          <w:rFonts w:asciiTheme="minorHAnsi" w:hAnsiTheme="minorHAnsi"/>
                          <w:color w:val="FFFFFF" w:themeColor="background1"/>
                          <w:sz w:val="22"/>
                        </w:rPr>
                      </w:pPr>
                    </w:p>
                    <w:p w:rsidR="00960314" w:rsidRPr="007F6382" w:rsidRDefault="00960314"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Warto lobbować za realizacją tej inwestycji, bowiem jeżeli strona czeska również wdroży planowany projekt inwestycyjny zakładający trasę ekspresową od przejścia w Lubawce, Legnica poszerzy swój dostęp do infrastruktury komunikacyjnej o kolejny, znaczący i </w:t>
                      </w:r>
                      <w:r>
                        <w:rPr>
                          <w:rFonts w:asciiTheme="minorHAnsi" w:hAnsiTheme="minorHAnsi"/>
                          <w:color w:val="FFFFFF" w:themeColor="background1"/>
                          <w:sz w:val="22"/>
                        </w:rPr>
                        <w:t>dogodny korytarz transportowy o </w:t>
                      </w:r>
                      <w:r w:rsidRPr="007F6382">
                        <w:rPr>
                          <w:rFonts w:asciiTheme="minorHAnsi" w:hAnsiTheme="minorHAnsi"/>
                          <w:color w:val="FFFFFF" w:themeColor="background1"/>
                          <w:sz w:val="22"/>
                        </w:rPr>
                        <w:t>charakterze międzynarodowym.</w:t>
                      </w:r>
                    </w:p>
                    <w:p w:rsidR="00960314" w:rsidRDefault="00960314"/>
                  </w:txbxContent>
                </v:textbox>
                <w10:wrap type="topAndBottom"/>
              </v:shape>
            </w:pict>
          </mc:Fallback>
        </mc:AlternateContent>
      </w:r>
    </w:p>
    <w:p w:rsidR="00DB47B2" w:rsidRDefault="00DB47B2"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Default="00565CCF" w:rsidP="00EA4219">
      <w:pPr>
        <w:rPr>
          <w:rFonts w:asciiTheme="minorHAnsi" w:hAnsiTheme="minorHAnsi"/>
          <w:sz w:val="22"/>
        </w:rPr>
      </w:pPr>
    </w:p>
    <w:p w:rsidR="00565CCF" w:rsidRPr="00563EF2" w:rsidRDefault="00565CCF" w:rsidP="00EA4219">
      <w:pPr>
        <w:rPr>
          <w:rFonts w:asciiTheme="minorHAnsi" w:hAnsiTheme="minorHAnsi"/>
          <w:sz w:val="22"/>
        </w:rPr>
      </w:pPr>
    </w:p>
    <w:p w:rsidR="008A44CF" w:rsidRPr="00BB2FEC" w:rsidRDefault="008A44CF" w:rsidP="00EC5484">
      <w:pPr>
        <w:pStyle w:val="Nagwek3"/>
      </w:pPr>
      <w:bookmarkStart w:id="44" w:name="_Toc399756331"/>
      <w:r w:rsidRPr="00BB2FEC">
        <w:t>Infrastruktura techniczna</w:t>
      </w:r>
      <w:bookmarkEnd w:id="44"/>
      <w:r w:rsidRPr="00BB2FEC">
        <w:t xml:space="preserve"> </w:t>
      </w:r>
    </w:p>
    <w:p w:rsidR="008A44CF" w:rsidRPr="00563EF2" w:rsidRDefault="008A44CF" w:rsidP="00FD7676">
      <w:pPr>
        <w:rPr>
          <w:rFonts w:asciiTheme="minorHAnsi" w:hAnsiTheme="minorHAnsi"/>
          <w:sz w:val="22"/>
        </w:rPr>
      </w:pPr>
    </w:p>
    <w:p w:rsidR="008A44CF" w:rsidRDefault="008A44CF" w:rsidP="00FD7676">
      <w:pPr>
        <w:rPr>
          <w:rFonts w:asciiTheme="minorHAnsi" w:hAnsiTheme="minorHAnsi"/>
          <w:sz w:val="22"/>
        </w:rPr>
      </w:pPr>
      <w:r w:rsidRPr="00563EF2">
        <w:rPr>
          <w:rFonts w:asciiTheme="minorHAnsi" w:hAnsiTheme="minorHAnsi"/>
          <w:sz w:val="22"/>
        </w:rPr>
        <w:t>Oprócz bardzo dobrych połączeń komunikacyjnych, na konkurencyjność Legnicy wpływa również lokalizacja w pobliżu ważnych magistrali</w:t>
      </w:r>
      <w:r w:rsidR="00FC61F4" w:rsidRPr="00563EF2">
        <w:rPr>
          <w:rFonts w:asciiTheme="minorHAnsi" w:hAnsiTheme="minorHAnsi"/>
          <w:sz w:val="22"/>
        </w:rPr>
        <w:t xml:space="preserve"> i węzłów przesyłowych</w:t>
      </w:r>
      <w:r w:rsidRPr="00563EF2">
        <w:rPr>
          <w:rFonts w:asciiTheme="minorHAnsi" w:hAnsiTheme="minorHAnsi"/>
          <w:sz w:val="22"/>
        </w:rPr>
        <w:t xml:space="preserve"> i</w:t>
      </w:r>
      <w:r w:rsidR="006567DD" w:rsidRPr="00563EF2">
        <w:rPr>
          <w:rFonts w:asciiTheme="minorHAnsi" w:hAnsiTheme="minorHAnsi"/>
          <w:sz w:val="22"/>
        </w:rPr>
        <w:t>nfrastruktury technicznej (linie</w:t>
      </w:r>
      <w:r w:rsidRPr="00563EF2">
        <w:rPr>
          <w:rFonts w:asciiTheme="minorHAnsi" w:hAnsiTheme="minorHAnsi"/>
          <w:sz w:val="22"/>
        </w:rPr>
        <w:t xml:space="preserve"> elektroenergetyczne</w:t>
      </w:r>
      <w:r w:rsidR="006567DD" w:rsidRPr="00563EF2">
        <w:rPr>
          <w:rFonts w:asciiTheme="minorHAnsi" w:hAnsiTheme="minorHAnsi"/>
          <w:sz w:val="22"/>
        </w:rPr>
        <w:t xml:space="preserve"> wysokich napięć</w:t>
      </w:r>
      <w:r w:rsidR="00FC61F4" w:rsidRPr="00563EF2">
        <w:rPr>
          <w:rFonts w:asciiTheme="minorHAnsi" w:hAnsiTheme="minorHAnsi"/>
          <w:sz w:val="22"/>
        </w:rPr>
        <w:t>, gazociąg wysokoprężny</w:t>
      </w:r>
      <w:r w:rsidRPr="00563EF2">
        <w:rPr>
          <w:rFonts w:asciiTheme="minorHAnsi" w:hAnsiTheme="minorHAnsi"/>
          <w:sz w:val="22"/>
        </w:rPr>
        <w:t>) oraz bogatego ujęcia wody powierzchniowej u ujścia rzeki Kaczawy.</w:t>
      </w:r>
    </w:p>
    <w:p w:rsidR="00AD2AF1" w:rsidRPr="00563EF2" w:rsidRDefault="00AD2AF1" w:rsidP="00FD7676">
      <w:pPr>
        <w:rPr>
          <w:rFonts w:asciiTheme="minorHAnsi" w:hAnsiTheme="minorHAnsi"/>
          <w:sz w:val="22"/>
        </w:rPr>
      </w:pPr>
    </w:p>
    <w:p w:rsidR="00AD2AF1" w:rsidRPr="00563EF2" w:rsidRDefault="00AD2AF1" w:rsidP="00FD7676">
      <w:pPr>
        <w:pStyle w:val="Legenda"/>
        <w:keepNext/>
        <w:spacing w:line="276" w:lineRule="auto"/>
        <w:rPr>
          <w:rFonts w:asciiTheme="minorHAnsi" w:hAnsiTheme="minorHAnsi"/>
          <w:sz w:val="22"/>
          <w:szCs w:val="22"/>
        </w:rPr>
      </w:pPr>
      <w:r w:rsidRPr="00563EF2">
        <w:rPr>
          <w:rFonts w:asciiTheme="minorHAnsi" w:hAnsiTheme="minorHAnsi"/>
          <w:sz w:val="22"/>
          <w:szCs w:val="22"/>
        </w:rPr>
        <w:t xml:space="preserve">Wykres </w:t>
      </w:r>
      <w:r w:rsidR="005A0296">
        <w:rPr>
          <w:rFonts w:asciiTheme="minorHAnsi" w:hAnsiTheme="minorHAnsi"/>
          <w:sz w:val="22"/>
          <w:szCs w:val="22"/>
        </w:rPr>
        <w:fldChar w:fldCharType="begin"/>
      </w:r>
      <w:r w:rsidR="005A0296">
        <w:rPr>
          <w:rFonts w:asciiTheme="minorHAnsi" w:hAnsiTheme="minorHAnsi"/>
          <w:sz w:val="22"/>
          <w:szCs w:val="22"/>
        </w:rPr>
        <w:instrText xml:space="preserve"> SEQ Wykres \* ARABIC </w:instrText>
      </w:r>
      <w:r w:rsidR="005A0296">
        <w:rPr>
          <w:rFonts w:asciiTheme="minorHAnsi" w:hAnsiTheme="minorHAnsi"/>
          <w:sz w:val="22"/>
          <w:szCs w:val="22"/>
        </w:rPr>
        <w:fldChar w:fldCharType="separate"/>
      </w:r>
      <w:r w:rsidR="007B2916">
        <w:rPr>
          <w:rFonts w:asciiTheme="minorHAnsi" w:hAnsiTheme="minorHAnsi"/>
          <w:noProof/>
          <w:sz w:val="22"/>
          <w:szCs w:val="22"/>
        </w:rPr>
        <w:t>25</w:t>
      </w:r>
      <w:r w:rsidR="005A0296">
        <w:rPr>
          <w:rFonts w:asciiTheme="minorHAnsi" w:hAnsiTheme="minorHAnsi"/>
          <w:sz w:val="22"/>
          <w:szCs w:val="22"/>
        </w:rPr>
        <w:fldChar w:fldCharType="end"/>
      </w:r>
      <w:r w:rsidR="00B05348">
        <w:rPr>
          <w:rFonts w:asciiTheme="minorHAnsi" w:hAnsiTheme="minorHAnsi"/>
          <w:sz w:val="22"/>
          <w:szCs w:val="22"/>
        </w:rPr>
        <w:t>8</w:t>
      </w:r>
      <w:r w:rsidRPr="00563EF2">
        <w:rPr>
          <w:rFonts w:asciiTheme="minorHAnsi" w:hAnsiTheme="minorHAnsi"/>
          <w:sz w:val="22"/>
          <w:szCs w:val="22"/>
        </w:rPr>
        <w:t>. Długość infr</w:t>
      </w:r>
      <w:r w:rsidR="00DB47B2" w:rsidRPr="00563EF2">
        <w:rPr>
          <w:rFonts w:asciiTheme="minorHAnsi" w:hAnsiTheme="minorHAnsi"/>
          <w:sz w:val="22"/>
          <w:szCs w:val="22"/>
        </w:rPr>
        <w:t>a</w:t>
      </w:r>
      <w:r w:rsidRPr="00563EF2">
        <w:rPr>
          <w:rFonts w:asciiTheme="minorHAnsi" w:hAnsiTheme="minorHAnsi"/>
          <w:sz w:val="22"/>
          <w:szCs w:val="22"/>
        </w:rPr>
        <w:t>struktury sieciowej w Legnicy</w:t>
      </w:r>
      <w:r w:rsidR="002E14D4">
        <w:rPr>
          <w:rFonts w:asciiTheme="minorHAnsi" w:hAnsiTheme="minorHAnsi"/>
          <w:sz w:val="22"/>
          <w:szCs w:val="22"/>
        </w:rPr>
        <w:t xml:space="preserve"> – sieć rozdzielcza poszczególnych mediów</w:t>
      </w:r>
      <w:r w:rsidRPr="00563EF2">
        <w:rPr>
          <w:rFonts w:asciiTheme="minorHAnsi" w:hAnsiTheme="minorHAnsi"/>
          <w:sz w:val="22"/>
          <w:szCs w:val="22"/>
        </w:rPr>
        <w:t xml:space="preserve"> (lata 2006-2012).</w:t>
      </w:r>
    </w:p>
    <w:p w:rsidR="00AD2AF1" w:rsidRPr="00563EF2" w:rsidRDefault="00AD2AF1" w:rsidP="00FD7676">
      <w:pPr>
        <w:rPr>
          <w:rFonts w:asciiTheme="minorHAnsi" w:hAnsiTheme="minorHAnsi"/>
          <w:sz w:val="22"/>
        </w:rPr>
      </w:pPr>
      <w:r w:rsidRPr="00563EF2">
        <w:rPr>
          <w:rFonts w:asciiTheme="minorHAnsi" w:hAnsiTheme="minorHAnsi"/>
          <w:noProof/>
          <w:sz w:val="22"/>
          <w:lang w:eastAsia="pl-PL"/>
        </w:rPr>
        <w:drawing>
          <wp:inline distT="0" distB="0" distL="0" distR="0" wp14:anchorId="4639C403" wp14:editId="31218E44">
            <wp:extent cx="4572000" cy="2743200"/>
            <wp:effectExtent l="19050" t="0" r="19050" b="0"/>
            <wp:docPr id="2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D2AF1" w:rsidRDefault="00AD2AF1" w:rsidP="00FD7676">
      <w:pPr>
        <w:rPr>
          <w:rFonts w:asciiTheme="minorHAnsi" w:hAnsiTheme="minorHAnsi"/>
          <w:sz w:val="20"/>
        </w:rPr>
      </w:pPr>
      <w:r w:rsidRPr="00700661">
        <w:rPr>
          <w:rFonts w:asciiTheme="minorHAnsi" w:hAnsiTheme="minorHAnsi"/>
          <w:sz w:val="20"/>
        </w:rPr>
        <w:t xml:space="preserve">Źródło: Opracowanie własne na podstawie: </w:t>
      </w:r>
      <w:r w:rsidRPr="00700661">
        <w:rPr>
          <w:rFonts w:asciiTheme="minorHAnsi" w:hAnsiTheme="minorHAnsi"/>
          <w:i/>
          <w:sz w:val="20"/>
        </w:rPr>
        <w:t>Bank Danych Lokalnych,</w:t>
      </w:r>
      <w:r w:rsidR="00700661">
        <w:rPr>
          <w:rFonts w:asciiTheme="minorHAnsi" w:hAnsiTheme="minorHAnsi"/>
          <w:sz w:val="20"/>
        </w:rPr>
        <w:t xml:space="preserve"> GUS</w:t>
      </w:r>
      <w:r w:rsidR="008B3862">
        <w:rPr>
          <w:rFonts w:asciiTheme="minorHAnsi" w:hAnsiTheme="minorHAnsi"/>
          <w:sz w:val="20"/>
        </w:rPr>
        <w:t>.</w:t>
      </w:r>
    </w:p>
    <w:p w:rsidR="00812369" w:rsidRDefault="00812369" w:rsidP="00FD7676">
      <w:pPr>
        <w:rPr>
          <w:rFonts w:asciiTheme="minorHAnsi" w:hAnsiTheme="minorHAnsi"/>
          <w:sz w:val="20"/>
        </w:rPr>
      </w:pPr>
    </w:p>
    <w:p w:rsidR="00812369" w:rsidRPr="00563EF2" w:rsidRDefault="00812369" w:rsidP="00812369">
      <w:pPr>
        <w:rPr>
          <w:rFonts w:asciiTheme="minorHAnsi" w:hAnsiTheme="minorHAnsi"/>
          <w:sz w:val="22"/>
        </w:rPr>
      </w:pPr>
      <w:r w:rsidRPr="00563EF2">
        <w:rPr>
          <w:rFonts w:asciiTheme="minorHAnsi" w:hAnsiTheme="minorHAnsi"/>
          <w:sz w:val="22"/>
        </w:rPr>
        <w:t>Infrastruktura techniczna w samej Legnicy nie odbiega od powszechn</w:t>
      </w:r>
      <w:r>
        <w:rPr>
          <w:rFonts w:asciiTheme="minorHAnsi" w:hAnsiTheme="minorHAnsi"/>
          <w:sz w:val="22"/>
        </w:rPr>
        <w:t>ych standardów, a poczynione w </w:t>
      </w:r>
      <w:r w:rsidRPr="00563EF2">
        <w:rPr>
          <w:rFonts w:asciiTheme="minorHAnsi" w:hAnsiTheme="minorHAnsi"/>
          <w:sz w:val="22"/>
        </w:rPr>
        <w:t xml:space="preserve">ostatnich latach inwestycje rozwojowe znacznie usprawniły jej funkcjonowanie. </w:t>
      </w:r>
    </w:p>
    <w:p w:rsidR="00DD13FA" w:rsidRPr="00563EF2" w:rsidRDefault="00DD13FA" w:rsidP="00EC5484">
      <w:pPr>
        <w:pStyle w:val="Nagwek3"/>
        <w:rPr>
          <w:b w:val="0"/>
        </w:rPr>
      </w:pPr>
      <w:bookmarkStart w:id="45" w:name="_Toc399756332"/>
      <w:r w:rsidRPr="00563EF2">
        <w:rPr>
          <w:b w:val="0"/>
        </w:rPr>
        <w:t>Sieć wodociągowa i kanalizacyjna</w:t>
      </w:r>
      <w:bookmarkEnd w:id="45"/>
    </w:p>
    <w:p w:rsidR="00DD13FA" w:rsidRPr="00563EF2" w:rsidRDefault="00DD13FA" w:rsidP="00DD13FA">
      <w:pPr>
        <w:pStyle w:val="NormalnyWeb"/>
        <w:spacing w:after="0" w:line="276" w:lineRule="auto"/>
        <w:jc w:val="both"/>
        <w:rPr>
          <w:rFonts w:asciiTheme="minorHAnsi" w:hAnsiTheme="minorHAnsi"/>
          <w:sz w:val="22"/>
          <w:szCs w:val="22"/>
        </w:rPr>
      </w:pPr>
      <w:r w:rsidRPr="00563EF2">
        <w:rPr>
          <w:rFonts w:asciiTheme="minorHAnsi" w:hAnsiTheme="minorHAnsi"/>
          <w:sz w:val="22"/>
          <w:szCs w:val="22"/>
        </w:rPr>
        <w:t xml:space="preserve">Sieci wodno – kanalizacyjne administrowane i eksploatowane są przez Legnickie Przedsiębiorstwo Wodociągów i Kanalizacji S.A. </w:t>
      </w:r>
    </w:p>
    <w:p w:rsidR="00A7721D" w:rsidRPr="002E14D4" w:rsidRDefault="006567DD" w:rsidP="002E14D4">
      <w:pPr>
        <w:pStyle w:val="NormalnyWeb"/>
        <w:spacing w:after="0" w:line="276" w:lineRule="auto"/>
        <w:jc w:val="both"/>
        <w:rPr>
          <w:rFonts w:asciiTheme="minorHAnsi" w:hAnsiTheme="minorHAnsi"/>
          <w:sz w:val="22"/>
          <w:szCs w:val="22"/>
        </w:rPr>
      </w:pPr>
      <w:r w:rsidRPr="00563EF2">
        <w:rPr>
          <w:rFonts w:asciiTheme="minorHAnsi" w:hAnsiTheme="minorHAnsi"/>
          <w:sz w:val="22"/>
          <w:szCs w:val="22"/>
        </w:rPr>
        <w:t xml:space="preserve">Z sieci wodociągowej korzysta </w:t>
      </w:r>
      <w:r w:rsidR="00C6407C">
        <w:rPr>
          <w:rFonts w:asciiTheme="minorHAnsi" w:hAnsiTheme="minorHAnsi"/>
          <w:sz w:val="22"/>
          <w:szCs w:val="22"/>
        </w:rPr>
        <w:t>99</w:t>
      </w:r>
      <w:r w:rsidR="002E14D4">
        <w:rPr>
          <w:rFonts w:asciiTheme="minorHAnsi" w:hAnsiTheme="minorHAnsi"/>
          <w:sz w:val="22"/>
          <w:szCs w:val="22"/>
        </w:rPr>
        <w:t>% mieszkańców, a całkowita</w:t>
      </w:r>
      <w:r w:rsidRPr="00563EF2">
        <w:rPr>
          <w:rFonts w:asciiTheme="minorHAnsi" w:hAnsiTheme="minorHAnsi"/>
          <w:sz w:val="22"/>
          <w:szCs w:val="22"/>
        </w:rPr>
        <w:t xml:space="preserve"> długość sieci wynosi</w:t>
      </w:r>
      <w:r w:rsidR="00AD2AF1" w:rsidRPr="00563EF2">
        <w:rPr>
          <w:rFonts w:asciiTheme="minorHAnsi" w:hAnsiTheme="minorHAnsi"/>
          <w:sz w:val="22"/>
          <w:szCs w:val="22"/>
        </w:rPr>
        <w:t>ła w 2012 r.</w:t>
      </w:r>
      <w:r w:rsidR="007869B6" w:rsidRPr="00563EF2">
        <w:rPr>
          <w:rFonts w:asciiTheme="minorHAnsi" w:hAnsiTheme="minorHAnsi"/>
          <w:sz w:val="22"/>
          <w:szCs w:val="22"/>
        </w:rPr>
        <w:t xml:space="preserve"> </w:t>
      </w:r>
      <w:r w:rsidR="002E14D4">
        <w:rPr>
          <w:rFonts w:asciiTheme="minorHAnsi" w:hAnsiTheme="minorHAnsi"/>
          <w:sz w:val="22"/>
          <w:szCs w:val="22"/>
        </w:rPr>
        <w:t>244,2</w:t>
      </w:r>
      <w:r w:rsidR="00AD2AF1" w:rsidRPr="00563EF2">
        <w:rPr>
          <w:rFonts w:asciiTheme="minorHAnsi" w:hAnsiTheme="minorHAnsi"/>
          <w:sz w:val="22"/>
          <w:szCs w:val="22"/>
        </w:rPr>
        <w:t xml:space="preserve"> </w:t>
      </w:r>
      <w:r w:rsidR="007869B6" w:rsidRPr="00563EF2">
        <w:rPr>
          <w:rFonts w:asciiTheme="minorHAnsi" w:hAnsiTheme="minorHAnsi"/>
          <w:sz w:val="22"/>
          <w:szCs w:val="22"/>
        </w:rPr>
        <w:t xml:space="preserve"> km</w:t>
      </w:r>
      <w:r w:rsidR="002E14D4">
        <w:rPr>
          <w:rFonts w:asciiTheme="minorHAnsi" w:hAnsiTheme="minorHAnsi"/>
          <w:sz w:val="22"/>
          <w:szCs w:val="22"/>
        </w:rPr>
        <w:t xml:space="preserve">, z czego: 190,1 km - sieć rozdzielcza, a 54,1 km sieć magistralna. </w:t>
      </w:r>
      <w:r w:rsidR="00C6407C">
        <w:rPr>
          <w:rFonts w:asciiTheme="minorHAnsi" w:hAnsiTheme="minorHAnsi"/>
          <w:sz w:val="22"/>
        </w:rPr>
        <w:t>Kanalizacja obejmuje zaś 97</w:t>
      </w:r>
      <w:r w:rsidR="007869B6" w:rsidRPr="00563EF2">
        <w:rPr>
          <w:rFonts w:asciiTheme="minorHAnsi" w:hAnsiTheme="minorHAnsi"/>
          <w:sz w:val="22"/>
        </w:rPr>
        <w:t>% ludności, a</w:t>
      </w:r>
      <w:r w:rsidR="00A7721D" w:rsidRPr="00563EF2">
        <w:rPr>
          <w:rFonts w:asciiTheme="minorHAnsi" w:hAnsiTheme="minorHAnsi"/>
          <w:sz w:val="22"/>
        </w:rPr>
        <w:t xml:space="preserve"> jej</w:t>
      </w:r>
      <w:r w:rsidR="007869B6" w:rsidRPr="00563EF2">
        <w:rPr>
          <w:rFonts w:asciiTheme="minorHAnsi" w:hAnsiTheme="minorHAnsi"/>
          <w:sz w:val="22"/>
        </w:rPr>
        <w:t xml:space="preserve"> sieć</w:t>
      </w:r>
      <w:r w:rsidR="002E14D4">
        <w:rPr>
          <w:rFonts w:asciiTheme="minorHAnsi" w:hAnsiTheme="minorHAnsi"/>
          <w:sz w:val="22"/>
        </w:rPr>
        <w:t xml:space="preserve"> rozdzielcza</w:t>
      </w:r>
      <w:r w:rsidR="007869B6" w:rsidRPr="00563EF2">
        <w:rPr>
          <w:rFonts w:asciiTheme="minorHAnsi" w:hAnsiTheme="minorHAnsi"/>
          <w:sz w:val="22"/>
        </w:rPr>
        <w:t xml:space="preserve"> rozciąga się na </w:t>
      </w:r>
      <w:r w:rsidR="00AD2AF1" w:rsidRPr="00563EF2">
        <w:rPr>
          <w:rFonts w:asciiTheme="minorHAnsi" w:hAnsiTheme="minorHAnsi"/>
          <w:sz w:val="22"/>
        </w:rPr>
        <w:t>196,1 km.</w:t>
      </w:r>
      <w:r w:rsidR="007869B6" w:rsidRPr="00563EF2">
        <w:rPr>
          <w:rFonts w:asciiTheme="minorHAnsi" w:hAnsiTheme="minorHAnsi"/>
          <w:sz w:val="22"/>
        </w:rPr>
        <w:t xml:space="preserve"> </w:t>
      </w:r>
    </w:p>
    <w:p w:rsidR="0008274D" w:rsidRPr="00563EF2" w:rsidRDefault="0008274D" w:rsidP="00FD7676">
      <w:pPr>
        <w:rPr>
          <w:rFonts w:asciiTheme="minorHAnsi" w:hAnsiTheme="minorHAnsi"/>
          <w:sz w:val="22"/>
        </w:rPr>
      </w:pPr>
    </w:p>
    <w:p w:rsidR="006C7157" w:rsidRDefault="00A7721D" w:rsidP="00FD7676">
      <w:pPr>
        <w:spacing w:after="160"/>
        <w:rPr>
          <w:rFonts w:asciiTheme="minorHAnsi" w:hAnsiTheme="minorHAnsi"/>
          <w:sz w:val="22"/>
        </w:rPr>
      </w:pPr>
      <w:r w:rsidRPr="00563EF2">
        <w:rPr>
          <w:rFonts w:asciiTheme="minorHAnsi" w:hAnsiTheme="minorHAnsi"/>
          <w:sz w:val="22"/>
        </w:rPr>
        <w:t>W ostatnich latach Miasto i miejskie przedsiębiorstwa komunalne zrea</w:t>
      </w:r>
      <w:r w:rsidR="00BC5391">
        <w:rPr>
          <w:rFonts w:asciiTheme="minorHAnsi" w:hAnsiTheme="minorHAnsi"/>
          <w:sz w:val="22"/>
        </w:rPr>
        <w:t>lizowały szereg inwestycji w </w:t>
      </w:r>
      <w:r w:rsidR="005E5295" w:rsidRPr="00563EF2">
        <w:rPr>
          <w:rFonts w:asciiTheme="minorHAnsi" w:hAnsiTheme="minorHAnsi"/>
          <w:sz w:val="22"/>
        </w:rPr>
        <w:t>po</w:t>
      </w:r>
      <w:r w:rsidR="001B1AB1">
        <w:rPr>
          <w:rFonts w:asciiTheme="minorHAnsi" w:hAnsiTheme="minorHAnsi"/>
          <w:sz w:val="22"/>
        </w:rPr>
        <w:t>prawę funkcjonowania</w:t>
      </w:r>
      <w:r w:rsidRPr="00563EF2">
        <w:rPr>
          <w:rFonts w:asciiTheme="minorHAnsi" w:hAnsiTheme="minorHAnsi"/>
          <w:sz w:val="22"/>
        </w:rPr>
        <w:t xml:space="preserve"> usług komunalnych i zaopatrzenia mieszkańców w  podstawowe media.</w:t>
      </w:r>
      <w:r w:rsidR="005E5295" w:rsidRPr="00563EF2">
        <w:rPr>
          <w:rFonts w:asciiTheme="minorHAnsi" w:hAnsiTheme="minorHAnsi"/>
          <w:sz w:val="22"/>
        </w:rPr>
        <w:t xml:space="preserve"> </w:t>
      </w:r>
      <w:r w:rsidR="006C7157" w:rsidRPr="006C7157">
        <w:rPr>
          <w:rFonts w:asciiTheme="minorHAnsi" w:hAnsiTheme="minorHAnsi"/>
          <w:sz w:val="22"/>
        </w:rPr>
        <w:t>W roku 2013 Legnickie Przedsiębiorstwo Wodociągów i Kanalizacji S.A. uruchomiło nowy układ przygotowania ciepłej wody użytkowej, w skład którego wchodzi m.in. pompa ciepła. Zainstalowana pompa, dzięki odzyskowi ciepła z wody uzdatnianej przez LPWIK S.A., zmniejszy zapotrzebowanie Spółki na energię elektryczną, używaną wcześniej do podgrzewania wody użytkowej, wykorzystywanej na potrzeby Spółki.</w:t>
      </w:r>
    </w:p>
    <w:p w:rsidR="006C7157" w:rsidRDefault="006C7157" w:rsidP="00FD7676">
      <w:pPr>
        <w:spacing w:after="160"/>
        <w:rPr>
          <w:rFonts w:asciiTheme="minorHAnsi" w:hAnsiTheme="minorHAnsi"/>
          <w:sz w:val="22"/>
        </w:rPr>
      </w:pPr>
      <w:r w:rsidRPr="006C7157">
        <w:rPr>
          <w:rFonts w:asciiTheme="minorHAnsi" w:hAnsiTheme="minorHAnsi"/>
          <w:sz w:val="22"/>
        </w:rPr>
        <w:t>W roku 2011 i</w:t>
      </w:r>
      <w:r w:rsidR="001B1AB1">
        <w:rPr>
          <w:rFonts w:asciiTheme="minorHAnsi" w:hAnsiTheme="minorHAnsi"/>
          <w:sz w:val="22"/>
        </w:rPr>
        <w:t xml:space="preserve"> 2013 przedsiębiorstwo zakupiło</w:t>
      </w:r>
      <w:r w:rsidRPr="006C7157">
        <w:rPr>
          <w:rFonts w:asciiTheme="minorHAnsi" w:hAnsiTheme="minorHAnsi"/>
          <w:sz w:val="22"/>
        </w:rPr>
        <w:t xml:space="preserve"> nowoczesne samochody specjalistyczne do hydrodynamicznego udrażniania sieci kanalizacyjnej z układem odzysku wody firmy ASSMANN. Obecnie LPWiK S.A. posiada dwa pojazdy tego typu. Zastępują one sprzęt starszej generacji wykorzystywany dotychczas przez Spółkę i wycofywany z eksploatacji. Jeden taki samochód zastępuje dwa pojazd</w:t>
      </w:r>
      <w:r>
        <w:rPr>
          <w:rFonts w:asciiTheme="minorHAnsi" w:hAnsiTheme="minorHAnsi"/>
          <w:sz w:val="22"/>
        </w:rPr>
        <w:t>y jednofunkcyjne starego typu.</w:t>
      </w:r>
    </w:p>
    <w:p w:rsidR="006C7157" w:rsidRDefault="006C7157" w:rsidP="00FD7676">
      <w:pPr>
        <w:spacing w:after="160"/>
        <w:rPr>
          <w:rFonts w:asciiTheme="minorHAnsi" w:hAnsiTheme="minorHAnsi"/>
          <w:sz w:val="22"/>
        </w:rPr>
      </w:pPr>
      <w:r w:rsidRPr="006C7157">
        <w:rPr>
          <w:rFonts w:asciiTheme="minorHAnsi" w:hAnsiTheme="minorHAnsi"/>
          <w:sz w:val="22"/>
        </w:rPr>
        <w:t xml:space="preserve">Największą inwestycją zakończoną przez LPWiK S.A. w roku 2013 była „Modernizacja części gazowo </w:t>
      </w:r>
      <w:r w:rsidR="003C67A9">
        <w:rPr>
          <w:rFonts w:asciiTheme="minorHAnsi" w:hAnsiTheme="minorHAnsi"/>
          <w:sz w:val="22"/>
        </w:rPr>
        <w:t>–</w:t>
      </w:r>
      <w:r w:rsidRPr="006C7157">
        <w:rPr>
          <w:rFonts w:asciiTheme="minorHAnsi" w:hAnsiTheme="minorHAnsi"/>
          <w:sz w:val="22"/>
        </w:rPr>
        <w:t xml:space="preserve"> energetycznej</w:t>
      </w:r>
      <w:r w:rsidR="003C67A9">
        <w:rPr>
          <w:rFonts w:asciiTheme="minorHAnsi" w:hAnsiTheme="minorHAnsi"/>
          <w:sz w:val="22"/>
        </w:rPr>
        <w:t xml:space="preserve"> oczyszczalni ścieków</w:t>
      </w:r>
      <w:r w:rsidRPr="006C7157">
        <w:rPr>
          <w:rFonts w:asciiTheme="minorHAnsi" w:hAnsiTheme="minorHAnsi"/>
          <w:sz w:val="22"/>
        </w:rPr>
        <w:t>, w tym: instalacji biogazu z wprowadzeniem kogeneracj</w:t>
      </w:r>
      <w:r w:rsidR="00BC5391">
        <w:rPr>
          <w:rFonts w:asciiTheme="minorHAnsi" w:hAnsiTheme="minorHAnsi"/>
          <w:sz w:val="22"/>
        </w:rPr>
        <w:t>i, modernizacji układu nadawy i </w:t>
      </w:r>
      <w:r w:rsidRPr="006C7157">
        <w:rPr>
          <w:rFonts w:asciiTheme="minorHAnsi" w:hAnsiTheme="minorHAnsi"/>
          <w:sz w:val="22"/>
        </w:rPr>
        <w:t>odbioru osadu”. W ramach zadania przeprowadzono między innymi modernizację instalacji biogazu oraz wprowadzono nowy proces tj. pozyskanie energii elektryczne</w:t>
      </w:r>
      <w:r w:rsidR="00BC5391">
        <w:rPr>
          <w:rFonts w:asciiTheme="minorHAnsi" w:hAnsiTheme="minorHAnsi"/>
          <w:sz w:val="22"/>
        </w:rPr>
        <w:t>j i cieplnej poprzez spalanie w </w:t>
      </w:r>
      <w:r w:rsidRPr="006C7157">
        <w:rPr>
          <w:rFonts w:asciiTheme="minorHAnsi" w:hAnsiTheme="minorHAnsi"/>
          <w:sz w:val="22"/>
        </w:rPr>
        <w:t>agregatach kogeneracyjnych biogazu wytwarzanego w procesie oczyszczania ścieków. Bardzo istotnym elementem zrealizowanego zadania jest hermetyzacja otwartych obiektów stanowiących istotne źródło substancji złowonnych. Powietrze z tych obiektów ujmowa</w:t>
      </w:r>
      <w:r w:rsidR="00BC5391">
        <w:rPr>
          <w:rFonts w:asciiTheme="minorHAnsi" w:hAnsiTheme="minorHAnsi"/>
          <w:sz w:val="22"/>
        </w:rPr>
        <w:t>ne jest systemem wentylatorów i </w:t>
      </w:r>
      <w:r w:rsidRPr="006C7157">
        <w:rPr>
          <w:rFonts w:asciiTheme="minorHAnsi" w:hAnsiTheme="minorHAnsi"/>
          <w:sz w:val="22"/>
        </w:rPr>
        <w:t>oczyszczane w biofiltrze.</w:t>
      </w:r>
    </w:p>
    <w:p w:rsidR="00EA20F4" w:rsidRDefault="00EA20F4" w:rsidP="00FD7676">
      <w:pPr>
        <w:spacing w:after="160"/>
        <w:rPr>
          <w:rFonts w:asciiTheme="minorHAnsi" w:hAnsiTheme="minorHAnsi"/>
          <w:sz w:val="22"/>
        </w:rPr>
      </w:pPr>
      <w:r>
        <w:rPr>
          <w:rFonts w:asciiTheme="minorHAnsi" w:hAnsiTheme="minorHAnsi"/>
          <w:sz w:val="22"/>
        </w:rPr>
        <w:t>Obecnie z usług oczyszczalni ścieków korzysta 97% mieszkańców, część mieszkańców korzysta bowiem z szamb przydomowych</w:t>
      </w:r>
      <w:r w:rsidR="001B1AB1">
        <w:rPr>
          <w:rFonts w:asciiTheme="minorHAnsi" w:hAnsiTheme="minorHAnsi"/>
          <w:sz w:val="22"/>
        </w:rPr>
        <w:t>,</w:t>
      </w:r>
      <w:r>
        <w:rPr>
          <w:rFonts w:asciiTheme="minorHAnsi" w:hAnsiTheme="minorHAnsi"/>
          <w:sz w:val="22"/>
        </w:rPr>
        <w:t xml:space="preserve"> z których wg. szacunków LPWiK S.A. około 70% ścieków trafia do oczyszczalni. </w:t>
      </w:r>
    </w:p>
    <w:p w:rsidR="006C7157" w:rsidRPr="00563EF2" w:rsidRDefault="006C7157" w:rsidP="00FD7676">
      <w:pPr>
        <w:spacing w:after="160"/>
        <w:rPr>
          <w:rFonts w:asciiTheme="minorHAnsi" w:hAnsiTheme="minorHAnsi"/>
          <w:sz w:val="22"/>
        </w:rPr>
      </w:pPr>
      <w:r w:rsidRPr="006C7157">
        <w:rPr>
          <w:rFonts w:asciiTheme="minorHAnsi" w:hAnsiTheme="minorHAnsi"/>
          <w:sz w:val="22"/>
        </w:rPr>
        <w:t>Spółka sukcesywnie, każdego roku prowadzi budowę, remont, modernizację lub wymianę sieci, armatury oraz przyłączy na terenie miasta, co wpływa znacząco na poprawę jakości usług świadczonych przez LPWiK S.A. na rzecz mieszkańców Legnicy. </w:t>
      </w:r>
    </w:p>
    <w:p w:rsidR="00DD13FA" w:rsidRDefault="00DD13FA" w:rsidP="00EC5484">
      <w:pPr>
        <w:pStyle w:val="Nagwek3"/>
      </w:pPr>
      <w:bookmarkStart w:id="46" w:name="_Toc399756333"/>
      <w:r w:rsidRPr="00563EF2">
        <w:rPr>
          <w:b w:val="0"/>
        </w:rPr>
        <w:t>Gazownictwo</w:t>
      </w:r>
      <w:bookmarkEnd w:id="46"/>
    </w:p>
    <w:p w:rsidR="00BB2FEC" w:rsidRPr="00BB2FEC" w:rsidRDefault="00BB2FEC" w:rsidP="00BB2FEC"/>
    <w:p w:rsidR="00761267" w:rsidRPr="00563EF2" w:rsidRDefault="00761267" w:rsidP="00FD7676">
      <w:pPr>
        <w:spacing w:after="160"/>
        <w:rPr>
          <w:rFonts w:asciiTheme="minorHAnsi" w:hAnsiTheme="minorHAnsi"/>
          <w:sz w:val="22"/>
        </w:rPr>
      </w:pPr>
      <w:r w:rsidRPr="00563EF2">
        <w:rPr>
          <w:rFonts w:asciiTheme="minorHAnsi" w:hAnsiTheme="minorHAnsi"/>
          <w:sz w:val="22"/>
        </w:rPr>
        <w:t>Sieć gazowa w Legnicy eksploatowana jest przez Dolnośląską Spółkę Gazownictwa sp. z o.o. we Wrocławiu Wydział Legnica.</w:t>
      </w:r>
    </w:p>
    <w:p w:rsidR="00DD13FA" w:rsidRPr="00563EF2" w:rsidRDefault="005E5295" w:rsidP="00FD7676">
      <w:pPr>
        <w:spacing w:after="160"/>
        <w:rPr>
          <w:rFonts w:asciiTheme="minorHAnsi" w:hAnsiTheme="minorHAnsi"/>
          <w:sz w:val="22"/>
        </w:rPr>
      </w:pPr>
      <w:r w:rsidRPr="00563EF2">
        <w:rPr>
          <w:rFonts w:asciiTheme="minorHAnsi" w:hAnsiTheme="minorHAnsi"/>
          <w:sz w:val="22"/>
        </w:rPr>
        <w:t>Gazownictwo zaopatruje 93,9% ludności Legnicy, a sieć rozdzielcza gazu ziemnego wzrosła w latach 2006-2012 o 16,8 km.</w:t>
      </w:r>
      <w:r w:rsidR="00761267" w:rsidRPr="00563EF2">
        <w:rPr>
          <w:rFonts w:asciiTheme="minorHAnsi" w:hAnsiTheme="minorHAnsi"/>
          <w:sz w:val="22"/>
        </w:rPr>
        <w:t xml:space="preserve"> W ostatnich latach zmodernizowano i poprawiono parametry techniczne sieci gazowej w rejonie ulic: Złotoryjskiej, Mikołaja Reja i Władysława Grabskiego ( koszt inwestycji wynosił 624 670.44 zł , z czego dofinansowanie z EFRR 135 600.00 zł).</w:t>
      </w:r>
    </w:p>
    <w:p w:rsidR="00DD13FA" w:rsidRDefault="00DD13FA" w:rsidP="00EC5484">
      <w:pPr>
        <w:pStyle w:val="Nagwek3"/>
      </w:pPr>
      <w:bookmarkStart w:id="47" w:name="_Toc399756334"/>
      <w:r w:rsidRPr="00563EF2">
        <w:rPr>
          <w:b w:val="0"/>
        </w:rPr>
        <w:t>Energetyka</w:t>
      </w:r>
      <w:bookmarkEnd w:id="47"/>
    </w:p>
    <w:p w:rsidR="00BB2FEC" w:rsidRPr="00BB2FEC" w:rsidRDefault="00BB2FEC" w:rsidP="00BB2FEC"/>
    <w:p w:rsidR="00DB47B2" w:rsidRPr="00563EF2" w:rsidRDefault="000F308A" w:rsidP="00FD7676">
      <w:pPr>
        <w:spacing w:after="160"/>
        <w:rPr>
          <w:rFonts w:asciiTheme="minorHAnsi" w:hAnsiTheme="minorHAnsi"/>
          <w:sz w:val="22"/>
        </w:rPr>
      </w:pPr>
      <w:r w:rsidRPr="00563EF2">
        <w:rPr>
          <w:rFonts w:asciiTheme="minorHAnsi" w:hAnsiTheme="minorHAnsi"/>
          <w:sz w:val="22"/>
        </w:rPr>
        <w:t>Zaopatrzenie w energię elektryczną w mieście Legnica realizowane jest przez Tauron Polska Energia S.A. Firma jest własnością Skarbu Państwa, a spółk</w:t>
      </w:r>
      <w:r w:rsidR="001B1AB1">
        <w:rPr>
          <w:rFonts w:asciiTheme="minorHAnsi" w:hAnsiTheme="minorHAnsi"/>
          <w:sz w:val="22"/>
        </w:rPr>
        <w:t>i będące w Grupie Tauron zajmują</w:t>
      </w:r>
      <w:r w:rsidRPr="00563EF2">
        <w:rPr>
          <w:rFonts w:asciiTheme="minorHAnsi" w:hAnsiTheme="minorHAnsi"/>
          <w:sz w:val="22"/>
        </w:rPr>
        <w:t xml:space="preserve"> się zarówno dystrybucją, jak i sprzedażą energii elektrycznej na terenie miasta. Udzielona spółce koncesja obejmuje wykonanie przez Spółkę działalności gospodarczej polegającej na dystrybucji energii elektrycznej sieciami rozdzielczymi o napięciach 110 kV, 30 kV, 20 kV, 15 kV, 10 kV, 6 kV oraz sieciami niskich napięć. Na terenie Legnicy nie funkcjonują jednostki wytwarzające energię elektryczną na użytek komercyjny, Elektrociepłownia EC-4 Legnica wytwarza i dostarcza energię elektryczną na potrzeby Oddziałów KGHM Polska Miedź S.A. </w:t>
      </w:r>
      <w:r w:rsidRPr="00563EF2">
        <w:rPr>
          <w:rStyle w:val="Odwoanieprzypisudolnego"/>
          <w:rFonts w:asciiTheme="minorHAnsi" w:hAnsiTheme="minorHAnsi"/>
          <w:sz w:val="22"/>
        </w:rPr>
        <w:footnoteReference w:id="27"/>
      </w:r>
      <w:r w:rsidRPr="00563EF2">
        <w:rPr>
          <w:rFonts w:asciiTheme="minorHAnsi" w:hAnsiTheme="minorHAnsi"/>
          <w:sz w:val="22"/>
        </w:rPr>
        <w:t xml:space="preserve"> </w:t>
      </w:r>
    </w:p>
    <w:p w:rsidR="002C473A" w:rsidRDefault="002C473A" w:rsidP="00EC5484">
      <w:pPr>
        <w:pStyle w:val="Nagwek3"/>
        <w:rPr>
          <w:b w:val="0"/>
        </w:rPr>
      </w:pPr>
      <w:r>
        <w:rPr>
          <w:b w:val="0"/>
        </w:rPr>
        <w:br w:type="page"/>
      </w:r>
    </w:p>
    <w:p w:rsidR="00B05348" w:rsidRDefault="00B05348" w:rsidP="00EC5484">
      <w:pPr>
        <w:pStyle w:val="Nagwek3"/>
        <w:rPr>
          <w:b w:val="0"/>
        </w:rPr>
      </w:pPr>
      <w:bookmarkStart w:id="48" w:name="_Toc399756335"/>
    </w:p>
    <w:p w:rsidR="00DD13FA" w:rsidRDefault="00DD13FA" w:rsidP="00EC5484">
      <w:pPr>
        <w:pStyle w:val="Nagwek3"/>
      </w:pPr>
      <w:r w:rsidRPr="00563EF2">
        <w:rPr>
          <w:b w:val="0"/>
        </w:rPr>
        <w:t>Gospodarka odpadami</w:t>
      </w:r>
      <w:bookmarkEnd w:id="48"/>
    </w:p>
    <w:p w:rsidR="00BB2FEC" w:rsidRPr="00BB2FEC" w:rsidRDefault="00BB2FEC" w:rsidP="00BB2FEC"/>
    <w:p w:rsidR="00DD13FA" w:rsidRPr="00563EF2" w:rsidRDefault="00DD13FA" w:rsidP="00DD13FA">
      <w:pPr>
        <w:spacing w:after="160"/>
        <w:rPr>
          <w:rFonts w:asciiTheme="minorHAnsi" w:hAnsiTheme="minorHAnsi"/>
          <w:sz w:val="22"/>
        </w:rPr>
      </w:pPr>
      <w:r w:rsidRPr="00563EF2">
        <w:rPr>
          <w:rFonts w:asciiTheme="minorHAnsi" w:hAnsiTheme="minorHAnsi"/>
          <w:sz w:val="22"/>
        </w:rPr>
        <w:t>Na koniec 2011 r. na terenie Legnicy znajdowały się cztery miejsca, gdzie składowano odpady przemysłowe. Dwa były zarządzane przez Hutę Miedzi Legnica</w:t>
      </w:r>
      <w:r w:rsidR="001B1AB1">
        <w:rPr>
          <w:rFonts w:asciiTheme="minorHAnsi" w:hAnsiTheme="minorHAnsi"/>
          <w:sz w:val="22"/>
        </w:rPr>
        <w:t>,</w:t>
      </w:r>
      <w:r w:rsidRPr="00563EF2">
        <w:rPr>
          <w:rFonts w:asciiTheme="minorHAnsi" w:hAnsiTheme="minorHAnsi"/>
          <w:sz w:val="22"/>
        </w:rPr>
        <w:t xml:space="preserve"> a dwa kolejne przez Energetykę Sp. z o.o. z siedzibą w Lubinie. Ponadto na terenie Legnicy mieszczą się cztery składowiska odpadów niebezpiecznych należące do Huty Miedzi Legnica. </w:t>
      </w:r>
      <w:r w:rsidRPr="00563EF2">
        <w:rPr>
          <w:rStyle w:val="Odwoanieprzypisudolnego"/>
          <w:rFonts w:asciiTheme="minorHAnsi" w:hAnsiTheme="minorHAnsi"/>
          <w:sz w:val="22"/>
        </w:rPr>
        <w:footnoteReference w:id="28"/>
      </w:r>
    </w:p>
    <w:p w:rsidR="004066A4" w:rsidRDefault="00E75753" w:rsidP="00FA669E">
      <w:pPr>
        <w:spacing w:after="160"/>
        <w:rPr>
          <w:rFonts w:asciiTheme="minorHAnsi" w:hAnsiTheme="minorHAnsi"/>
          <w:sz w:val="22"/>
        </w:rPr>
      </w:pPr>
      <w:r>
        <w:rPr>
          <w:rFonts w:asciiTheme="minorHAnsi" w:hAnsiTheme="minorHAnsi"/>
          <w:sz w:val="22"/>
        </w:rPr>
        <w:t>Odpady komunalne przetwarzane są w Regionalnej Instalacji Przetwarzania</w:t>
      </w:r>
      <w:r w:rsidR="004066A4">
        <w:rPr>
          <w:rFonts w:asciiTheme="minorHAnsi" w:hAnsiTheme="minorHAnsi"/>
          <w:sz w:val="22"/>
        </w:rPr>
        <w:t xml:space="preserve"> Odpadów Komunalnych</w:t>
      </w:r>
      <w:r w:rsidR="00E2003A">
        <w:rPr>
          <w:rFonts w:asciiTheme="minorHAnsi" w:hAnsiTheme="minorHAnsi"/>
          <w:sz w:val="22"/>
        </w:rPr>
        <w:t xml:space="preserve"> przy ul. Rzeszotarskiej</w:t>
      </w:r>
      <w:r w:rsidR="001B1AB1">
        <w:rPr>
          <w:rFonts w:asciiTheme="minorHAnsi" w:hAnsiTheme="minorHAnsi"/>
          <w:sz w:val="22"/>
        </w:rPr>
        <w:t>,</w:t>
      </w:r>
      <w:r>
        <w:rPr>
          <w:rFonts w:asciiTheme="minorHAnsi" w:hAnsiTheme="minorHAnsi"/>
          <w:sz w:val="22"/>
        </w:rPr>
        <w:t xml:space="preserve"> należącej</w:t>
      </w:r>
      <w:r w:rsidR="00DD13FA" w:rsidRPr="00563EF2">
        <w:rPr>
          <w:rFonts w:asciiTheme="minorHAnsi" w:hAnsiTheme="minorHAnsi"/>
          <w:sz w:val="22"/>
        </w:rPr>
        <w:t xml:space="preserve"> do Legnickiego Przedsiębiorstwa Gospodarki Komuna</w:t>
      </w:r>
      <w:r w:rsidR="004066A4">
        <w:rPr>
          <w:rFonts w:asciiTheme="minorHAnsi" w:hAnsiTheme="minorHAnsi"/>
          <w:sz w:val="22"/>
        </w:rPr>
        <w:t>ln</w:t>
      </w:r>
      <w:r w:rsidR="00BC5391">
        <w:rPr>
          <w:rFonts w:asciiTheme="minorHAnsi" w:hAnsiTheme="minorHAnsi"/>
          <w:sz w:val="22"/>
        </w:rPr>
        <w:t>ej Sp. z o.o. w </w:t>
      </w:r>
      <w:r w:rsidR="004066A4">
        <w:rPr>
          <w:rFonts w:asciiTheme="minorHAnsi" w:hAnsiTheme="minorHAnsi"/>
          <w:sz w:val="22"/>
        </w:rPr>
        <w:t>Legnicy, ponadto na terenie miasta funkcjonują dwa Punkty Selektywnej Zbiórki Odpadów</w:t>
      </w:r>
      <w:r w:rsidR="00E2003A">
        <w:rPr>
          <w:rFonts w:asciiTheme="minorHAnsi" w:hAnsiTheme="minorHAnsi"/>
          <w:sz w:val="22"/>
        </w:rPr>
        <w:t xml:space="preserve"> Komunalnych przy ul. Nowodworskiej i ul. Rzeszotarskiej</w:t>
      </w:r>
      <w:r w:rsidR="004066A4">
        <w:rPr>
          <w:rFonts w:asciiTheme="minorHAnsi" w:hAnsiTheme="minorHAnsi"/>
          <w:sz w:val="22"/>
        </w:rPr>
        <w:t>.</w:t>
      </w:r>
    </w:p>
    <w:p w:rsidR="004066A4" w:rsidRDefault="00E71B5E" w:rsidP="00FA669E">
      <w:pPr>
        <w:spacing w:after="160"/>
        <w:rPr>
          <w:rFonts w:asciiTheme="minorHAnsi" w:hAnsiTheme="minorHAnsi"/>
          <w:sz w:val="22"/>
        </w:rPr>
      </w:pPr>
      <w:r>
        <w:rPr>
          <w:rFonts w:asciiTheme="minorHAnsi" w:hAnsiTheme="minorHAnsi"/>
          <w:sz w:val="22"/>
        </w:rPr>
        <w:t>Zgodnie z Uchwałą</w:t>
      </w:r>
      <w:r w:rsidR="00FA669E" w:rsidRPr="00FA669E">
        <w:rPr>
          <w:rFonts w:asciiTheme="minorHAnsi" w:hAnsiTheme="minorHAnsi"/>
          <w:sz w:val="22"/>
        </w:rPr>
        <w:t xml:space="preserve"> Nr XXIV/617/12 Sejmiku Województwa Dolnośląskiego z </w:t>
      </w:r>
      <w:r w:rsidR="00700661">
        <w:rPr>
          <w:rFonts w:asciiTheme="minorHAnsi" w:hAnsiTheme="minorHAnsi"/>
          <w:sz w:val="22"/>
        </w:rPr>
        <w:t>27 czerwca 2012 r. w </w:t>
      </w:r>
      <w:r w:rsidR="00FA669E" w:rsidRPr="00FA669E">
        <w:rPr>
          <w:rFonts w:asciiTheme="minorHAnsi" w:hAnsiTheme="minorHAnsi"/>
          <w:sz w:val="22"/>
        </w:rPr>
        <w:t>sprawie wykonania Wojewódzkiego Planu Gospodarki Odpadami dla Województwa Dolnośląskiego 2012 z poźn. zm. instalacje do przetwarzania odpadów</w:t>
      </w:r>
      <w:r w:rsidR="001B1AB1">
        <w:rPr>
          <w:rFonts w:asciiTheme="minorHAnsi" w:hAnsiTheme="minorHAnsi"/>
          <w:sz w:val="22"/>
        </w:rPr>
        <w:t>,</w:t>
      </w:r>
      <w:r w:rsidR="00FA669E" w:rsidRPr="00FA669E">
        <w:rPr>
          <w:rFonts w:asciiTheme="minorHAnsi" w:hAnsiTheme="minorHAnsi"/>
          <w:sz w:val="22"/>
        </w:rPr>
        <w:t xml:space="preserve"> należące do Legnickiego Przedsiębiorstwa Gospodarki Komunalnej Spółka z o.o. w Legnicy utworzyły Regionalną Instalację Przetwarzania Odpadów Komunalnych</w:t>
      </w:r>
      <w:r w:rsidR="00FA669E">
        <w:rPr>
          <w:rFonts w:asciiTheme="minorHAnsi" w:hAnsiTheme="minorHAnsi"/>
          <w:sz w:val="22"/>
        </w:rPr>
        <w:t xml:space="preserve"> (RIPOK)</w:t>
      </w:r>
      <w:r w:rsidR="00FA669E" w:rsidRPr="00FA669E">
        <w:rPr>
          <w:rFonts w:asciiTheme="minorHAnsi" w:hAnsiTheme="minorHAnsi"/>
          <w:sz w:val="22"/>
        </w:rPr>
        <w:t xml:space="preserve"> w regionie północnym województwa dolnośląskiego.</w:t>
      </w:r>
      <w:r w:rsidR="00FA669E">
        <w:rPr>
          <w:rFonts w:asciiTheme="minorHAnsi" w:hAnsiTheme="minorHAnsi"/>
          <w:sz w:val="22"/>
        </w:rPr>
        <w:t xml:space="preserve"> Jej podstawową działalnością</w:t>
      </w:r>
      <w:r w:rsidR="00FA669E" w:rsidRPr="00FA669E">
        <w:rPr>
          <w:rFonts w:asciiTheme="minorHAnsi" w:hAnsiTheme="minorHAnsi"/>
          <w:sz w:val="22"/>
        </w:rPr>
        <w:t xml:space="preserve"> jest odzysk i unieszkodliwianie opadów. Do instalacji przyjmowan</w:t>
      </w:r>
      <w:r>
        <w:rPr>
          <w:rFonts w:asciiTheme="minorHAnsi" w:hAnsiTheme="minorHAnsi"/>
          <w:sz w:val="22"/>
        </w:rPr>
        <w:t>e są zmieszane odpady komunalne, odpady z selektywnej zbiórki oraz</w:t>
      </w:r>
      <w:r w:rsidR="00FA669E" w:rsidRPr="00FA669E">
        <w:rPr>
          <w:rFonts w:asciiTheme="minorHAnsi" w:hAnsiTheme="minorHAnsi"/>
          <w:sz w:val="22"/>
        </w:rPr>
        <w:t xml:space="preserve"> odpady biodegradowalne. Odpady poddawane są przetwarzaniu czyli sortowaniu, rozdrabnianiu, kompostowaniu, które stanowią procesy odzysku.</w:t>
      </w:r>
      <w:r w:rsidR="00E75753">
        <w:rPr>
          <w:rFonts w:asciiTheme="minorHAnsi" w:hAnsiTheme="minorHAnsi"/>
          <w:sz w:val="22"/>
        </w:rPr>
        <w:t xml:space="preserve"> Pozostałości po procesach odzysku są unieszkodliwiane poprzez składowanie.</w:t>
      </w:r>
    </w:p>
    <w:p w:rsidR="00FA669E" w:rsidRPr="00FA669E" w:rsidRDefault="00FA669E" w:rsidP="00FA669E">
      <w:pPr>
        <w:spacing w:after="160"/>
        <w:rPr>
          <w:rFonts w:asciiTheme="minorHAnsi" w:hAnsiTheme="minorHAnsi"/>
          <w:sz w:val="22"/>
        </w:rPr>
      </w:pPr>
      <w:r w:rsidRPr="00563EF2">
        <w:rPr>
          <w:rFonts w:asciiTheme="minorHAnsi" w:hAnsiTheme="minorHAnsi"/>
          <w:sz w:val="22"/>
        </w:rPr>
        <w:t>LPGK S</w:t>
      </w:r>
      <w:r w:rsidR="00E75753">
        <w:rPr>
          <w:rFonts w:asciiTheme="minorHAnsi" w:hAnsiTheme="minorHAnsi"/>
          <w:sz w:val="22"/>
        </w:rPr>
        <w:t>p</w:t>
      </w:r>
      <w:r w:rsidRPr="00563EF2">
        <w:rPr>
          <w:rFonts w:asciiTheme="minorHAnsi" w:hAnsiTheme="minorHAnsi"/>
          <w:sz w:val="22"/>
        </w:rPr>
        <w:t>.</w:t>
      </w:r>
      <w:r w:rsidR="00E75753">
        <w:rPr>
          <w:rFonts w:asciiTheme="minorHAnsi" w:hAnsiTheme="minorHAnsi"/>
          <w:sz w:val="22"/>
        </w:rPr>
        <w:t xml:space="preserve"> z o</w:t>
      </w:r>
      <w:r w:rsidRPr="00563EF2">
        <w:rPr>
          <w:rFonts w:asciiTheme="minorHAnsi" w:hAnsiTheme="minorHAnsi"/>
          <w:sz w:val="22"/>
        </w:rPr>
        <w:t>.</w:t>
      </w:r>
      <w:r w:rsidR="00E75753">
        <w:rPr>
          <w:rFonts w:asciiTheme="minorHAnsi" w:hAnsiTheme="minorHAnsi"/>
          <w:sz w:val="22"/>
        </w:rPr>
        <w:t>o.</w:t>
      </w:r>
      <w:r w:rsidRPr="00563EF2">
        <w:rPr>
          <w:rFonts w:asciiTheme="minorHAnsi" w:hAnsiTheme="minorHAnsi"/>
          <w:sz w:val="22"/>
        </w:rPr>
        <w:t xml:space="preserve"> zrealizowało w ostatnich latach liczne inwesty</w:t>
      </w:r>
      <w:r>
        <w:rPr>
          <w:rFonts w:asciiTheme="minorHAnsi" w:hAnsiTheme="minorHAnsi"/>
          <w:sz w:val="22"/>
        </w:rPr>
        <w:t>cje: oddano do użytku instalacje</w:t>
      </w:r>
      <w:r w:rsidRPr="00563EF2">
        <w:rPr>
          <w:rFonts w:asciiTheme="minorHAnsi" w:hAnsiTheme="minorHAnsi"/>
          <w:sz w:val="22"/>
        </w:rPr>
        <w:t xml:space="preserve"> do ujmowania i energetycznego wykorzystania gazu składowiskowego, wybudowan</w:t>
      </w:r>
      <w:r w:rsidR="00E75753">
        <w:rPr>
          <w:rFonts w:asciiTheme="minorHAnsi" w:hAnsiTheme="minorHAnsi"/>
          <w:sz w:val="22"/>
        </w:rPr>
        <w:t>o boksy na surowce wtórne, zakupion</w:t>
      </w:r>
      <w:r w:rsidRPr="00563EF2">
        <w:rPr>
          <w:rFonts w:asciiTheme="minorHAnsi" w:hAnsiTheme="minorHAnsi"/>
          <w:sz w:val="22"/>
        </w:rPr>
        <w:t>o belownicę, kompaktor i mobilną linię do dwuetapowego oddzielania frakcji drobnej ze zmieszanych odpadów</w:t>
      </w:r>
      <w:r w:rsidR="00E75753">
        <w:rPr>
          <w:rFonts w:asciiTheme="minorHAnsi" w:hAnsiTheme="minorHAnsi"/>
          <w:sz w:val="22"/>
        </w:rPr>
        <w:t xml:space="preserve"> komunalnych</w:t>
      </w:r>
      <w:r w:rsidRPr="00563EF2">
        <w:rPr>
          <w:rFonts w:asciiTheme="minorHAnsi" w:hAnsiTheme="minorHAnsi"/>
          <w:sz w:val="22"/>
        </w:rPr>
        <w:t>,</w:t>
      </w:r>
      <w:r w:rsidR="00E75753">
        <w:rPr>
          <w:rFonts w:asciiTheme="minorHAnsi" w:hAnsiTheme="minorHAnsi"/>
          <w:sz w:val="22"/>
        </w:rPr>
        <w:t xml:space="preserve"> kruszarkę do odpadów betonowych i podobnych,</w:t>
      </w:r>
      <w:r w:rsidRPr="00563EF2">
        <w:rPr>
          <w:rFonts w:asciiTheme="minorHAnsi" w:hAnsiTheme="minorHAnsi"/>
          <w:sz w:val="22"/>
        </w:rPr>
        <w:t xml:space="preserve"> wybudowano kompostownię odpadów w systemie pryzmowym  (koszt – 11 mln zł) ora</w:t>
      </w:r>
      <w:r w:rsidR="00E71B5E">
        <w:rPr>
          <w:rFonts w:asciiTheme="minorHAnsi" w:hAnsiTheme="minorHAnsi"/>
          <w:sz w:val="22"/>
        </w:rPr>
        <w:t>z magazyn wielofunkcyjny. W 2014</w:t>
      </w:r>
      <w:r w:rsidRPr="00563EF2">
        <w:rPr>
          <w:rFonts w:asciiTheme="minorHAnsi" w:hAnsiTheme="minorHAnsi"/>
          <w:sz w:val="22"/>
        </w:rPr>
        <w:t xml:space="preserve"> r. </w:t>
      </w:r>
      <w:r w:rsidR="00E71B5E">
        <w:rPr>
          <w:rFonts w:asciiTheme="minorHAnsi" w:hAnsiTheme="minorHAnsi"/>
          <w:sz w:val="22"/>
        </w:rPr>
        <w:t>oddano do użytku</w:t>
      </w:r>
      <w:r w:rsidRPr="00563EF2">
        <w:rPr>
          <w:rFonts w:asciiTheme="minorHAnsi" w:hAnsiTheme="minorHAnsi"/>
          <w:sz w:val="22"/>
        </w:rPr>
        <w:t xml:space="preserve"> sortowni</w:t>
      </w:r>
      <w:r w:rsidR="00E71B5E">
        <w:rPr>
          <w:rFonts w:asciiTheme="minorHAnsi" w:hAnsiTheme="minorHAnsi"/>
          <w:sz w:val="22"/>
        </w:rPr>
        <w:t>ę</w:t>
      </w:r>
      <w:r w:rsidRPr="00563EF2">
        <w:rPr>
          <w:rFonts w:asciiTheme="minorHAnsi" w:hAnsiTheme="minorHAnsi"/>
          <w:sz w:val="22"/>
        </w:rPr>
        <w:t xml:space="preserve"> odpadów komunalny</w:t>
      </w:r>
      <w:r w:rsidR="00E71B5E">
        <w:rPr>
          <w:rFonts w:asciiTheme="minorHAnsi" w:hAnsiTheme="minorHAnsi"/>
          <w:sz w:val="22"/>
        </w:rPr>
        <w:t>ch</w:t>
      </w:r>
      <w:r w:rsidRPr="00563EF2">
        <w:rPr>
          <w:rFonts w:asciiTheme="minorHAnsi" w:hAnsiTheme="minorHAnsi"/>
          <w:sz w:val="22"/>
        </w:rPr>
        <w:t>, której szacowany koszt wynosi</w:t>
      </w:r>
      <w:r w:rsidR="00E71B5E">
        <w:rPr>
          <w:rFonts w:asciiTheme="minorHAnsi" w:hAnsiTheme="minorHAnsi"/>
          <w:sz w:val="22"/>
        </w:rPr>
        <w:t>ł</w:t>
      </w:r>
      <w:r w:rsidRPr="00563EF2">
        <w:rPr>
          <w:rFonts w:asciiTheme="minorHAnsi" w:hAnsiTheme="minorHAnsi"/>
          <w:sz w:val="22"/>
        </w:rPr>
        <w:t xml:space="preserve"> 10 mln zł.</w:t>
      </w:r>
      <w:r>
        <w:rPr>
          <w:rFonts w:asciiTheme="minorHAnsi" w:hAnsiTheme="minorHAnsi"/>
          <w:sz w:val="22"/>
        </w:rPr>
        <w:t xml:space="preserve"> Dzięki poczynionym inwestycjom RIPOK </w:t>
      </w:r>
      <w:r w:rsidR="004066A4">
        <w:rPr>
          <w:rFonts w:asciiTheme="minorHAnsi" w:hAnsiTheme="minorHAnsi"/>
          <w:sz w:val="22"/>
        </w:rPr>
        <w:t xml:space="preserve">w Legnicy </w:t>
      </w:r>
      <w:r>
        <w:rPr>
          <w:rFonts w:asciiTheme="minorHAnsi" w:hAnsiTheme="minorHAnsi"/>
          <w:sz w:val="22"/>
        </w:rPr>
        <w:t xml:space="preserve">może </w:t>
      </w:r>
      <w:r w:rsidR="004066A4">
        <w:rPr>
          <w:rFonts w:asciiTheme="minorHAnsi" w:hAnsiTheme="minorHAnsi"/>
          <w:sz w:val="22"/>
        </w:rPr>
        <w:t>realizować czynności w ramach następujących</w:t>
      </w:r>
      <w:r>
        <w:rPr>
          <w:rFonts w:asciiTheme="minorHAnsi" w:hAnsiTheme="minorHAnsi"/>
          <w:sz w:val="22"/>
        </w:rPr>
        <w:t xml:space="preserve"> procesów</w:t>
      </w:r>
      <w:r>
        <w:rPr>
          <w:rStyle w:val="Odwoanieprzypisudolnego"/>
          <w:rFonts w:asciiTheme="minorHAnsi" w:hAnsiTheme="minorHAnsi"/>
          <w:sz w:val="22"/>
        </w:rPr>
        <w:footnoteReference w:id="29"/>
      </w:r>
      <w:r>
        <w:rPr>
          <w:rFonts w:asciiTheme="minorHAnsi" w:hAnsiTheme="minorHAnsi"/>
          <w:sz w:val="22"/>
        </w:rPr>
        <w:t>:</w:t>
      </w:r>
    </w:p>
    <w:p w:rsidR="00FA669E" w:rsidRPr="00FA669E" w:rsidRDefault="00FA669E" w:rsidP="00E6635A">
      <w:pPr>
        <w:numPr>
          <w:ilvl w:val="0"/>
          <w:numId w:val="44"/>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mechaniczno- biologicznego przetwarzania odpadów komunalnych - MBP,</w:t>
      </w:r>
    </w:p>
    <w:p w:rsidR="00FA669E" w:rsidRPr="00FA669E" w:rsidRDefault="00FA669E" w:rsidP="00E6635A">
      <w:pPr>
        <w:numPr>
          <w:ilvl w:val="0"/>
          <w:numId w:val="44"/>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przetwarzania selektywnie zebranych bioodpadów</w:t>
      </w:r>
      <w:r w:rsidR="00E06643">
        <w:rPr>
          <w:rFonts w:asciiTheme="minorHAnsi" w:hAnsiTheme="minorHAnsi"/>
          <w:sz w:val="22"/>
        </w:rPr>
        <w:t xml:space="preserve"> i innych odpadów ulegających biodegradacji</w:t>
      </w:r>
      <w:r w:rsidRPr="00FA669E">
        <w:rPr>
          <w:rFonts w:asciiTheme="minorHAnsi" w:hAnsiTheme="minorHAnsi"/>
          <w:sz w:val="22"/>
        </w:rPr>
        <w:t>- Kompostownia,</w:t>
      </w:r>
    </w:p>
    <w:p w:rsidR="00FA669E" w:rsidRPr="00FA669E" w:rsidRDefault="00FA669E" w:rsidP="00E6635A">
      <w:pPr>
        <w:numPr>
          <w:ilvl w:val="0"/>
          <w:numId w:val="44"/>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składowania odpadów powst</w:t>
      </w:r>
      <w:r>
        <w:rPr>
          <w:rFonts w:asciiTheme="minorHAnsi" w:hAnsiTheme="minorHAnsi"/>
          <w:sz w:val="22"/>
        </w:rPr>
        <w:t>ających w procesie mechaniczno-</w:t>
      </w:r>
      <w:r w:rsidRPr="00FA669E">
        <w:rPr>
          <w:rFonts w:asciiTheme="minorHAnsi" w:hAnsiTheme="minorHAnsi"/>
          <w:sz w:val="22"/>
        </w:rPr>
        <w:t>biologicznego przetwarzania zmieszanych odpadów komunalnych - Składowisko.</w:t>
      </w:r>
    </w:p>
    <w:p w:rsidR="00FA669E" w:rsidRPr="00FA669E" w:rsidRDefault="00FA669E" w:rsidP="00FA669E">
      <w:pPr>
        <w:shd w:val="clear" w:color="auto" w:fill="FFFFFF" w:themeFill="background1"/>
        <w:spacing w:before="75" w:after="150" w:line="293" w:lineRule="atLeast"/>
        <w:ind w:right="300"/>
        <w:textAlignment w:val="baseline"/>
        <w:rPr>
          <w:rFonts w:asciiTheme="minorHAnsi" w:hAnsiTheme="minorHAnsi"/>
          <w:sz w:val="22"/>
        </w:rPr>
      </w:pPr>
      <w:r w:rsidRPr="00FA669E">
        <w:rPr>
          <w:rFonts w:asciiTheme="minorHAnsi" w:hAnsiTheme="minorHAnsi"/>
          <w:sz w:val="22"/>
        </w:rPr>
        <w:t>W skład Regionalnej Instalacji Przetwarzania Odpadów Komunalnych w Legnicy wchodzi</w:t>
      </w:r>
      <w:r w:rsidR="004066A4">
        <w:rPr>
          <w:rStyle w:val="Odwoanieprzypisudolnego"/>
          <w:rFonts w:asciiTheme="minorHAnsi" w:hAnsiTheme="minorHAnsi"/>
          <w:sz w:val="22"/>
        </w:rPr>
        <w:footnoteReference w:id="30"/>
      </w:r>
      <w:r w:rsidRPr="00FA669E">
        <w:rPr>
          <w:rFonts w:asciiTheme="minorHAnsi" w:hAnsiTheme="minorHAnsi"/>
          <w:sz w:val="22"/>
        </w:rPr>
        <w:t>:</w:t>
      </w:r>
    </w:p>
    <w:p w:rsidR="00FA669E" w:rsidRPr="00FA669E" w:rsidRDefault="00FA669E" w:rsidP="00E6635A">
      <w:pPr>
        <w:numPr>
          <w:ilvl w:val="0"/>
          <w:numId w:val="45"/>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Składowisko Odpadów Komunalnych,</w:t>
      </w:r>
    </w:p>
    <w:p w:rsidR="00FA669E" w:rsidRPr="00FA669E" w:rsidRDefault="00FA669E" w:rsidP="00E6635A">
      <w:pPr>
        <w:numPr>
          <w:ilvl w:val="0"/>
          <w:numId w:val="45"/>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Kompostownia Odpadów</w:t>
      </w:r>
      <w:r w:rsidR="00E06643">
        <w:rPr>
          <w:rFonts w:asciiTheme="minorHAnsi" w:hAnsiTheme="minorHAnsi"/>
          <w:sz w:val="22"/>
        </w:rPr>
        <w:t>,</w:t>
      </w:r>
    </w:p>
    <w:p w:rsidR="00FA669E" w:rsidRDefault="00FA669E" w:rsidP="00E6635A">
      <w:pPr>
        <w:numPr>
          <w:ilvl w:val="0"/>
          <w:numId w:val="45"/>
        </w:numPr>
        <w:shd w:val="clear" w:color="auto" w:fill="FFFFFF" w:themeFill="background1"/>
        <w:spacing w:line="293" w:lineRule="atLeast"/>
        <w:ind w:left="1050" w:right="450"/>
        <w:textAlignment w:val="baseline"/>
        <w:rPr>
          <w:rFonts w:asciiTheme="minorHAnsi" w:hAnsiTheme="minorHAnsi"/>
          <w:sz w:val="22"/>
        </w:rPr>
      </w:pPr>
      <w:r w:rsidRPr="00FA669E">
        <w:rPr>
          <w:rFonts w:asciiTheme="minorHAnsi" w:hAnsiTheme="minorHAnsi"/>
          <w:sz w:val="22"/>
        </w:rPr>
        <w:t>Mobilna linia do rozdziału zmieszanych odpadów komunaln</w:t>
      </w:r>
      <w:r w:rsidR="00E06643">
        <w:rPr>
          <w:rFonts w:asciiTheme="minorHAnsi" w:hAnsiTheme="minorHAnsi"/>
          <w:sz w:val="22"/>
        </w:rPr>
        <w:t>ych na trzy frakcje (0-20, 20-100 i powyżej 10</w:t>
      </w:r>
      <w:r w:rsidRPr="00FA669E">
        <w:rPr>
          <w:rFonts w:asciiTheme="minorHAnsi" w:hAnsiTheme="minorHAnsi"/>
          <w:sz w:val="22"/>
        </w:rPr>
        <w:t>0)</w:t>
      </w:r>
      <w:r w:rsidR="00E06643">
        <w:rPr>
          <w:rFonts w:asciiTheme="minorHAnsi" w:hAnsiTheme="minorHAnsi"/>
          <w:sz w:val="22"/>
        </w:rPr>
        <w:t>,</w:t>
      </w:r>
    </w:p>
    <w:p w:rsidR="00E06643" w:rsidRPr="00FA669E" w:rsidRDefault="00E06643" w:rsidP="00E6635A">
      <w:pPr>
        <w:numPr>
          <w:ilvl w:val="0"/>
          <w:numId w:val="45"/>
        </w:numPr>
        <w:shd w:val="clear" w:color="auto" w:fill="FFFFFF" w:themeFill="background1"/>
        <w:spacing w:line="293" w:lineRule="atLeast"/>
        <w:ind w:left="1050" w:right="450"/>
        <w:textAlignment w:val="baseline"/>
        <w:rPr>
          <w:rFonts w:asciiTheme="minorHAnsi" w:hAnsiTheme="minorHAnsi"/>
          <w:sz w:val="22"/>
        </w:rPr>
      </w:pPr>
      <w:r>
        <w:rPr>
          <w:rFonts w:asciiTheme="minorHAnsi" w:hAnsiTheme="minorHAnsi"/>
          <w:sz w:val="22"/>
        </w:rPr>
        <w:t>Punkt recyklingu gruzu wyposażony w kruszarkę,</w:t>
      </w:r>
    </w:p>
    <w:p w:rsidR="00E06643" w:rsidRPr="00E06643" w:rsidRDefault="00FA669E" w:rsidP="00E06643">
      <w:pPr>
        <w:numPr>
          <w:ilvl w:val="0"/>
          <w:numId w:val="45"/>
        </w:numPr>
        <w:shd w:val="clear" w:color="auto" w:fill="FFFFFF" w:themeFill="background1"/>
        <w:spacing w:after="160" w:line="293" w:lineRule="atLeast"/>
        <w:ind w:left="1050" w:right="450"/>
        <w:textAlignment w:val="baseline"/>
        <w:rPr>
          <w:rFonts w:asciiTheme="minorHAnsi" w:hAnsiTheme="minorHAnsi"/>
          <w:sz w:val="22"/>
        </w:rPr>
      </w:pPr>
      <w:r>
        <w:rPr>
          <w:rFonts w:asciiTheme="minorHAnsi" w:hAnsiTheme="minorHAnsi"/>
          <w:sz w:val="22"/>
        </w:rPr>
        <w:t>Sortownia odpadów surowcowych</w:t>
      </w:r>
      <w:r w:rsidR="00E06643">
        <w:rPr>
          <w:rFonts w:asciiTheme="minorHAnsi" w:hAnsiTheme="minorHAnsi"/>
          <w:sz w:val="22"/>
        </w:rPr>
        <w:t>.</w:t>
      </w:r>
      <w:r w:rsidRPr="00E06643">
        <w:rPr>
          <w:rFonts w:asciiTheme="minorHAnsi" w:hAnsiTheme="minorHAnsi"/>
          <w:sz w:val="22"/>
        </w:rPr>
        <w:t xml:space="preserve"> </w:t>
      </w:r>
    </w:p>
    <w:p w:rsidR="00DD13FA" w:rsidRPr="00563EF2" w:rsidRDefault="00DD13FA" w:rsidP="00DD13FA">
      <w:pPr>
        <w:spacing w:after="160"/>
        <w:rPr>
          <w:rFonts w:asciiTheme="minorHAnsi" w:hAnsiTheme="minorHAnsi"/>
          <w:sz w:val="22"/>
        </w:rPr>
      </w:pPr>
      <w:r w:rsidRPr="00563EF2">
        <w:rPr>
          <w:rFonts w:asciiTheme="minorHAnsi" w:hAnsiTheme="minorHAnsi"/>
          <w:sz w:val="22"/>
        </w:rPr>
        <w:t>Na terenie miasta</w:t>
      </w:r>
      <w:r w:rsidR="00FA669E">
        <w:rPr>
          <w:rFonts w:asciiTheme="minorHAnsi" w:hAnsiTheme="minorHAnsi"/>
          <w:sz w:val="22"/>
        </w:rPr>
        <w:t>, mimo licznych działań Straży Miejskiej i innych służb, wciąż znajduje się</w:t>
      </w:r>
      <w:r w:rsidRPr="00563EF2">
        <w:rPr>
          <w:rFonts w:asciiTheme="minorHAnsi" w:hAnsiTheme="minorHAnsi"/>
          <w:sz w:val="22"/>
        </w:rPr>
        <w:t xml:space="preserve"> znaczna ilość dzikich wysypisk</w:t>
      </w:r>
      <w:r w:rsidR="00FA669E">
        <w:rPr>
          <w:rFonts w:asciiTheme="minorHAnsi" w:hAnsiTheme="minorHAnsi"/>
          <w:sz w:val="22"/>
        </w:rPr>
        <w:t xml:space="preserve"> odpadów, które stanowią</w:t>
      </w:r>
      <w:r w:rsidRPr="00563EF2">
        <w:rPr>
          <w:rFonts w:asciiTheme="minorHAnsi" w:hAnsiTheme="minorHAnsi"/>
          <w:sz w:val="22"/>
        </w:rPr>
        <w:t xml:space="preserve"> zagrożenie dla środowiska naturalnego i psują estetykę miasta.</w:t>
      </w:r>
      <w:r w:rsidR="00FA669E">
        <w:rPr>
          <w:rFonts w:asciiTheme="minorHAnsi" w:hAnsiTheme="minorHAnsi"/>
          <w:sz w:val="22"/>
        </w:rPr>
        <w:t xml:space="preserve"> </w:t>
      </w:r>
    </w:p>
    <w:p w:rsidR="00577200" w:rsidRDefault="00DD13FA" w:rsidP="00EC5484">
      <w:pPr>
        <w:pStyle w:val="Nagwek3"/>
      </w:pPr>
      <w:bookmarkStart w:id="49" w:name="_Toc399756336"/>
      <w:r w:rsidRPr="00563EF2">
        <w:rPr>
          <w:b w:val="0"/>
        </w:rPr>
        <w:t>Cmentarze komunalne</w:t>
      </w:r>
      <w:bookmarkEnd w:id="49"/>
    </w:p>
    <w:p w:rsidR="00BB2FEC" w:rsidRPr="00BB2FEC" w:rsidRDefault="00BB2FEC" w:rsidP="00BB2FEC"/>
    <w:p w:rsidR="00577200" w:rsidRPr="00563EF2" w:rsidRDefault="00577200" w:rsidP="00FD7676">
      <w:pPr>
        <w:autoSpaceDE w:val="0"/>
        <w:autoSpaceDN w:val="0"/>
        <w:adjustRightInd w:val="0"/>
        <w:rPr>
          <w:rFonts w:asciiTheme="minorHAnsi" w:hAnsiTheme="minorHAnsi" w:cs="Arial"/>
          <w:color w:val="000000"/>
          <w:sz w:val="22"/>
        </w:rPr>
      </w:pPr>
      <w:r w:rsidRPr="00563EF2">
        <w:rPr>
          <w:rFonts w:asciiTheme="minorHAnsi" w:hAnsiTheme="minorHAnsi" w:cs="Arial"/>
          <w:color w:val="000000"/>
          <w:sz w:val="22"/>
        </w:rPr>
        <w:t>Do r</w:t>
      </w:r>
      <w:r w:rsidR="007617B7">
        <w:rPr>
          <w:rFonts w:asciiTheme="minorHAnsi" w:hAnsiTheme="minorHAnsi" w:cs="Arial"/>
          <w:color w:val="000000"/>
          <w:sz w:val="22"/>
        </w:rPr>
        <w:t xml:space="preserve">oku 2012 w Legnicy funkcjonowały dwa </w:t>
      </w:r>
      <w:r w:rsidRPr="00563EF2">
        <w:rPr>
          <w:rFonts w:asciiTheme="minorHAnsi" w:hAnsiTheme="minorHAnsi" w:cs="Arial"/>
          <w:color w:val="000000"/>
          <w:sz w:val="22"/>
        </w:rPr>
        <w:t>Cmentarz</w:t>
      </w:r>
      <w:r w:rsidR="007617B7">
        <w:rPr>
          <w:rFonts w:asciiTheme="minorHAnsi" w:hAnsiTheme="minorHAnsi" w:cs="Arial"/>
          <w:color w:val="000000"/>
          <w:sz w:val="22"/>
        </w:rPr>
        <w:t>e</w:t>
      </w:r>
      <w:r w:rsidRPr="00563EF2">
        <w:rPr>
          <w:rFonts w:asciiTheme="minorHAnsi" w:hAnsiTheme="minorHAnsi" w:cs="Arial"/>
          <w:color w:val="000000"/>
          <w:sz w:val="22"/>
        </w:rPr>
        <w:t xml:space="preserve"> </w:t>
      </w:r>
      <w:r w:rsidR="007617B7">
        <w:rPr>
          <w:rFonts w:asciiTheme="minorHAnsi" w:hAnsiTheme="minorHAnsi" w:cs="Arial"/>
          <w:color w:val="000000"/>
          <w:sz w:val="22"/>
        </w:rPr>
        <w:t>Komunalne</w:t>
      </w:r>
      <w:r w:rsidR="0008274D" w:rsidRPr="00563EF2">
        <w:rPr>
          <w:rFonts w:asciiTheme="minorHAnsi" w:hAnsiTheme="minorHAnsi" w:cs="Arial"/>
          <w:color w:val="000000"/>
          <w:sz w:val="22"/>
        </w:rPr>
        <w:t xml:space="preserve"> przy ul. Wrocławskiej</w:t>
      </w:r>
      <w:r w:rsidR="00E96088">
        <w:rPr>
          <w:rFonts w:asciiTheme="minorHAnsi" w:hAnsiTheme="minorHAnsi" w:cs="Arial"/>
          <w:color w:val="000000"/>
          <w:sz w:val="22"/>
        </w:rPr>
        <w:t xml:space="preserve"> i przy ul. </w:t>
      </w:r>
      <w:r w:rsidR="007617B7">
        <w:rPr>
          <w:rFonts w:asciiTheme="minorHAnsi" w:hAnsiTheme="minorHAnsi" w:cs="Arial"/>
          <w:color w:val="000000"/>
          <w:sz w:val="22"/>
        </w:rPr>
        <w:t>Zielnej w Przybkowie</w:t>
      </w:r>
      <w:r w:rsidR="0008274D" w:rsidRPr="00563EF2">
        <w:rPr>
          <w:rFonts w:asciiTheme="minorHAnsi" w:hAnsiTheme="minorHAnsi" w:cs="Arial"/>
          <w:color w:val="000000"/>
          <w:sz w:val="22"/>
        </w:rPr>
        <w:t>.</w:t>
      </w:r>
      <w:r w:rsidRPr="00563EF2">
        <w:rPr>
          <w:rFonts w:asciiTheme="minorHAnsi" w:hAnsiTheme="minorHAnsi" w:cs="Arial"/>
          <w:color w:val="000000"/>
          <w:sz w:val="22"/>
        </w:rPr>
        <w:t xml:space="preserve"> </w:t>
      </w:r>
      <w:r w:rsidR="0008274D" w:rsidRPr="00563EF2">
        <w:rPr>
          <w:rFonts w:asciiTheme="minorHAnsi" w:hAnsiTheme="minorHAnsi" w:cs="Arial"/>
          <w:color w:val="000000"/>
          <w:sz w:val="22"/>
        </w:rPr>
        <w:t xml:space="preserve"> </w:t>
      </w:r>
      <w:r w:rsidR="007617B7">
        <w:rPr>
          <w:rFonts w:asciiTheme="minorHAnsi" w:hAnsiTheme="minorHAnsi" w:cs="Arial"/>
          <w:color w:val="000000"/>
          <w:sz w:val="22"/>
        </w:rPr>
        <w:t>W związku z tym, że na starych Cmentarzach Komunalnych</w:t>
      </w:r>
      <w:r w:rsidRPr="00563EF2">
        <w:rPr>
          <w:rFonts w:asciiTheme="minorHAnsi" w:hAnsiTheme="minorHAnsi" w:cs="Arial"/>
          <w:color w:val="000000"/>
          <w:sz w:val="22"/>
        </w:rPr>
        <w:t xml:space="preserve"> liczba miejsc na pochówki zaczęła się wyczerpywać</w:t>
      </w:r>
      <w:r w:rsidR="001B1AB1">
        <w:rPr>
          <w:rFonts w:asciiTheme="minorHAnsi" w:hAnsiTheme="minorHAnsi" w:cs="Arial"/>
          <w:color w:val="000000"/>
          <w:sz w:val="22"/>
        </w:rPr>
        <w:t>,</w:t>
      </w:r>
      <w:r w:rsidRPr="00563EF2">
        <w:rPr>
          <w:rFonts w:asciiTheme="minorHAnsi" w:hAnsiTheme="minorHAnsi" w:cs="Arial"/>
          <w:color w:val="000000"/>
          <w:sz w:val="22"/>
        </w:rPr>
        <w:t xml:space="preserve"> władze miasta podjęły decyzję o wybudowaniu nowej nekropolii. </w:t>
      </w:r>
      <w:r w:rsidR="0008274D" w:rsidRPr="00563EF2">
        <w:rPr>
          <w:rFonts w:asciiTheme="minorHAnsi" w:hAnsiTheme="minorHAnsi" w:cs="Arial"/>
          <w:color w:val="000000"/>
          <w:sz w:val="22"/>
        </w:rPr>
        <w:t>Nowy cmentarz został</w:t>
      </w:r>
      <w:r w:rsidRPr="00563EF2">
        <w:rPr>
          <w:rFonts w:asciiTheme="minorHAnsi" w:hAnsiTheme="minorHAnsi" w:cs="Arial"/>
          <w:color w:val="000000"/>
          <w:sz w:val="22"/>
        </w:rPr>
        <w:t xml:space="preserve"> założony w Jaszkowie, który formalnie należy do Gminy miejskiej Legnicy, ale jest położony na obszarze gmin Krotoszyce i Miłkowice. Nowa nekropolia rozpoczęła swoje funkcjonowanie w maju 2013</w:t>
      </w:r>
      <w:r w:rsidR="007617B7">
        <w:rPr>
          <w:rFonts w:asciiTheme="minorHAnsi" w:hAnsiTheme="minorHAnsi" w:cs="Arial"/>
          <w:color w:val="000000"/>
          <w:sz w:val="22"/>
        </w:rPr>
        <w:t xml:space="preserve"> r</w:t>
      </w:r>
      <w:r w:rsidRPr="00563EF2">
        <w:rPr>
          <w:rFonts w:asciiTheme="minorHAnsi" w:hAnsiTheme="minorHAnsi" w:cs="Arial"/>
          <w:color w:val="000000"/>
          <w:sz w:val="22"/>
        </w:rPr>
        <w:t>. Obecnie zajmuje ona powierzchnię 11 hektarów. Docelowo cmentarz ma zajmować teren o powierzchni do 34 ha.</w:t>
      </w:r>
    </w:p>
    <w:p w:rsidR="00791447" w:rsidRPr="00563EF2" w:rsidRDefault="00791447" w:rsidP="00FD7676">
      <w:pPr>
        <w:spacing w:after="160"/>
        <w:rPr>
          <w:rFonts w:asciiTheme="minorHAnsi" w:hAnsiTheme="minorHAnsi"/>
          <w:sz w:val="22"/>
        </w:rPr>
        <w:sectPr w:rsidR="00791447" w:rsidRPr="00563EF2" w:rsidSect="000535DD">
          <w:pgSz w:w="11906" w:h="16838"/>
          <w:pgMar w:top="1417" w:right="1417" w:bottom="1417" w:left="1417" w:header="708" w:footer="708" w:gutter="0"/>
          <w:cols w:space="708"/>
          <w:docGrid w:linePitch="360"/>
        </w:sectPr>
      </w:pPr>
    </w:p>
    <w:p w:rsidR="00450A71" w:rsidRPr="00BB2FEC" w:rsidRDefault="00450A71" w:rsidP="00BB2FEC">
      <w:pPr>
        <w:pStyle w:val="Nagwek2"/>
      </w:pPr>
      <w:bookmarkStart w:id="50" w:name="_Toc399756337"/>
      <w:r w:rsidRPr="00BB2FEC">
        <w:t>Sfera ochrony środowiska i przyrody</w:t>
      </w:r>
      <w:bookmarkEnd w:id="50"/>
    </w:p>
    <w:p w:rsidR="00816569" w:rsidRPr="00563EF2" w:rsidRDefault="00816569" w:rsidP="00EC5484">
      <w:pPr>
        <w:pStyle w:val="Nagwek3"/>
      </w:pPr>
      <w:bookmarkStart w:id="51" w:name="_Toc399756338"/>
      <w:r w:rsidRPr="00563EF2">
        <w:t>Tereny ziel</w:t>
      </w:r>
      <w:r w:rsidR="000919DE" w:rsidRPr="00563EF2">
        <w:t>e</w:t>
      </w:r>
      <w:r w:rsidRPr="00563EF2">
        <w:t>ni i lasy</w:t>
      </w:r>
      <w:bookmarkEnd w:id="51"/>
    </w:p>
    <w:p w:rsidR="0081600F" w:rsidRPr="00563EF2" w:rsidRDefault="0081600F" w:rsidP="00FD7676">
      <w:pPr>
        <w:rPr>
          <w:rFonts w:asciiTheme="minorHAnsi" w:hAnsiTheme="minorHAnsi"/>
          <w:sz w:val="22"/>
        </w:rPr>
      </w:pPr>
    </w:p>
    <w:p w:rsidR="0008274D" w:rsidRPr="00563EF2" w:rsidRDefault="00C013E0" w:rsidP="00FD7676">
      <w:pPr>
        <w:rPr>
          <w:rFonts w:asciiTheme="minorHAnsi" w:hAnsiTheme="minorHAnsi"/>
          <w:sz w:val="22"/>
        </w:rPr>
      </w:pPr>
      <w:r w:rsidRPr="00563EF2">
        <w:rPr>
          <w:rFonts w:asciiTheme="minorHAnsi" w:hAnsiTheme="minorHAnsi"/>
          <w:sz w:val="22"/>
        </w:rPr>
        <w:t>Teren</w:t>
      </w:r>
      <w:r w:rsidR="006567DD" w:rsidRPr="00563EF2">
        <w:rPr>
          <w:rFonts w:asciiTheme="minorHAnsi" w:hAnsiTheme="minorHAnsi"/>
          <w:sz w:val="22"/>
        </w:rPr>
        <w:t>y zieleni</w:t>
      </w:r>
      <w:r w:rsidR="00AD45D9" w:rsidRPr="00563EF2">
        <w:rPr>
          <w:rFonts w:asciiTheme="minorHAnsi" w:hAnsiTheme="minorHAnsi"/>
          <w:sz w:val="22"/>
        </w:rPr>
        <w:t xml:space="preserve"> (rozumiane jako parki, zieleńce i zieleń osiedlowa)</w:t>
      </w:r>
      <w:r w:rsidR="006567DD" w:rsidRPr="00563EF2">
        <w:rPr>
          <w:rFonts w:asciiTheme="minorHAnsi" w:hAnsiTheme="minorHAnsi"/>
          <w:sz w:val="22"/>
        </w:rPr>
        <w:t xml:space="preserve"> w mieśc</w:t>
      </w:r>
      <w:r w:rsidR="00AD45D9" w:rsidRPr="00563EF2">
        <w:rPr>
          <w:rFonts w:asciiTheme="minorHAnsi" w:hAnsiTheme="minorHAnsi"/>
          <w:sz w:val="22"/>
        </w:rPr>
        <w:t>i</w:t>
      </w:r>
      <w:r w:rsidR="00BE6BD9" w:rsidRPr="00563EF2">
        <w:rPr>
          <w:rFonts w:asciiTheme="minorHAnsi" w:hAnsiTheme="minorHAnsi"/>
          <w:sz w:val="22"/>
        </w:rPr>
        <w:t xml:space="preserve">e </w:t>
      </w:r>
      <w:r w:rsidR="00AD45D9" w:rsidRPr="00563EF2">
        <w:rPr>
          <w:rFonts w:asciiTheme="minorHAnsi" w:hAnsiTheme="minorHAnsi"/>
          <w:sz w:val="22"/>
        </w:rPr>
        <w:t xml:space="preserve">stanowią </w:t>
      </w:r>
      <w:r w:rsidR="006567DD" w:rsidRPr="00563EF2">
        <w:rPr>
          <w:rFonts w:asciiTheme="minorHAnsi" w:hAnsiTheme="minorHAnsi"/>
          <w:sz w:val="22"/>
        </w:rPr>
        <w:t xml:space="preserve"> </w:t>
      </w:r>
      <w:r w:rsidR="009D0270" w:rsidRPr="00563EF2">
        <w:rPr>
          <w:rFonts w:asciiTheme="minorHAnsi" w:hAnsiTheme="minorHAnsi"/>
          <w:sz w:val="22"/>
        </w:rPr>
        <w:t>3,69% powierzchni Miasta</w:t>
      </w:r>
      <w:r w:rsidR="00AD45D9" w:rsidRPr="00563EF2">
        <w:rPr>
          <w:rFonts w:asciiTheme="minorHAnsi" w:hAnsiTheme="minorHAnsi"/>
          <w:sz w:val="22"/>
        </w:rPr>
        <w:t>.</w:t>
      </w:r>
      <w:r w:rsidR="00A5037B" w:rsidRPr="00563EF2">
        <w:rPr>
          <w:rFonts w:asciiTheme="minorHAnsi" w:hAnsiTheme="minorHAnsi"/>
          <w:sz w:val="22"/>
        </w:rPr>
        <w:t xml:space="preserve"> Wskaźnik zieleni przypadającej na mieszkańca wynosi 10,6 m² i jest niższy niż normatywnie przyjęty poziom, czyli 12-15 m²/os. </w:t>
      </w:r>
      <w:r w:rsidR="00577200" w:rsidRPr="00563EF2">
        <w:rPr>
          <w:rFonts w:asciiTheme="minorHAnsi" w:hAnsiTheme="minorHAnsi"/>
          <w:sz w:val="22"/>
        </w:rPr>
        <w:t xml:space="preserve"> </w:t>
      </w:r>
    </w:p>
    <w:p w:rsidR="00640889" w:rsidRPr="00565CCF" w:rsidRDefault="00640889" w:rsidP="00FD7676">
      <w:pPr>
        <w:pStyle w:val="Legenda"/>
        <w:keepNext/>
        <w:spacing w:line="276" w:lineRule="auto"/>
        <w:rPr>
          <w:rFonts w:asciiTheme="minorHAnsi" w:hAnsiTheme="minorHAnsi"/>
          <w:sz w:val="20"/>
          <w:szCs w:val="22"/>
        </w:rPr>
      </w:pPr>
      <w:r w:rsidRPr="00565CCF">
        <w:rPr>
          <w:rFonts w:asciiTheme="minorHAnsi" w:hAnsiTheme="minorHAnsi"/>
          <w:sz w:val="20"/>
          <w:szCs w:val="22"/>
        </w:rPr>
        <w:t xml:space="preserve">Tabela </w:t>
      </w:r>
      <w:r w:rsidR="00017794" w:rsidRPr="00565CCF">
        <w:rPr>
          <w:rFonts w:asciiTheme="minorHAnsi" w:hAnsiTheme="minorHAnsi"/>
          <w:sz w:val="20"/>
          <w:szCs w:val="22"/>
        </w:rPr>
        <w:fldChar w:fldCharType="begin"/>
      </w:r>
      <w:r w:rsidR="00307DD7" w:rsidRPr="00565CCF">
        <w:rPr>
          <w:rFonts w:asciiTheme="minorHAnsi" w:hAnsiTheme="minorHAnsi"/>
          <w:sz w:val="20"/>
          <w:szCs w:val="22"/>
        </w:rPr>
        <w:instrText xml:space="preserve"> SEQ Tabela \* ARABIC </w:instrText>
      </w:r>
      <w:r w:rsidR="00017794" w:rsidRPr="00565CCF">
        <w:rPr>
          <w:rFonts w:asciiTheme="minorHAnsi" w:hAnsiTheme="minorHAnsi"/>
          <w:sz w:val="20"/>
          <w:szCs w:val="22"/>
        </w:rPr>
        <w:fldChar w:fldCharType="separate"/>
      </w:r>
      <w:r w:rsidR="007B2916">
        <w:rPr>
          <w:rFonts w:asciiTheme="minorHAnsi" w:hAnsiTheme="minorHAnsi"/>
          <w:noProof/>
          <w:sz w:val="20"/>
          <w:szCs w:val="22"/>
        </w:rPr>
        <w:t>38</w:t>
      </w:r>
      <w:r w:rsidR="00017794" w:rsidRPr="00565CCF">
        <w:rPr>
          <w:rFonts w:asciiTheme="minorHAnsi" w:hAnsiTheme="minorHAnsi"/>
          <w:sz w:val="20"/>
          <w:szCs w:val="22"/>
        </w:rPr>
        <w:fldChar w:fldCharType="end"/>
      </w:r>
      <w:r w:rsidRPr="00565CCF">
        <w:rPr>
          <w:rFonts w:asciiTheme="minorHAnsi" w:hAnsiTheme="minorHAnsi"/>
          <w:sz w:val="20"/>
          <w:szCs w:val="22"/>
        </w:rPr>
        <w:t>. Tereny zieleni w Legnicy (stan na 2012 r.)</w:t>
      </w:r>
    </w:p>
    <w:tbl>
      <w:tblPr>
        <w:tblStyle w:val="Jasnasiatkaakcent11"/>
        <w:tblW w:w="8844" w:type="dxa"/>
        <w:tblLook w:val="04A0" w:firstRow="1" w:lastRow="0" w:firstColumn="1" w:lastColumn="0" w:noHBand="0" w:noVBand="1"/>
      </w:tblPr>
      <w:tblGrid>
        <w:gridCol w:w="1367"/>
        <w:gridCol w:w="1544"/>
        <w:gridCol w:w="935"/>
        <w:gridCol w:w="819"/>
        <w:gridCol w:w="1136"/>
        <w:gridCol w:w="1135"/>
        <w:gridCol w:w="851"/>
        <w:gridCol w:w="1057"/>
      </w:tblGrid>
      <w:tr w:rsidR="00606546" w:rsidRPr="00606546" w:rsidTr="0060654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7" w:type="dxa"/>
            <w:noWrap/>
            <w:hideMark/>
          </w:tcPr>
          <w:p w:rsidR="003C67A9" w:rsidRPr="00606546" w:rsidRDefault="003C67A9" w:rsidP="00FD7676">
            <w:pPr>
              <w:rPr>
                <w:rFonts w:asciiTheme="minorHAnsi" w:eastAsia="Times New Roman" w:hAnsiTheme="minorHAnsi" w:cs="Arial"/>
                <w:sz w:val="20"/>
                <w:lang w:eastAsia="pl-PL"/>
              </w:rPr>
            </w:pPr>
          </w:p>
        </w:tc>
        <w:tc>
          <w:tcPr>
            <w:tcW w:w="1544"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parki spacerowo - wypoczynkowe</w:t>
            </w:r>
          </w:p>
        </w:tc>
        <w:tc>
          <w:tcPr>
            <w:tcW w:w="935"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zieleńce</w:t>
            </w:r>
          </w:p>
        </w:tc>
        <w:tc>
          <w:tcPr>
            <w:tcW w:w="819"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zieleń uliczna</w:t>
            </w:r>
          </w:p>
        </w:tc>
        <w:tc>
          <w:tcPr>
            <w:tcW w:w="1136"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tereny zieleni osiedlowej</w:t>
            </w:r>
          </w:p>
        </w:tc>
        <w:tc>
          <w:tcPr>
            <w:tcW w:w="1135"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cmentarze</w:t>
            </w:r>
          </w:p>
        </w:tc>
        <w:tc>
          <w:tcPr>
            <w:tcW w:w="851" w:type="dxa"/>
            <w:noWrap/>
            <w:hideMark/>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lasy ogółem</w:t>
            </w:r>
          </w:p>
        </w:tc>
        <w:tc>
          <w:tcPr>
            <w:tcW w:w="1057" w:type="dxa"/>
          </w:tcPr>
          <w:p w:rsidR="003C67A9" w:rsidRPr="00606546" w:rsidRDefault="003C67A9" w:rsidP="00FD767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Ogródki działkowe</w:t>
            </w:r>
          </w:p>
        </w:tc>
      </w:tr>
      <w:tr w:rsidR="00606546" w:rsidRPr="00606546" w:rsidTr="006065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7" w:type="dxa"/>
            <w:noWrap/>
            <w:hideMark/>
          </w:tcPr>
          <w:p w:rsidR="003C67A9" w:rsidRPr="00606546" w:rsidRDefault="003C67A9" w:rsidP="00FD7676">
            <w:pPr>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Powierzchnia w ha</w:t>
            </w:r>
          </w:p>
        </w:tc>
        <w:tc>
          <w:tcPr>
            <w:tcW w:w="1544" w:type="dxa"/>
            <w:noWrap/>
            <w:hideMark/>
          </w:tcPr>
          <w:p w:rsidR="003C67A9" w:rsidRPr="00606546" w:rsidRDefault="003C67A9"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97,5</w:t>
            </w:r>
          </w:p>
        </w:tc>
        <w:tc>
          <w:tcPr>
            <w:tcW w:w="935" w:type="dxa"/>
            <w:noWrap/>
            <w:hideMark/>
          </w:tcPr>
          <w:p w:rsidR="003C67A9" w:rsidRPr="00606546" w:rsidRDefault="003C67A9"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37</w:t>
            </w:r>
          </w:p>
        </w:tc>
        <w:tc>
          <w:tcPr>
            <w:tcW w:w="819" w:type="dxa"/>
            <w:noWrap/>
            <w:hideMark/>
          </w:tcPr>
          <w:p w:rsidR="003C67A9" w:rsidRPr="00606546" w:rsidRDefault="003C67A9"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36,6</w:t>
            </w:r>
          </w:p>
        </w:tc>
        <w:tc>
          <w:tcPr>
            <w:tcW w:w="1136" w:type="dxa"/>
            <w:noWrap/>
            <w:hideMark/>
          </w:tcPr>
          <w:p w:rsidR="003C67A9" w:rsidRPr="00606546" w:rsidRDefault="003C67A9"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73</w:t>
            </w:r>
          </w:p>
        </w:tc>
        <w:tc>
          <w:tcPr>
            <w:tcW w:w="1135" w:type="dxa"/>
            <w:noWrap/>
            <w:hideMark/>
          </w:tcPr>
          <w:p w:rsidR="003C67A9" w:rsidRPr="00606546" w:rsidRDefault="003C67A9"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sidRPr="00606546">
              <w:rPr>
                <w:rFonts w:asciiTheme="minorHAnsi" w:eastAsia="Times New Roman" w:hAnsiTheme="minorHAnsi" w:cs="Arial"/>
                <w:sz w:val="20"/>
                <w:lang w:eastAsia="pl-PL"/>
              </w:rPr>
              <w:t>39,3</w:t>
            </w:r>
          </w:p>
        </w:tc>
        <w:tc>
          <w:tcPr>
            <w:tcW w:w="851" w:type="dxa"/>
            <w:noWrap/>
            <w:hideMark/>
          </w:tcPr>
          <w:p w:rsidR="003C67A9" w:rsidRPr="00606546" w:rsidRDefault="00606546"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Pr>
                <w:rFonts w:asciiTheme="minorHAnsi" w:eastAsia="Times New Roman" w:hAnsiTheme="minorHAnsi" w:cs="Arial"/>
                <w:sz w:val="20"/>
                <w:lang w:eastAsia="pl-PL"/>
              </w:rPr>
              <w:t>172,9</w:t>
            </w:r>
          </w:p>
        </w:tc>
        <w:tc>
          <w:tcPr>
            <w:tcW w:w="1057" w:type="dxa"/>
          </w:tcPr>
          <w:p w:rsidR="003C67A9" w:rsidRPr="00606546" w:rsidRDefault="00606546" w:rsidP="00FD767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pl-PL"/>
              </w:rPr>
            </w:pPr>
            <w:r>
              <w:rPr>
                <w:rFonts w:asciiTheme="minorHAnsi" w:eastAsia="Times New Roman" w:hAnsiTheme="minorHAnsi" w:cs="Arial"/>
                <w:sz w:val="20"/>
                <w:lang w:eastAsia="pl-PL"/>
              </w:rPr>
              <w:t>323</w:t>
            </w:r>
          </w:p>
        </w:tc>
      </w:tr>
    </w:tbl>
    <w:p w:rsidR="009D0270" w:rsidRPr="00700661" w:rsidRDefault="00640889" w:rsidP="00FD7676">
      <w:pPr>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Bank Danych Lokalnych</w:t>
      </w:r>
      <w:r w:rsidR="00700661">
        <w:rPr>
          <w:rFonts w:asciiTheme="minorHAnsi" w:hAnsiTheme="minorHAnsi"/>
          <w:sz w:val="20"/>
        </w:rPr>
        <w:t>, GUS</w:t>
      </w:r>
      <w:r w:rsidR="00606546">
        <w:rPr>
          <w:rFonts w:asciiTheme="minorHAnsi" w:hAnsiTheme="minorHAnsi"/>
          <w:sz w:val="20"/>
        </w:rPr>
        <w:t xml:space="preserve">; </w:t>
      </w:r>
      <w:r w:rsidR="00606546" w:rsidRPr="00606546">
        <w:rPr>
          <w:rFonts w:asciiTheme="minorHAnsi" w:hAnsiTheme="minorHAnsi"/>
          <w:i/>
          <w:sz w:val="20"/>
        </w:rPr>
        <w:t>Studium uwarunkowań i kierunków zagospodarowania przestrzennego miasta Legnicy</w:t>
      </w:r>
      <w:r w:rsidR="00606546" w:rsidRPr="00606546">
        <w:rPr>
          <w:rFonts w:asciiTheme="minorHAnsi" w:hAnsiTheme="minorHAnsi"/>
          <w:sz w:val="20"/>
        </w:rPr>
        <w:t>, Urząd Miasta Legnicy, 2014 r.</w:t>
      </w:r>
    </w:p>
    <w:p w:rsidR="00AD45D9" w:rsidRPr="00563EF2" w:rsidRDefault="00AD45D9" w:rsidP="00FD7676">
      <w:pPr>
        <w:rPr>
          <w:rFonts w:asciiTheme="minorHAnsi" w:hAnsiTheme="minorHAnsi"/>
          <w:sz w:val="22"/>
        </w:rPr>
      </w:pPr>
    </w:p>
    <w:p w:rsidR="0008274D" w:rsidRDefault="00AD45D9" w:rsidP="00FD7676">
      <w:pPr>
        <w:rPr>
          <w:rFonts w:asciiTheme="minorHAnsi" w:hAnsiTheme="minorHAnsi"/>
          <w:sz w:val="22"/>
        </w:rPr>
      </w:pPr>
      <w:r w:rsidRPr="00563EF2">
        <w:rPr>
          <w:rFonts w:asciiTheme="minorHAnsi" w:hAnsiTheme="minorHAnsi"/>
          <w:sz w:val="22"/>
        </w:rPr>
        <w:t>Lasy porastają 3,03% powierzchni Miasta (172,9 ha)</w:t>
      </w:r>
      <w:r w:rsidR="00606546">
        <w:rPr>
          <w:rFonts w:asciiTheme="minorHAnsi" w:hAnsiTheme="minorHAnsi"/>
          <w:sz w:val="22"/>
        </w:rPr>
        <w:t>.</w:t>
      </w:r>
      <w:r w:rsidRPr="00563EF2">
        <w:rPr>
          <w:rFonts w:asciiTheme="minorHAnsi" w:hAnsiTheme="minorHAnsi"/>
          <w:sz w:val="22"/>
        </w:rPr>
        <w:t xml:space="preserve"> Głównymi obszarami leśnymi na t</w:t>
      </w:r>
      <w:r w:rsidR="001E20B0">
        <w:rPr>
          <w:rFonts w:asciiTheme="minorHAnsi" w:hAnsiTheme="minorHAnsi"/>
          <w:sz w:val="22"/>
        </w:rPr>
        <w:t>erenie Miasta są: Lasek Pawicki oraz</w:t>
      </w:r>
      <w:r w:rsidRPr="00563EF2">
        <w:rPr>
          <w:rFonts w:asciiTheme="minorHAnsi" w:hAnsiTheme="minorHAnsi"/>
          <w:sz w:val="22"/>
        </w:rPr>
        <w:t xml:space="preserve"> Lasek Złotoryjski</w:t>
      </w:r>
      <w:r w:rsidR="001E20B0">
        <w:rPr>
          <w:rFonts w:asciiTheme="minorHAnsi" w:hAnsiTheme="minorHAnsi"/>
          <w:sz w:val="22"/>
        </w:rPr>
        <w:t>.</w:t>
      </w:r>
    </w:p>
    <w:p w:rsidR="001E20B0" w:rsidRPr="00563EF2" w:rsidRDefault="001E20B0" w:rsidP="00FD7676">
      <w:pPr>
        <w:rPr>
          <w:rFonts w:asciiTheme="minorHAnsi" w:hAnsiTheme="minorHAnsi"/>
          <w:sz w:val="22"/>
        </w:rPr>
      </w:pPr>
    </w:p>
    <w:p w:rsidR="0008274D" w:rsidRPr="00563EF2" w:rsidRDefault="0008274D" w:rsidP="00FD7676">
      <w:pPr>
        <w:rPr>
          <w:rFonts w:asciiTheme="minorHAnsi" w:hAnsiTheme="minorHAnsi"/>
          <w:sz w:val="22"/>
        </w:rPr>
      </w:pPr>
      <w:r w:rsidRPr="00563EF2">
        <w:rPr>
          <w:rFonts w:asciiTheme="minorHAnsi" w:hAnsiTheme="minorHAnsi"/>
          <w:sz w:val="22"/>
        </w:rPr>
        <w:t>Legnica charakteryzuje się</w:t>
      </w:r>
      <w:r w:rsidR="00791447" w:rsidRPr="00563EF2">
        <w:rPr>
          <w:rFonts w:asciiTheme="minorHAnsi" w:hAnsiTheme="minorHAnsi"/>
          <w:sz w:val="22"/>
        </w:rPr>
        <w:t xml:space="preserve"> także</w:t>
      </w:r>
      <w:r w:rsidRPr="00563EF2">
        <w:rPr>
          <w:rFonts w:asciiTheme="minorHAnsi" w:hAnsiTheme="minorHAnsi"/>
          <w:sz w:val="22"/>
        </w:rPr>
        <w:t xml:space="preserve"> dużą liczbą terenów ogródków działkowych (71, w tym 14 położonych poza granicami miasta, ale w bezpośrednim sąsiedztwie) o łącznej powierzchni 323 ha.    </w:t>
      </w:r>
    </w:p>
    <w:p w:rsidR="00816569" w:rsidRPr="00563EF2" w:rsidRDefault="00816569" w:rsidP="00EC5484">
      <w:pPr>
        <w:pStyle w:val="Nagwek3"/>
      </w:pPr>
      <w:bookmarkStart w:id="52" w:name="_Toc399756339"/>
      <w:r w:rsidRPr="00563EF2">
        <w:t>Ochrona przyrody</w:t>
      </w:r>
      <w:bookmarkEnd w:id="52"/>
      <w:r w:rsidRPr="00563EF2">
        <w:t xml:space="preserve"> </w:t>
      </w:r>
    </w:p>
    <w:p w:rsidR="000919DE" w:rsidRPr="00563EF2" w:rsidRDefault="000919DE" w:rsidP="00FD7676">
      <w:pPr>
        <w:rPr>
          <w:rFonts w:asciiTheme="minorHAnsi" w:hAnsiTheme="minorHAnsi"/>
          <w:b/>
          <w:sz w:val="22"/>
        </w:rPr>
      </w:pPr>
    </w:p>
    <w:p w:rsidR="000919DE" w:rsidRPr="00563EF2" w:rsidRDefault="000919DE" w:rsidP="00FD7676">
      <w:pPr>
        <w:rPr>
          <w:rFonts w:asciiTheme="minorHAnsi" w:hAnsiTheme="minorHAnsi"/>
          <w:b/>
          <w:sz w:val="22"/>
        </w:rPr>
      </w:pPr>
      <w:r w:rsidRPr="00563EF2">
        <w:rPr>
          <w:rFonts w:asciiTheme="minorHAnsi" w:hAnsiTheme="minorHAnsi"/>
          <w:sz w:val="22"/>
        </w:rPr>
        <w:t>Ochronie prawnej, ustanowionej na podstawie Ustawy z dnia 16 kwietnia 2004 r. o ochronie przyrody (Dz. U. 2013, poz. 627), podlegają wartości przyrody ożywionej: dendrologiczne - drzewa, grupy drzew i aleje oraz tereny o charakterze podmokłym, częściowo pochodzenia antropogenicznego - glinianki, mokradła z trzcinowiskami, tereny podmokłe, tereny sukcesji lasu na obszarze dawnej strzelnicy, chronione jako użytki ekologiczne oraz wartości przyrody nieożywionej - głazy narzutowe z okresu zlodowacenia środkowopolskiego. Istniejące w Legnicy formy ochrony prawnej wartości przyrodniczych, ustanowione na mocy w/w ustawy, stanowią użytki ekologiczne i pomniki przyrody.</w:t>
      </w:r>
      <w:r w:rsidRPr="00563EF2">
        <w:rPr>
          <w:rStyle w:val="Odwoanieprzypisudolnego"/>
          <w:rFonts w:asciiTheme="minorHAnsi" w:hAnsiTheme="minorHAnsi"/>
          <w:sz w:val="22"/>
        </w:rPr>
        <w:footnoteReference w:id="31"/>
      </w:r>
      <w:r w:rsidRPr="00563EF2">
        <w:rPr>
          <w:rFonts w:asciiTheme="minorHAnsi" w:hAnsiTheme="minorHAnsi"/>
          <w:sz w:val="22"/>
        </w:rPr>
        <w:t xml:space="preserve"> </w:t>
      </w:r>
    </w:p>
    <w:p w:rsidR="00816569" w:rsidRPr="00563EF2" w:rsidRDefault="00816569" w:rsidP="00FD7676">
      <w:pPr>
        <w:rPr>
          <w:rFonts w:asciiTheme="minorHAnsi" w:hAnsiTheme="minorHAnsi"/>
          <w:b/>
          <w:sz w:val="22"/>
        </w:rPr>
      </w:pPr>
    </w:p>
    <w:p w:rsidR="00420307" w:rsidRPr="00563EF2" w:rsidRDefault="00420307" w:rsidP="00FD7676">
      <w:pPr>
        <w:rPr>
          <w:rFonts w:asciiTheme="minorHAnsi" w:hAnsiTheme="minorHAnsi"/>
          <w:sz w:val="22"/>
        </w:rPr>
      </w:pPr>
      <w:r w:rsidRPr="00563EF2">
        <w:rPr>
          <w:rFonts w:asciiTheme="minorHAnsi" w:hAnsiTheme="minorHAnsi"/>
          <w:sz w:val="22"/>
        </w:rPr>
        <w:t>Na terenie Miasta objętych ochroną jest 7 użytków ekologicznych, o łącznej powierzchni 23,88 ha (0,42% powierzchni miasta). Użytkami ekologicznym</w:t>
      </w:r>
      <w:r w:rsidR="001B1AB1">
        <w:rPr>
          <w:rFonts w:asciiTheme="minorHAnsi" w:hAnsiTheme="minorHAnsi"/>
          <w:sz w:val="22"/>
        </w:rPr>
        <w:t>i</w:t>
      </w:r>
      <w:r w:rsidRPr="00563EF2">
        <w:rPr>
          <w:rFonts w:asciiTheme="minorHAnsi" w:hAnsiTheme="minorHAnsi"/>
          <w:sz w:val="22"/>
        </w:rPr>
        <w:t xml:space="preserve"> w Legnicy są: Glinki w Lasku Złotoryjskim (śródleśne oczko wodne), Lasek przy ul. Rze</w:t>
      </w:r>
      <w:r w:rsidR="001841D4" w:rsidRPr="00563EF2">
        <w:rPr>
          <w:rFonts w:asciiTheme="minorHAnsi" w:hAnsiTheme="minorHAnsi"/>
          <w:sz w:val="22"/>
        </w:rPr>
        <w:t>szotarskiej, Glinianki przy ul. </w:t>
      </w:r>
      <w:r w:rsidRPr="00563EF2">
        <w:rPr>
          <w:rFonts w:asciiTheme="minorHAnsi" w:hAnsiTheme="minorHAnsi"/>
          <w:sz w:val="22"/>
        </w:rPr>
        <w:t>Szczytnickiej, podmokła łąka przy ul. Poznańskiej, bagno przy ul. Poznańskiej, trzcinowisko przy ul. Gniewomi</w:t>
      </w:r>
      <w:r w:rsidR="00E96088">
        <w:rPr>
          <w:rFonts w:asciiTheme="minorHAnsi" w:hAnsiTheme="minorHAnsi"/>
          <w:sz w:val="22"/>
        </w:rPr>
        <w:t>e</w:t>
      </w:r>
      <w:r w:rsidRPr="00563EF2">
        <w:rPr>
          <w:rFonts w:asciiTheme="minorHAnsi" w:hAnsiTheme="minorHAnsi"/>
          <w:sz w:val="22"/>
        </w:rPr>
        <w:t xml:space="preserve">rskiej oraz trzcinowisko przy ul. Miejskiej. </w:t>
      </w:r>
      <w:r w:rsidRPr="00563EF2">
        <w:rPr>
          <w:rStyle w:val="Odwoanieprzypisudolnego"/>
          <w:rFonts w:asciiTheme="minorHAnsi" w:hAnsiTheme="minorHAnsi"/>
          <w:sz w:val="22"/>
        </w:rPr>
        <w:footnoteReference w:id="32"/>
      </w:r>
      <w:r w:rsidR="0008274D" w:rsidRPr="00563EF2">
        <w:rPr>
          <w:rFonts w:asciiTheme="minorHAnsi" w:hAnsiTheme="minorHAnsi"/>
          <w:sz w:val="22"/>
        </w:rPr>
        <w:t xml:space="preserve"> </w:t>
      </w:r>
      <w:r w:rsidR="00791447" w:rsidRPr="00563EF2">
        <w:rPr>
          <w:rFonts w:asciiTheme="minorHAnsi" w:hAnsiTheme="minorHAnsi"/>
          <w:sz w:val="22"/>
        </w:rPr>
        <w:t>Obecnie z</w:t>
      </w:r>
      <w:r w:rsidR="0008274D" w:rsidRPr="00563EF2">
        <w:rPr>
          <w:rFonts w:asciiTheme="minorHAnsi" w:hAnsiTheme="minorHAnsi"/>
          <w:sz w:val="22"/>
        </w:rPr>
        <w:t xml:space="preserve">agrożeniem dla użytków ekologicznych jest obserwowane obniżanie lustra wody, co może doprowadzić do wymarcia części </w:t>
      </w:r>
      <w:r w:rsidR="00BC5391">
        <w:rPr>
          <w:rFonts w:asciiTheme="minorHAnsi" w:hAnsiTheme="minorHAnsi"/>
          <w:sz w:val="22"/>
        </w:rPr>
        <w:t>bytujących tam gatunków fauny i </w:t>
      </w:r>
      <w:r w:rsidR="0008274D" w:rsidRPr="00563EF2">
        <w:rPr>
          <w:rFonts w:asciiTheme="minorHAnsi" w:hAnsiTheme="minorHAnsi"/>
          <w:sz w:val="22"/>
        </w:rPr>
        <w:t xml:space="preserve">flory. </w:t>
      </w:r>
    </w:p>
    <w:p w:rsidR="00420307" w:rsidRPr="00563EF2" w:rsidRDefault="00791447" w:rsidP="00FD7676">
      <w:pPr>
        <w:rPr>
          <w:rFonts w:asciiTheme="minorHAnsi" w:hAnsiTheme="minorHAnsi"/>
          <w:sz w:val="22"/>
        </w:rPr>
      </w:pPr>
      <w:r w:rsidRPr="00563EF2">
        <w:rPr>
          <w:rFonts w:asciiTheme="minorHAnsi" w:hAnsiTheme="minorHAnsi"/>
          <w:sz w:val="22"/>
        </w:rPr>
        <w:t>W</w:t>
      </w:r>
      <w:r w:rsidR="00420307" w:rsidRPr="00563EF2">
        <w:rPr>
          <w:rFonts w:asciiTheme="minorHAnsi" w:hAnsiTheme="minorHAnsi"/>
          <w:sz w:val="22"/>
        </w:rPr>
        <w:t xml:space="preserve"> Legnicy zlokalizowanych jest  59 pomników przyrody, z czego 57 obiektów przyrody ożywionej stanowią drzewa lub zespoły drzew, a 2 obiekty przyrody nieożywionej to głazy narzutowe.</w:t>
      </w:r>
      <w:r w:rsidR="00420307" w:rsidRPr="00563EF2">
        <w:rPr>
          <w:rStyle w:val="Odwoanieprzypisudolnego"/>
          <w:rFonts w:asciiTheme="minorHAnsi" w:hAnsiTheme="minorHAnsi"/>
          <w:sz w:val="22"/>
        </w:rPr>
        <w:footnoteReference w:id="33"/>
      </w:r>
    </w:p>
    <w:p w:rsidR="00791447" w:rsidRPr="00563EF2" w:rsidRDefault="00791447" w:rsidP="00FD7676">
      <w:pPr>
        <w:rPr>
          <w:rFonts w:asciiTheme="minorHAnsi" w:hAnsiTheme="minorHAnsi"/>
          <w:sz w:val="22"/>
        </w:rPr>
      </w:pPr>
    </w:p>
    <w:p w:rsidR="00420307" w:rsidRPr="00563EF2" w:rsidRDefault="00420307" w:rsidP="00FD7676">
      <w:pPr>
        <w:rPr>
          <w:rFonts w:asciiTheme="minorHAnsi" w:hAnsiTheme="minorHAnsi"/>
          <w:sz w:val="22"/>
        </w:rPr>
      </w:pPr>
      <w:r w:rsidRPr="00563EF2">
        <w:rPr>
          <w:rFonts w:asciiTheme="minorHAnsi" w:hAnsiTheme="minorHAnsi"/>
          <w:sz w:val="22"/>
        </w:rPr>
        <w:t>W niedużej odległości od Legnicy na terenie powiatu legnickiego zlokalizowane są tereny cenne przyrodniczo i krajobrazowo</w:t>
      </w:r>
      <w:r w:rsidR="001B1AB1">
        <w:rPr>
          <w:rFonts w:asciiTheme="minorHAnsi" w:hAnsiTheme="minorHAnsi"/>
          <w:sz w:val="22"/>
        </w:rPr>
        <w:t>,</w:t>
      </w:r>
      <w:r w:rsidRPr="00563EF2">
        <w:rPr>
          <w:rFonts w:asciiTheme="minorHAnsi" w:hAnsiTheme="minorHAnsi"/>
          <w:sz w:val="22"/>
        </w:rPr>
        <w:t xml:space="preserve"> stanowiące ostoję dla wielu unikalnych</w:t>
      </w:r>
      <w:r w:rsidR="00BC5391">
        <w:rPr>
          <w:rFonts w:asciiTheme="minorHAnsi" w:hAnsiTheme="minorHAnsi"/>
          <w:sz w:val="22"/>
        </w:rPr>
        <w:t xml:space="preserve"> i chronionych gatunków fauny i </w:t>
      </w:r>
      <w:r w:rsidRPr="00563EF2">
        <w:rPr>
          <w:rFonts w:asciiTheme="minorHAnsi" w:hAnsiTheme="minorHAnsi"/>
          <w:sz w:val="22"/>
        </w:rPr>
        <w:t>flory. Do najważniejszych z nich należą:</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„Brekina”</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„Bluszcz”</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„Ponikwa”</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„Torfowisko Kunickie”</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„Łęg Korea”</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Rezerwat „Jezioro Koskowickie”</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chronionego krajobrazu – Dolina Czarnej Wody</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chronionego krajobrazu – Dolina Odry</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64 pomniki przyrody</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Natura 2000 „Pątnów Legnicki” w gm. Kunice</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Natura 2000 „Irysowy Zagon k. Gromadzynia” gm. Prochowice</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Natura 2000 „Łęgi Odrzańskie” gm. Prochowice</w:t>
      </w:r>
    </w:p>
    <w:p w:rsidR="00420307" w:rsidRPr="00563EF2" w:rsidRDefault="00420307" w:rsidP="00FD7676">
      <w:pPr>
        <w:pStyle w:val="Akapitzlist"/>
        <w:numPr>
          <w:ilvl w:val="0"/>
          <w:numId w:val="5"/>
        </w:numPr>
        <w:spacing w:after="200"/>
        <w:rPr>
          <w:rFonts w:asciiTheme="minorHAnsi" w:hAnsiTheme="minorHAnsi"/>
          <w:sz w:val="22"/>
        </w:rPr>
      </w:pPr>
      <w:r w:rsidRPr="00563EF2">
        <w:rPr>
          <w:rFonts w:asciiTheme="minorHAnsi" w:hAnsiTheme="minorHAnsi"/>
          <w:sz w:val="22"/>
        </w:rPr>
        <w:t>Obszar Natura 2000 „Bory Dolnośląskie” gm. Chojnów</w:t>
      </w:r>
    </w:p>
    <w:p w:rsidR="00420307" w:rsidRPr="00563EF2" w:rsidRDefault="00420307" w:rsidP="00FD7676">
      <w:pPr>
        <w:rPr>
          <w:rFonts w:asciiTheme="minorHAnsi" w:hAnsiTheme="minorHAnsi"/>
          <w:sz w:val="22"/>
        </w:rPr>
      </w:pPr>
      <w:r w:rsidRPr="00563EF2">
        <w:rPr>
          <w:rFonts w:asciiTheme="minorHAnsi" w:hAnsiTheme="minorHAnsi"/>
          <w:sz w:val="22"/>
        </w:rPr>
        <w:t>Tereny te oprócz niewątpliwych walorów przyrodniczych sprzyjają ruchowi turystycz</w:t>
      </w:r>
      <w:r w:rsidR="00BC5391">
        <w:rPr>
          <w:rFonts w:asciiTheme="minorHAnsi" w:hAnsiTheme="minorHAnsi"/>
          <w:sz w:val="22"/>
        </w:rPr>
        <w:t>nemu i </w:t>
      </w:r>
      <w:r w:rsidRPr="00563EF2">
        <w:rPr>
          <w:rFonts w:asciiTheme="minorHAnsi" w:hAnsiTheme="minorHAnsi"/>
          <w:sz w:val="22"/>
        </w:rPr>
        <w:t>atrakcyjności krajobrazowo-rekreacyjnej regionu.</w:t>
      </w:r>
    </w:p>
    <w:p w:rsidR="00ED0DD8" w:rsidRPr="00563EF2" w:rsidRDefault="00ED0DD8" w:rsidP="00EC5484">
      <w:pPr>
        <w:pStyle w:val="Nagwek3"/>
      </w:pPr>
      <w:bookmarkStart w:id="53" w:name="_Toc399756340"/>
      <w:r w:rsidRPr="00563EF2">
        <w:t>Złoża kopalin</w:t>
      </w:r>
      <w:bookmarkEnd w:id="53"/>
      <w:r w:rsidRPr="00563EF2">
        <w:t xml:space="preserve"> </w:t>
      </w:r>
    </w:p>
    <w:p w:rsidR="00AD45D9" w:rsidRPr="00563EF2" w:rsidRDefault="00AD45D9" w:rsidP="00FD7676">
      <w:pPr>
        <w:rPr>
          <w:rFonts w:asciiTheme="minorHAnsi" w:hAnsiTheme="minorHAnsi"/>
          <w:sz w:val="22"/>
        </w:rPr>
      </w:pPr>
    </w:p>
    <w:p w:rsidR="00C640C5" w:rsidRDefault="009D0270" w:rsidP="00FD7676">
      <w:pPr>
        <w:rPr>
          <w:rFonts w:asciiTheme="minorHAnsi" w:hAnsiTheme="minorHAnsi"/>
          <w:sz w:val="22"/>
        </w:rPr>
      </w:pPr>
      <w:r w:rsidRPr="00563EF2">
        <w:rPr>
          <w:rFonts w:asciiTheme="minorHAnsi" w:hAnsiTheme="minorHAnsi"/>
          <w:sz w:val="22"/>
        </w:rPr>
        <w:t>W północnej części Miasta zlokalizowane są udokumentowane złoża węgla brunatnego: „Legnica Pole Zachodnie” , „Legnica Pole Wschodnie”, oraz „Legnica Pole Północne”</w:t>
      </w:r>
      <w:r w:rsidR="0090149A" w:rsidRPr="00563EF2">
        <w:rPr>
          <w:rFonts w:asciiTheme="minorHAnsi" w:hAnsiTheme="minorHAnsi"/>
          <w:sz w:val="22"/>
        </w:rPr>
        <w:t>. Węgiel brunatny w złożu „Legnica</w:t>
      </w:r>
      <w:r w:rsidR="001B1AB1">
        <w:rPr>
          <w:rFonts w:asciiTheme="minorHAnsi" w:hAnsiTheme="minorHAnsi"/>
          <w:sz w:val="22"/>
        </w:rPr>
        <w:t>”</w:t>
      </w:r>
      <w:r w:rsidR="0090149A" w:rsidRPr="00563EF2">
        <w:rPr>
          <w:rFonts w:asciiTheme="minorHAnsi" w:hAnsiTheme="minorHAnsi"/>
          <w:sz w:val="22"/>
        </w:rPr>
        <w:t xml:space="preserve"> jest węglem o niskim zapyleniu i wysokiej kaloryczności. Złożom węgla towarzyszą również pokłady iłów ceramicznych oraz kruszyw naturalnych.</w:t>
      </w:r>
    </w:p>
    <w:p w:rsidR="00565CCF" w:rsidRPr="00563EF2" w:rsidRDefault="00565CCF" w:rsidP="00FD7676">
      <w:pPr>
        <w:rPr>
          <w:rFonts w:asciiTheme="minorHAnsi" w:hAnsiTheme="minorHAnsi"/>
          <w:sz w:val="22"/>
        </w:rPr>
      </w:pPr>
    </w:p>
    <w:p w:rsidR="00C640C5" w:rsidRPr="00C640C5" w:rsidRDefault="00C640C5" w:rsidP="00C640C5">
      <w:pPr>
        <w:pStyle w:val="Legenda"/>
        <w:keepNext/>
        <w:rPr>
          <w:rFonts w:asciiTheme="minorHAnsi" w:hAnsiTheme="minorHAnsi"/>
          <w:sz w:val="20"/>
        </w:rPr>
      </w:pPr>
      <w:r w:rsidRPr="00C640C5">
        <w:rPr>
          <w:rFonts w:asciiTheme="minorHAnsi" w:hAnsiTheme="minorHAnsi"/>
          <w:sz w:val="20"/>
        </w:rPr>
        <w:t xml:space="preserve">Tabela </w:t>
      </w:r>
      <w:r w:rsidRPr="00C640C5">
        <w:rPr>
          <w:rFonts w:asciiTheme="minorHAnsi" w:hAnsiTheme="minorHAnsi"/>
          <w:sz w:val="20"/>
        </w:rPr>
        <w:fldChar w:fldCharType="begin"/>
      </w:r>
      <w:r w:rsidRPr="00C640C5">
        <w:rPr>
          <w:rFonts w:asciiTheme="minorHAnsi" w:hAnsiTheme="minorHAnsi"/>
          <w:sz w:val="20"/>
        </w:rPr>
        <w:instrText xml:space="preserve"> SEQ Tabela \* ARABIC </w:instrText>
      </w:r>
      <w:r w:rsidRPr="00C640C5">
        <w:rPr>
          <w:rFonts w:asciiTheme="minorHAnsi" w:hAnsiTheme="minorHAnsi"/>
          <w:sz w:val="20"/>
        </w:rPr>
        <w:fldChar w:fldCharType="separate"/>
      </w:r>
      <w:r w:rsidR="007B2916">
        <w:rPr>
          <w:rFonts w:asciiTheme="minorHAnsi" w:hAnsiTheme="minorHAnsi"/>
          <w:noProof/>
          <w:sz w:val="20"/>
        </w:rPr>
        <w:t>39</w:t>
      </w:r>
      <w:r w:rsidRPr="00C640C5">
        <w:rPr>
          <w:rFonts w:asciiTheme="minorHAnsi" w:hAnsiTheme="minorHAnsi"/>
          <w:sz w:val="20"/>
        </w:rPr>
        <w:fldChar w:fldCharType="end"/>
      </w:r>
      <w:r w:rsidR="001B1AB1">
        <w:rPr>
          <w:rFonts w:asciiTheme="minorHAnsi" w:hAnsiTheme="minorHAnsi"/>
          <w:sz w:val="20"/>
        </w:rPr>
        <w:t>.</w:t>
      </w:r>
      <w:r w:rsidRPr="00C640C5">
        <w:rPr>
          <w:rFonts w:asciiTheme="minorHAnsi" w:hAnsiTheme="minorHAnsi"/>
          <w:sz w:val="20"/>
        </w:rPr>
        <w:t xml:space="preserve"> Zdiagnozowane w pobliżu Legnicy złoża węgla brunatnego</w:t>
      </w:r>
      <w:r w:rsidR="001B1AB1">
        <w:rPr>
          <w:rFonts w:asciiTheme="minorHAnsi" w:hAnsiTheme="minorHAnsi"/>
          <w:sz w:val="20"/>
        </w:rPr>
        <w:t xml:space="preserve"> i innych kopalin.</w:t>
      </w:r>
    </w:p>
    <w:tbl>
      <w:tblPr>
        <w:tblStyle w:val="Jasnasiatkaakcent11"/>
        <w:tblW w:w="9067" w:type="dxa"/>
        <w:tblLook w:val="04A0" w:firstRow="1" w:lastRow="0" w:firstColumn="1" w:lastColumn="0" w:noHBand="0" w:noVBand="1"/>
      </w:tblPr>
      <w:tblGrid>
        <w:gridCol w:w="2331"/>
        <w:gridCol w:w="2389"/>
        <w:gridCol w:w="1978"/>
        <w:gridCol w:w="2369"/>
      </w:tblGrid>
      <w:tr w:rsidR="009D0270" w:rsidRPr="00C640C5" w:rsidTr="00700661">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331" w:type="dxa"/>
          </w:tcPr>
          <w:p w:rsidR="009D0270" w:rsidRPr="00C640C5" w:rsidRDefault="009D0270" w:rsidP="00FD7676">
            <w:pPr>
              <w:rPr>
                <w:rFonts w:asciiTheme="minorHAnsi" w:hAnsiTheme="minorHAnsi"/>
                <w:sz w:val="20"/>
              </w:rPr>
            </w:pPr>
            <w:r w:rsidRPr="00C640C5">
              <w:rPr>
                <w:rFonts w:asciiTheme="minorHAnsi" w:hAnsiTheme="minorHAnsi"/>
                <w:sz w:val="20"/>
              </w:rPr>
              <w:t>Nazwa złoża</w:t>
            </w:r>
          </w:p>
        </w:tc>
        <w:tc>
          <w:tcPr>
            <w:tcW w:w="2389" w:type="dxa"/>
          </w:tcPr>
          <w:p w:rsidR="009D0270" w:rsidRPr="00C640C5" w:rsidRDefault="009D027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Rozpoznanie zasobów</w:t>
            </w:r>
          </w:p>
        </w:tc>
        <w:tc>
          <w:tcPr>
            <w:tcW w:w="1978" w:type="dxa"/>
          </w:tcPr>
          <w:p w:rsidR="009D0270" w:rsidRPr="00C640C5" w:rsidRDefault="009D027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Rodzaj kopalin</w:t>
            </w:r>
          </w:p>
        </w:tc>
        <w:tc>
          <w:tcPr>
            <w:tcW w:w="2369" w:type="dxa"/>
          </w:tcPr>
          <w:p w:rsidR="009D0270" w:rsidRPr="00C640C5" w:rsidRDefault="009D0270" w:rsidP="00FD767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640C5">
              <w:rPr>
                <w:rFonts w:asciiTheme="minorHAnsi" w:hAnsiTheme="minorHAnsi"/>
                <w:sz w:val="20"/>
              </w:rPr>
              <w:t>Geologiczne bilansowe zasoby złoża</w:t>
            </w:r>
          </w:p>
        </w:tc>
      </w:tr>
      <w:tr w:rsidR="009D0270" w:rsidRPr="00C640C5" w:rsidTr="0070066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31" w:type="dxa"/>
          </w:tcPr>
          <w:p w:rsidR="009D0270" w:rsidRPr="00C640C5" w:rsidRDefault="009D0270" w:rsidP="00FD7676">
            <w:pPr>
              <w:rPr>
                <w:rFonts w:asciiTheme="minorHAnsi" w:hAnsiTheme="minorHAnsi"/>
                <w:sz w:val="20"/>
              </w:rPr>
            </w:pPr>
            <w:r w:rsidRPr="00C640C5">
              <w:rPr>
                <w:rFonts w:asciiTheme="minorHAnsi" w:hAnsiTheme="minorHAnsi"/>
                <w:sz w:val="20"/>
              </w:rPr>
              <w:t>Legnickie Pole Północne</w:t>
            </w:r>
          </w:p>
        </w:tc>
        <w:tc>
          <w:tcPr>
            <w:tcW w:w="2389"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Wstępne rozpoznanie</w:t>
            </w:r>
          </w:p>
        </w:tc>
        <w:tc>
          <w:tcPr>
            <w:tcW w:w="1978"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Węgiel brunatny</w:t>
            </w:r>
          </w:p>
        </w:tc>
        <w:tc>
          <w:tcPr>
            <w:tcW w:w="2369"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1 723 049 ton</w:t>
            </w:r>
          </w:p>
        </w:tc>
      </w:tr>
      <w:tr w:rsidR="009D0270" w:rsidRPr="00C640C5" w:rsidTr="00700661">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331" w:type="dxa"/>
          </w:tcPr>
          <w:p w:rsidR="009D0270" w:rsidRPr="00C640C5" w:rsidRDefault="009D0270" w:rsidP="00FD7676">
            <w:pPr>
              <w:rPr>
                <w:rFonts w:asciiTheme="minorHAnsi" w:hAnsiTheme="minorHAnsi"/>
                <w:sz w:val="20"/>
              </w:rPr>
            </w:pPr>
            <w:r w:rsidRPr="00C640C5">
              <w:rPr>
                <w:rFonts w:asciiTheme="minorHAnsi" w:hAnsiTheme="minorHAnsi"/>
                <w:sz w:val="20"/>
              </w:rPr>
              <w:t>Legnickie Pole Wschodnie</w:t>
            </w:r>
          </w:p>
        </w:tc>
        <w:tc>
          <w:tcPr>
            <w:tcW w:w="2389"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Rozpoznane szczegółowo</w:t>
            </w:r>
          </w:p>
        </w:tc>
        <w:tc>
          <w:tcPr>
            <w:tcW w:w="1978"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Węgiel brunatny</w:t>
            </w:r>
          </w:p>
        </w:tc>
        <w:tc>
          <w:tcPr>
            <w:tcW w:w="2369"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839 312 ton</w:t>
            </w:r>
          </w:p>
        </w:tc>
      </w:tr>
      <w:tr w:rsidR="009D0270" w:rsidRPr="00C640C5" w:rsidTr="0070066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331" w:type="dxa"/>
          </w:tcPr>
          <w:p w:rsidR="009D0270" w:rsidRPr="00C640C5" w:rsidRDefault="009D0270" w:rsidP="00FD7676">
            <w:pPr>
              <w:rPr>
                <w:rFonts w:asciiTheme="minorHAnsi" w:hAnsiTheme="minorHAnsi"/>
                <w:sz w:val="20"/>
              </w:rPr>
            </w:pPr>
            <w:r w:rsidRPr="00C640C5">
              <w:rPr>
                <w:rFonts w:asciiTheme="minorHAnsi" w:hAnsiTheme="minorHAnsi"/>
                <w:sz w:val="20"/>
              </w:rPr>
              <w:t>Legnickie Pole Zachodnie</w:t>
            </w:r>
          </w:p>
        </w:tc>
        <w:tc>
          <w:tcPr>
            <w:tcW w:w="2389"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Rozpoznane szczegółowo</w:t>
            </w:r>
          </w:p>
        </w:tc>
        <w:tc>
          <w:tcPr>
            <w:tcW w:w="1978"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Węgiel brunatny</w:t>
            </w:r>
          </w:p>
        </w:tc>
        <w:tc>
          <w:tcPr>
            <w:tcW w:w="2369" w:type="dxa"/>
          </w:tcPr>
          <w:p w:rsidR="009D0270" w:rsidRPr="00C640C5" w:rsidRDefault="009D0270" w:rsidP="00FD767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640C5">
              <w:rPr>
                <w:rFonts w:asciiTheme="minorHAnsi" w:hAnsiTheme="minorHAnsi"/>
                <w:sz w:val="20"/>
              </w:rPr>
              <w:t xml:space="preserve">863 638 ton </w:t>
            </w:r>
          </w:p>
        </w:tc>
      </w:tr>
      <w:tr w:rsidR="009D0270" w:rsidRPr="00C640C5" w:rsidTr="00700661">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331" w:type="dxa"/>
          </w:tcPr>
          <w:p w:rsidR="009D0270" w:rsidRPr="00C640C5" w:rsidRDefault="009D0270" w:rsidP="00FD7676">
            <w:pPr>
              <w:rPr>
                <w:rFonts w:asciiTheme="minorHAnsi" w:hAnsiTheme="minorHAnsi"/>
                <w:sz w:val="20"/>
              </w:rPr>
            </w:pPr>
            <w:r w:rsidRPr="00C640C5">
              <w:rPr>
                <w:rFonts w:asciiTheme="minorHAnsi" w:hAnsiTheme="minorHAnsi"/>
                <w:sz w:val="20"/>
              </w:rPr>
              <w:t>Legnica Pole Wschodnie</w:t>
            </w:r>
          </w:p>
        </w:tc>
        <w:tc>
          <w:tcPr>
            <w:tcW w:w="2389"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Wstępne rozpoznanie</w:t>
            </w:r>
          </w:p>
        </w:tc>
        <w:tc>
          <w:tcPr>
            <w:tcW w:w="1978"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Piasek i żwir</w:t>
            </w:r>
          </w:p>
        </w:tc>
        <w:tc>
          <w:tcPr>
            <w:tcW w:w="2369" w:type="dxa"/>
          </w:tcPr>
          <w:p w:rsidR="009D0270" w:rsidRPr="00C640C5" w:rsidRDefault="009D0270" w:rsidP="00FD767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640C5">
              <w:rPr>
                <w:rFonts w:asciiTheme="minorHAnsi" w:hAnsiTheme="minorHAnsi"/>
                <w:sz w:val="20"/>
              </w:rPr>
              <w:t>294 628 ton</w:t>
            </w:r>
          </w:p>
        </w:tc>
      </w:tr>
    </w:tbl>
    <w:p w:rsidR="009D0270" w:rsidRPr="00563EF2" w:rsidRDefault="009D0270" w:rsidP="00FD7676">
      <w:pPr>
        <w:rPr>
          <w:rFonts w:asciiTheme="minorHAnsi" w:hAnsiTheme="minorHAnsi"/>
          <w:sz w:val="22"/>
        </w:rPr>
      </w:pPr>
      <w:r w:rsidRPr="00563EF2">
        <w:rPr>
          <w:rFonts w:asciiTheme="minorHAnsi" w:hAnsiTheme="minorHAnsi"/>
          <w:sz w:val="22"/>
        </w:rPr>
        <w:t xml:space="preserve"> </w:t>
      </w:r>
      <w:r w:rsidRPr="00700661">
        <w:rPr>
          <w:rFonts w:asciiTheme="minorHAnsi" w:hAnsiTheme="minorHAnsi"/>
          <w:sz w:val="20"/>
        </w:rPr>
        <w:t xml:space="preserve">Źródło: </w:t>
      </w:r>
      <w:r w:rsidRPr="00700661">
        <w:rPr>
          <w:rFonts w:asciiTheme="minorHAnsi" w:hAnsiTheme="minorHAnsi"/>
          <w:i/>
          <w:sz w:val="20"/>
        </w:rPr>
        <w:t>Surowce mineralne Polski,</w:t>
      </w:r>
      <w:r w:rsidRPr="00700661">
        <w:rPr>
          <w:rFonts w:asciiTheme="minorHAnsi" w:hAnsiTheme="minorHAnsi"/>
          <w:sz w:val="20"/>
        </w:rPr>
        <w:t xml:space="preserve"> Państwowy Instytut Geologiczny – Państwowy Instytut Badawczy</w:t>
      </w:r>
      <w:r w:rsidR="008B3862">
        <w:rPr>
          <w:rFonts w:asciiTheme="minorHAnsi" w:hAnsiTheme="minorHAnsi"/>
          <w:sz w:val="20"/>
        </w:rPr>
        <w:t>.</w:t>
      </w:r>
    </w:p>
    <w:p w:rsidR="009D0270" w:rsidRPr="00563EF2" w:rsidRDefault="009D0270" w:rsidP="00FD7676">
      <w:pPr>
        <w:rPr>
          <w:rFonts w:asciiTheme="minorHAnsi" w:hAnsiTheme="minorHAnsi"/>
          <w:sz w:val="22"/>
        </w:rPr>
      </w:pPr>
      <w:r w:rsidRPr="00563EF2">
        <w:rPr>
          <w:rFonts w:asciiTheme="minorHAnsi" w:hAnsiTheme="minorHAnsi"/>
          <w:sz w:val="22"/>
        </w:rPr>
        <w:t xml:space="preserve">Na koniec stycznia 2014 r. żadne ze złóż węgla brunatnego zlokalizowanych na terenie Legnicy nie podlegało eksploatacji. </w:t>
      </w:r>
    </w:p>
    <w:p w:rsidR="0090149A" w:rsidRPr="00563EF2" w:rsidRDefault="00565CCF" w:rsidP="00FD7676">
      <w:pPr>
        <w:rPr>
          <w:rFonts w:asciiTheme="minorHAnsi" w:hAnsiTheme="minorHAnsi"/>
          <w:sz w:val="22"/>
        </w:rPr>
      </w:pPr>
      <w:r>
        <w:rPr>
          <w:rFonts w:asciiTheme="minorHAnsi" w:hAnsiTheme="minorHAnsi"/>
          <w:noProof/>
          <w:sz w:val="22"/>
          <w:lang w:eastAsia="pl-PL"/>
        </w:rPr>
        <mc:AlternateContent>
          <mc:Choice Requires="wps">
            <w:drawing>
              <wp:anchor distT="0" distB="0" distL="114300" distR="114300" simplePos="0" relativeHeight="251677696" behindDoc="0" locked="0" layoutInCell="1" allowOverlap="1" wp14:anchorId="6F5BA51C" wp14:editId="29DA1E48">
                <wp:simplePos x="0" y="0"/>
                <wp:positionH relativeFrom="column">
                  <wp:posOffset>33655</wp:posOffset>
                </wp:positionH>
                <wp:positionV relativeFrom="paragraph">
                  <wp:posOffset>0</wp:posOffset>
                </wp:positionV>
                <wp:extent cx="5772150" cy="7924800"/>
                <wp:effectExtent l="0" t="0" r="19050" b="19050"/>
                <wp:wrapTopAndBottom/>
                <wp:docPr id="112" name="Pole tekstowe 112"/>
                <wp:cNvGraphicFramePr/>
                <a:graphic xmlns:a="http://schemas.openxmlformats.org/drawingml/2006/main">
                  <a:graphicData uri="http://schemas.microsoft.com/office/word/2010/wordprocessingShape">
                    <wps:wsp>
                      <wps:cNvSpPr txBox="1"/>
                      <wps:spPr>
                        <a:xfrm>
                          <a:off x="0" y="0"/>
                          <a:ext cx="5772150" cy="792480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Pr="007F6382" w:rsidRDefault="00A469F2" w:rsidP="00565CCF">
                            <w:pPr>
                              <w:rPr>
                                <w:rFonts w:asciiTheme="minorHAnsi" w:hAnsiTheme="minorHAnsi"/>
                                <w:b/>
                                <w:color w:val="FFFFFF" w:themeColor="background1"/>
                                <w:sz w:val="22"/>
                              </w:rPr>
                            </w:pPr>
                            <w:r w:rsidRPr="007F6382">
                              <w:rPr>
                                <w:rFonts w:asciiTheme="minorHAnsi" w:hAnsiTheme="minorHAnsi"/>
                                <w:b/>
                                <w:color w:val="FFFFFF" w:themeColor="background1"/>
                                <w:sz w:val="22"/>
                              </w:rPr>
                              <w:t>Obszar problemowy – eksploatacja złóż węgla brunatnego „Legnica”</w:t>
                            </w:r>
                          </w:p>
                          <w:p w:rsidR="00A469F2" w:rsidRPr="007F6382" w:rsidRDefault="00A469F2" w:rsidP="00565CCF">
                            <w:pPr>
                              <w:rPr>
                                <w:rFonts w:asciiTheme="minorHAnsi" w:hAnsiTheme="minorHAnsi"/>
                                <w:color w:val="FFFFFF" w:themeColor="background1"/>
                                <w:sz w:val="22"/>
                              </w:rPr>
                            </w:pPr>
                            <w:r w:rsidRPr="007F6382">
                              <w:rPr>
                                <w:rFonts w:asciiTheme="minorHAnsi" w:hAnsiTheme="minorHAnsi"/>
                                <w:color w:val="FFFFFF" w:themeColor="background1"/>
                                <w:sz w:val="22"/>
                              </w:rPr>
                              <w:t>Złoża węgla brunatnego „Legnica” pojawiają się w licznych dokumentach strategicznych i planistycznych na szczeblu centralnym</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jak i regionalnym, jako zasób o znaczeniu strategicznym dla kraju:  </w:t>
                            </w:r>
                          </w:p>
                          <w:p w:rsidR="00A469F2" w:rsidRPr="007F6382" w:rsidRDefault="00A469F2" w:rsidP="00565CCF">
                            <w:pPr>
                              <w:pStyle w:val="Akapitzlist"/>
                              <w:numPr>
                                <w:ilvl w:val="0"/>
                                <w:numId w:val="14"/>
                              </w:numPr>
                              <w:rPr>
                                <w:rFonts w:asciiTheme="minorHAnsi" w:hAnsiTheme="minorHAnsi"/>
                                <w:color w:val="FFFFFF" w:themeColor="background1"/>
                                <w:sz w:val="22"/>
                              </w:rPr>
                            </w:pPr>
                            <w:r w:rsidRPr="007F6382">
                              <w:rPr>
                                <w:rFonts w:asciiTheme="minorHAnsi" w:hAnsiTheme="minorHAnsi"/>
                                <w:i/>
                                <w:color w:val="FFFFFF" w:themeColor="background1"/>
                                <w:sz w:val="22"/>
                              </w:rPr>
                              <w:t>Koncepcja Przestrzennego Zagospodarowania Kraju 2030</w:t>
                            </w:r>
                            <w:r w:rsidRPr="007F6382">
                              <w:rPr>
                                <w:rFonts w:asciiTheme="minorHAnsi" w:hAnsiTheme="minorHAnsi"/>
                                <w:color w:val="FFFFFF" w:themeColor="background1"/>
                                <w:sz w:val="22"/>
                              </w:rPr>
                              <w:t xml:space="preserve"> wskazuje na konieczność ochrony złóż węgla brunatnego „Legnica” jako zasobów o charakterze strategicznym z punktu widzenia długofalowego bezpieczeństwa energetycznego i gospodarczego kraju.</w:t>
                            </w:r>
                          </w:p>
                          <w:p w:rsidR="00A469F2" w:rsidRPr="007F6382" w:rsidRDefault="00A469F2" w:rsidP="00565CCF">
                            <w:pPr>
                              <w:pStyle w:val="Default"/>
                              <w:numPr>
                                <w:ilvl w:val="0"/>
                                <w:numId w:val="14"/>
                              </w:numPr>
                              <w:spacing w:line="276" w:lineRule="auto"/>
                              <w:jc w:val="both"/>
                              <w:rPr>
                                <w:rFonts w:asciiTheme="minorHAnsi" w:hAnsiTheme="minorHAnsi"/>
                                <w:color w:val="FFFFFF" w:themeColor="background1"/>
                                <w:sz w:val="22"/>
                                <w:szCs w:val="22"/>
                              </w:rPr>
                            </w:pPr>
                            <w:r w:rsidRPr="007F6382">
                              <w:rPr>
                                <w:rFonts w:asciiTheme="minorHAnsi" w:hAnsiTheme="minorHAnsi"/>
                                <w:i/>
                                <w:color w:val="FFFFFF" w:themeColor="background1"/>
                                <w:sz w:val="22"/>
                                <w:szCs w:val="22"/>
                              </w:rPr>
                              <w:t>Strategia Województwa Dolnośląskiego</w:t>
                            </w:r>
                            <w:r w:rsidRPr="007F6382">
                              <w:rPr>
                                <w:rFonts w:asciiTheme="minorHAnsi" w:hAnsiTheme="minorHAnsi"/>
                                <w:color w:val="FFFFFF" w:themeColor="background1"/>
                                <w:sz w:val="22"/>
                                <w:szCs w:val="22"/>
                              </w:rPr>
                              <w:t xml:space="preserve"> wprowadza zakaz eksploatacji złóż węgla brunatnego w okolicach Legnicy metodą odkrywkową, wskazuje jednak, iż w przypadku wyczerpania innych zasobów, decyzja na szczeblu centralnym może doprowadzić do powstania  kopalni węgla brunatnego na terenie Legnicy i jej bliskiego otoczenia. </w:t>
                            </w:r>
                          </w:p>
                          <w:p w:rsidR="00A469F2" w:rsidRPr="007F6382" w:rsidRDefault="00A469F2" w:rsidP="00565CCF">
                            <w:pPr>
                              <w:pStyle w:val="Akapitzlist"/>
                              <w:numPr>
                                <w:ilvl w:val="0"/>
                                <w:numId w:val="14"/>
                              </w:numPr>
                              <w:rPr>
                                <w:rFonts w:asciiTheme="minorHAnsi" w:hAnsiTheme="minorHAnsi"/>
                                <w:color w:val="FFFFFF" w:themeColor="background1"/>
                                <w:sz w:val="22"/>
                              </w:rPr>
                            </w:pPr>
                            <w:r w:rsidRPr="007F6382">
                              <w:rPr>
                                <w:rFonts w:asciiTheme="minorHAnsi" w:hAnsiTheme="minorHAnsi"/>
                                <w:i/>
                                <w:color w:val="FFFFFF" w:themeColor="background1"/>
                                <w:sz w:val="22"/>
                              </w:rPr>
                              <w:t>Plan Zagospodarowania Przestrzennego Województwa Dolnośląskiego</w:t>
                            </w:r>
                            <w:r w:rsidRPr="007F6382">
                              <w:rPr>
                                <w:rFonts w:asciiTheme="minorHAnsi" w:hAnsiTheme="minorHAnsi"/>
                                <w:color w:val="FFFFFF" w:themeColor="background1"/>
                                <w:sz w:val="22"/>
                              </w:rPr>
                              <w:t xml:space="preserve"> zawiera obszar delimitacji złóż węgla brunatnego, jednocześnie wskazuj</w:t>
                            </w:r>
                            <w:r>
                              <w:rPr>
                                <w:rFonts w:asciiTheme="minorHAnsi" w:hAnsiTheme="minorHAnsi"/>
                                <w:color w:val="FFFFFF" w:themeColor="background1"/>
                                <w:sz w:val="22"/>
                              </w:rPr>
                              <w:t>ąc</w:t>
                            </w:r>
                            <w:r w:rsidRPr="007F6382">
                              <w:rPr>
                                <w:rFonts w:asciiTheme="minorHAnsi" w:hAnsiTheme="minorHAnsi"/>
                                <w:color w:val="FFFFFF" w:themeColor="background1"/>
                                <w:sz w:val="22"/>
                              </w:rPr>
                              <w:t xml:space="preserve">, iż program działań wykonawczych </w:t>
                            </w:r>
                            <w:r w:rsidRPr="007F6382">
                              <w:rPr>
                                <w:rFonts w:asciiTheme="minorHAnsi" w:hAnsiTheme="minorHAnsi"/>
                                <w:i/>
                                <w:color w:val="FFFFFF" w:themeColor="background1"/>
                                <w:sz w:val="22"/>
                              </w:rPr>
                              <w:t>Perspektywy Energetycznej Państwa 2030</w:t>
                            </w:r>
                            <w:r w:rsidRPr="007F6382">
                              <w:rPr>
                                <w:rFonts w:asciiTheme="minorHAnsi" w:hAnsiTheme="minorHAnsi"/>
                                <w:color w:val="FFFFFF" w:themeColor="background1"/>
                                <w:sz w:val="22"/>
                              </w:rPr>
                              <w:t xml:space="preserve"> zakładał wydanie rozporządzenia w sprawie wykazu złóż węg</w:t>
                            </w:r>
                            <w:r>
                              <w:rPr>
                                <w:rFonts w:asciiTheme="minorHAnsi" w:hAnsiTheme="minorHAnsi"/>
                                <w:color w:val="FFFFFF" w:themeColor="background1"/>
                                <w:sz w:val="22"/>
                              </w:rPr>
                              <w:t>la kamiennego i brunatnego o zna</w:t>
                            </w:r>
                            <w:r w:rsidRPr="007F6382">
                              <w:rPr>
                                <w:rFonts w:asciiTheme="minorHAnsi" w:hAnsiTheme="minorHAnsi"/>
                                <w:color w:val="FFFFFF" w:themeColor="background1"/>
                                <w:sz w:val="22"/>
                              </w:rPr>
                              <w:t>czeniu strategicznym dla bezpieczeństwa energetycznego kraju w 2010 roku. Ww. rozporządzenie do tej pory nie ukazało się, dlatego złoża węgla brunatnego w rejonie Legnicy można uznać jedynie za potencjalne złoża o znaczeniu strategicznym.</w:t>
                            </w:r>
                          </w:p>
                          <w:p w:rsidR="00A469F2" w:rsidRPr="007F6382" w:rsidRDefault="00A469F2" w:rsidP="00565CCF">
                            <w:pPr>
                              <w:pStyle w:val="Akapitzlist"/>
                              <w:rPr>
                                <w:rFonts w:asciiTheme="minorHAnsi" w:hAnsiTheme="minorHAnsi"/>
                                <w:color w:val="FFFFFF" w:themeColor="background1"/>
                                <w:sz w:val="22"/>
                              </w:rPr>
                            </w:pPr>
                          </w:p>
                          <w:p w:rsidR="00A469F2" w:rsidRPr="007F6382" w:rsidRDefault="00A469F2" w:rsidP="00565CCF">
                            <w:pPr>
                              <w:rPr>
                                <w:rFonts w:asciiTheme="minorHAnsi" w:hAnsiTheme="minorHAnsi"/>
                                <w:color w:val="FFFFFF" w:themeColor="background1"/>
                                <w:sz w:val="22"/>
                              </w:rPr>
                            </w:pPr>
                            <w:r w:rsidRPr="007F6382">
                              <w:rPr>
                                <w:rFonts w:asciiTheme="minorHAnsi" w:hAnsiTheme="minorHAnsi"/>
                                <w:color w:val="FFFFFF" w:themeColor="background1"/>
                                <w:sz w:val="22"/>
                              </w:rPr>
                              <w:t>Koncepcja zagospodarowania złoża „Legnica” przewiduje eksploatację trzech wymienionych wyżej pól (Wschód, Zachód, Północ) na powierzchni 113,7 km</w:t>
                            </w:r>
                            <w:r w:rsidRPr="007F6382">
                              <w:rPr>
                                <w:rFonts w:asciiTheme="minorHAnsi" w:hAnsiTheme="minorHAnsi" w:cs="Times New Roman"/>
                                <w:color w:val="FFFFFF" w:themeColor="background1"/>
                                <w:sz w:val="22"/>
                              </w:rPr>
                              <w:t>²</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znajdujących się w granicach czterech gmin: Miłkowice, Kunice, Lubin i Prochowice oraz budowę elektrowni na powierzchni ok. 300 ha. Całkowita wielkość wydobycia węgla brunatnego ze złoża wyniesie około 1 875 mln ton. Obecny etap analiz ekonomicznych wykazuje, iż opłacalna może być tylko eksploatacja złoża metodą odkrywkową przez okres około 100 lat. </w:t>
                            </w:r>
                          </w:p>
                          <w:p w:rsidR="00A469F2" w:rsidRPr="007F6382" w:rsidRDefault="00A469F2" w:rsidP="00565CCF">
                            <w:pPr>
                              <w:rPr>
                                <w:rFonts w:asciiTheme="minorHAnsi" w:hAnsiTheme="minorHAnsi"/>
                                <w:color w:val="FFFFFF" w:themeColor="background1"/>
                                <w:sz w:val="22"/>
                              </w:rPr>
                            </w:pPr>
                          </w:p>
                          <w:p w:rsidR="00A469F2" w:rsidRPr="007F6382" w:rsidRDefault="00A469F2"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Decyzja o rozpoczęciu eksploatacji złóż węgla brunatnego spowoduje znaczne ingerencje w zasoby środowiska naturalnego poprzez czasowe straty w zasobach leśnych i rolnych, które będą mogły być odtworzone dopiero po zakończeniu eksploatacji, a także trwałą zmianę krajobrazu regionu. Przejściowe straty poniesie również rolnictwo funkcjonujące w zasięgu depresji leja odwadniającego, zwłaszcza na skutek zaburzenia zlewni wód gruntowych i związanym z tym osuszaniem się gruntów. Budowa kopalni pociągnie za sobą konieczność przebudowy lub rozbudowy infrastruktury drogowej, regulację rzek, a także przeniesienie części osiedli poza teren przyszłej odkrywki. </w:t>
                            </w:r>
                          </w:p>
                          <w:p w:rsidR="00A469F2" w:rsidRPr="007F6382" w:rsidRDefault="00A469F2" w:rsidP="00565CCF">
                            <w:pPr>
                              <w:rPr>
                                <w:rFonts w:asciiTheme="minorHAnsi" w:hAnsiTheme="minorHAnsi"/>
                                <w:color w:val="FFFFFF" w:themeColor="background1"/>
                                <w:sz w:val="22"/>
                              </w:rPr>
                            </w:pPr>
                          </w:p>
                          <w:p w:rsidR="00A469F2" w:rsidRDefault="00A469F2" w:rsidP="00565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2" type="#_x0000_t202" style="position:absolute;left:0;text-align:left;margin-left:2.65pt;margin-top:0;width:454.5pt;height:6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hsAIAAOwFAAAOAAAAZHJzL2Uyb0RvYy54bWysVFtP2zAUfp+0/2D5faTpWgoVKepATJMY&#10;oMHEs+vY1ML28Wy3Sfn1O3bSUmCaxLSXxPb5zu07l5PT1miyFj4osBUtDwaUCMuhVvahoj/vLj4d&#10;URIiszXTYEVFNyLQ09nHDyeNm4ohLEHXwhM0YsO0cRVdxuimRRH4UhgWDsAJi0IJ3rCIV/9Q1J41&#10;aN3oYjgYHBYN+Np54CIEfD3vhHSW7UspeLyWMohIdEUxtpi/Pn8X6VvMTtj0wTO3VLwPg/1DFIYp&#10;i053ps5ZZGTl1RtTRnEPAWQ84GAKkFJxkXPAbMrBq2xul8yJnAuSE9yOpvD/zPKr9Y0nqsbalUNK&#10;LDNYpBvQgkTxGCI0giQB0tS4MEX0rUN8bL9Aiyrb94CPKftWepP+mBdBORK+2ZEs2kg4Po4nk2E5&#10;RhFH2eR4ODoa5DIUz+rOh/hVgCHpUFGPVczksvVliBgKQreQ5C2AVvWF0jpfUueIM+3JmmHNGefC&#10;xjKr65X5DnX3PhkPdm5zsyWVbPmFNW1JU9HDzxjvG08phJ2fhWb8MdGBse1ZwJu2SVPkXuzDT1R2&#10;lOVT3GiRMNr+EBJrkZn7Sy6dl4xOKImZv0exxz9H9R7lLg/UyJ7Bxp2yURZ8x9LLEtSPuU+QCtnh&#10;kaS9vNMxtou2a8LjbUstoN5gp3noRjY4fqGQ8EsW4g3zOKPYQbh34jV+pAasEvQnSpbgn/70nvA4&#10;OiilpMGZr2j4tWJeUKK/WRyq43I0SksiX0bjyRAvfl+y2JfYlTkDbLESN5zj+ZjwUW+P0oO5x/U0&#10;T15RxCxH3xWN2+NZ7DYRrjcu5vMMwrXgWLy0t44n04nm1Gh37T3zrh+IiLN0BdvtwKav5qLDJk0L&#10;81UEqfLQJKI7VvsC4ErJ/dqvv7Sz9u8Z9bykZ78BAAD//wMAUEsDBBQABgAIAAAAIQC2W++r3AAA&#10;AAcBAAAPAAAAZHJzL2Rvd25yZXYueG1sTI/BTsMwEETvSPyDtZW4UaehRSXEqQBBhbg1RJydeElS&#10;4nVku23o17Oc4Diap9m3+WaygziiD70jBYt5AgKpcaanVkH1/nK9BhGiJqMHR6jgGwNsisuLXGfG&#10;nWiHxzK2gkcoZFpBF+OYSRmaDq0OczcicffpvNWRo2+l8frE43aQaZLcSqt74gudHvGpw+arPFgF&#10;5bap6l2cXiv3dn70bvWxf06tUlez6eEeRMQp/sHwq8/qULBT7Q5kghgUrG4YVMD/cHm3WHKsmUqX&#10;6wRkkcv//sUPAAAA//8DAFBLAQItABQABgAIAAAAIQC2gziS/gAAAOEBAAATAAAAAAAAAAAAAAAA&#10;AAAAAABbQ29udGVudF9UeXBlc10ueG1sUEsBAi0AFAAGAAgAAAAhADj9If/WAAAAlAEAAAsAAAAA&#10;AAAAAAAAAAAALwEAAF9yZWxzLy5yZWxzUEsBAi0AFAAGAAgAAAAhAFn5ByGwAgAA7AUAAA4AAAAA&#10;AAAAAAAAAAAALgIAAGRycy9lMm9Eb2MueG1sUEsBAi0AFAAGAAgAAAAhALZb76vcAAAABwEAAA8A&#10;AAAAAAAAAAAAAAAACgUAAGRycy9kb3ducmV2LnhtbFBLBQYAAAAABAAEAPMAAAATBgAAAAA=&#10;" fillcolor="#2e74b5 [2404]" strokeweight=".5pt">
                <v:textbox>
                  <w:txbxContent>
                    <w:p w:rsidR="00960314" w:rsidRPr="007F6382" w:rsidRDefault="00960314" w:rsidP="00565CCF">
                      <w:pPr>
                        <w:rPr>
                          <w:rFonts w:asciiTheme="minorHAnsi" w:hAnsiTheme="minorHAnsi"/>
                          <w:b/>
                          <w:color w:val="FFFFFF" w:themeColor="background1"/>
                          <w:sz w:val="22"/>
                        </w:rPr>
                      </w:pPr>
                      <w:r w:rsidRPr="007F6382">
                        <w:rPr>
                          <w:rFonts w:asciiTheme="minorHAnsi" w:hAnsiTheme="minorHAnsi"/>
                          <w:b/>
                          <w:color w:val="FFFFFF" w:themeColor="background1"/>
                          <w:sz w:val="22"/>
                        </w:rPr>
                        <w:t>Obszar problemowy – eksploatacja złóż węgla brunatnego „Legnica”</w:t>
                      </w:r>
                    </w:p>
                    <w:p w:rsidR="00960314" w:rsidRPr="007F6382" w:rsidRDefault="00960314" w:rsidP="00565CCF">
                      <w:pPr>
                        <w:rPr>
                          <w:rFonts w:asciiTheme="minorHAnsi" w:hAnsiTheme="minorHAnsi"/>
                          <w:color w:val="FFFFFF" w:themeColor="background1"/>
                          <w:sz w:val="22"/>
                        </w:rPr>
                      </w:pPr>
                      <w:r w:rsidRPr="007F6382">
                        <w:rPr>
                          <w:rFonts w:asciiTheme="minorHAnsi" w:hAnsiTheme="minorHAnsi"/>
                          <w:color w:val="FFFFFF" w:themeColor="background1"/>
                          <w:sz w:val="22"/>
                        </w:rPr>
                        <w:t>Złoża węgla brunatnego „Legnica” pojawiają się w licznych dokumentach strategicznych i planistycznych na szczeblu centralnym</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jak i regionalnym, jako zasób o znaczeniu strategicznym dla kraju:  </w:t>
                      </w:r>
                    </w:p>
                    <w:p w:rsidR="00960314" w:rsidRPr="007F6382" w:rsidRDefault="00960314" w:rsidP="00565CCF">
                      <w:pPr>
                        <w:pStyle w:val="Akapitzlist"/>
                        <w:numPr>
                          <w:ilvl w:val="0"/>
                          <w:numId w:val="14"/>
                        </w:numPr>
                        <w:rPr>
                          <w:rFonts w:asciiTheme="minorHAnsi" w:hAnsiTheme="minorHAnsi"/>
                          <w:color w:val="FFFFFF" w:themeColor="background1"/>
                          <w:sz w:val="22"/>
                        </w:rPr>
                      </w:pPr>
                      <w:r w:rsidRPr="007F6382">
                        <w:rPr>
                          <w:rFonts w:asciiTheme="minorHAnsi" w:hAnsiTheme="minorHAnsi"/>
                          <w:i/>
                          <w:color w:val="FFFFFF" w:themeColor="background1"/>
                          <w:sz w:val="22"/>
                        </w:rPr>
                        <w:t>Koncepcja Przestrzennego Zagospodarowania Kraju 2030</w:t>
                      </w:r>
                      <w:r w:rsidRPr="007F6382">
                        <w:rPr>
                          <w:rFonts w:asciiTheme="minorHAnsi" w:hAnsiTheme="minorHAnsi"/>
                          <w:color w:val="FFFFFF" w:themeColor="background1"/>
                          <w:sz w:val="22"/>
                        </w:rPr>
                        <w:t xml:space="preserve"> wskazuje na konieczność ochrony złóż węgla brunatnego „Legnica” jako zasobów o charakterze strategicznym z punktu widzenia długofalowego bezpieczeństwa energetycznego i gospodarczego kraju.</w:t>
                      </w:r>
                    </w:p>
                    <w:p w:rsidR="00960314" w:rsidRPr="007F6382" w:rsidRDefault="00960314" w:rsidP="00565CCF">
                      <w:pPr>
                        <w:pStyle w:val="Default"/>
                        <w:numPr>
                          <w:ilvl w:val="0"/>
                          <w:numId w:val="14"/>
                        </w:numPr>
                        <w:spacing w:line="276" w:lineRule="auto"/>
                        <w:jc w:val="both"/>
                        <w:rPr>
                          <w:rFonts w:asciiTheme="minorHAnsi" w:hAnsiTheme="minorHAnsi"/>
                          <w:color w:val="FFFFFF" w:themeColor="background1"/>
                          <w:sz w:val="22"/>
                          <w:szCs w:val="22"/>
                        </w:rPr>
                      </w:pPr>
                      <w:r w:rsidRPr="007F6382">
                        <w:rPr>
                          <w:rFonts w:asciiTheme="minorHAnsi" w:hAnsiTheme="minorHAnsi"/>
                          <w:i/>
                          <w:color w:val="FFFFFF" w:themeColor="background1"/>
                          <w:sz w:val="22"/>
                          <w:szCs w:val="22"/>
                        </w:rPr>
                        <w:t>Strategia Województwa Dolnośląskiego</w:t>
                      </w:r>
                      <w:r w:rsidRPr="007F6382">
                        <w:rPr>
                          <w:rFonts w:asciiTheme="minorHAnsi" w:hAnsiTheme="minorHAnsi"/>
                          <w:color w:val="FFFFFF" w:themeColor="background1"/>
                          <w:sz w:val="22"/>
                          <w:szCs w:val="22"/>
                        </w:rPr>
                        <w:t xml:space="preserve"> wprowadza zakaz eksploatacji złóż węgla brunatnego w okolicach Legnicy metodą odkrywkową, wskazuje jednak, iż w przypadku wyczerpania innych zasobów, decyzja na szczeblu centralnym może doprowadzić do powstania  kopalni węgla brunatnego na terenie Legnicy i jej bliskiego otoczenia. </w:t>
                      </w:r>
                    </w:p>
                    <w:p w:rsidR="00960314" w:rsidRPr="007F6382" w:rsidRDefault="00960314" w:rsidP="00565CCF">
                      <w:pPr>
                        <w:pStyle w:val="Akapitzlist"/>
                        <w:numPr>
                          <w:ilvl w:val="0"/>
                          <w:numId w:val="14"/>
                        </w:numPr>
                        <w:rPr>
                          <w:rFonts w:asciiTheme="minorHAnsi" w:hAnsiTheme="minorHAnsi"/>
                          <w:color w:val="FFFFFF" w:themeColor="background1"/>
                          <w:sz w:val="22"/>
                        </w:rPr>
                      </w:pPr>
                      <w:r w:rsidRPr="007F6382">
                        <w:rPr>
                          <w:rFonts w:asciiTheme="minorHAnsi" w:hAnsiTheme="minorHAnsi"/>
                          <w:i/>
                          <w:color w:val="FFFFFF" w:themeColor="background1"/>
                          <w:sz w:val="22"/>
                        </w:rPr>
                        <w:t>Plan Zagospodarowania Przestrzennego Województwa Dolnośląskiego</w:t>
                      </w:r>
                      <w:r w:rsidRPr="007F6382">
                        <w:rPr>
                          <w:rFonts w:asciiTheme="minorHAnsi" w:hAnsiTheme="minorHAnsi"/>
                          <w:color w:val="FFFFFF" w:themeColor="background1"/>
                          <w:sz w:val="22"/>
                        </w:rPr>
                        <w:t xml:space="preserve"> zawiera obszar delimitacji złóż węgla brunatnego, jednocześnie wskazuj</w:t>
                      </w:r>
                      <w:r>
                        <w:rPr>
                          <w:rFonts w:asciiTheme="minorHAnsi" w:hAnsiTheme="minorHAnsi"/>
                          <w:color w:val="FFFFFF" w:themeColor="background1"/>
                          <w:sz w:val="22"/>
                        </w:rPr>
                        <w:t>ąc</w:t>
                      </w:r>
                      <w:r w:rsidRPr="007F6382">
                        <w:rPr>
                          <w:rFonts w:asciiTheme="minorHAnsi" w:hAnsiTheme="minorHAnsi"/>
                          <w:color w:val="FFFFFF" w:themeColor="background1"/>
                          <w:sz w:val="22"/>
                        </w:rPr>
                        <w:t xml:space="preserve">, iż program działań wykonawczych </w:t>
                      </w:r>
                      <w:r w:rsidRPr="007F6382">
                        <w:rPr>
                          <w:rFonts w:asciiTheme="minorHAnsi" w:hAnsiTheme="minorHAnsi"/>
                          <w:i/>
                          <w:color w:val="FFFFFF" w:themeColor="background1"/>
                          <w:sz w:val="22"/>
                        </w:rPr>
                        <w:t>Perspektywy Energetycznej Państwa 2030</w:t>
                      </w:r>
                      <w:r w:rsidRPr="007F6382">
                        <w:rPr>
                          <w:rFonts w:asciiTheme="minorHAnsi" w:hAnsiTheme="minorHAnsi"/>
                          <w:color w:val="FFFFFF" w:themeColor="background1"/>
                          <w:sz w:val="22"/>
                        </w:rPr>
                        <w:t xml:space="preserve"> zakładał wydanie rozporządzenia w sprawie wykazu złóż węg</w:t>
                      </w:r>
                      <w:r>
                        <w:rPr>
                          <w:rFonts w:asciiTheme="minorHAnsi" w:hAnsiTheme="minorHAnsi"/>
                          <w:color w:val="FFFFFF" w:themeColor="background1"/>
                          <w:sz w:val="22"/>
                        </w:rPr>
                        <w:t>la kamiennego i brunatnego o zna</w:t>
                      </w:r>
                      <w:r w:rsidRPr="007F6382">
                        <w:rPr>
                          <w:rFonts w:asciiTheme="minorHAnsi" w:hAnsiTheme="minorHAnsi"/>
                          <w:color w:val="FFFFFF" w:themeColor="background1"/>
                          <w:sz w:val="22"/>
                        </w:rPr>
                        <w:t>czeniu strategicznym dla bezpieczeństwa energetycznego kraju w 2010 roku. Ww. rozporządzenie do tej pory nie ukazało się, dlatego złoża węgla brunatnego w rejonie Legnicy można uznać jedynie za potencjalne złoża o znaczeniu strategicznym.</w:t>
                      </w:r>
                    </w:p>
                    <w:p w:rsidR="00960314" w:rsidRPr="007F6382" w:rsidRDefault="00960314" w:rsidP="00565CCF">
                      <w:pPr>
                        <w:pStyle w:val="Akapitzlist"/>
                        <w:rPr>
                          <w:rFonts w:asciiTheme="minorHAnsi" w:hAnsiTheme="minorHAnsi"/>
                          <w:color w:val="FFFFFF" w:themeColor="background1"/>
                          <w:sz w:val="22"/>
                        </w:rPr>
                      </w:pPr>
                    </w:p>
                    <w:p w:rsidR="00960314" w:rsidRPr="007F6382" w:rsidRDefault="00960314" w:rsidP="00565CCF">
                      <w:pPr>
                        <w:rPr>
                          <w:rFonts w:asciiTheme="minorHAnsi" w:hAnsiTheme="minorHAnsi"/>
                          <w:color w:val="FFFFFF" w:themeColor="background1"/>
                          <w:sz w:val="22"/>
                        </w:rPr>
                      </w:pPr>
                      <w:r w:rsidRPr="007F6382">
                        <w:rPr>
                          <w:rFonts w:asciiTheme="minorHAnsi" w:hAnsiTheme="minorHAnsi"/>
                          <w:color w:val="FFFFFF" w:themeColor="background1"/>
                          <w:sz w:val="22"/>
                        </w:rPr>
                        <w:t>Koncepcja zagospodarowania złoża „Legnica” przewiduje eksploatację trzech wymienionych wyżej pól (Wschód, Zachód, Północ) na powierzchni 113,7 km</w:t>
                      </w:r>
                      <w:r w:rsidRPr="007F6382">
                        <w:rPr>
                          <w:rFonts w:asciiTheme="minorHAnsi" w:hAnsiTheme="minorHAnsi" w:cs="Times New Roman"/>
                          <w:color w:val="FFFFFF" w:themeColor="background1"/>
                          <w:sz w:val="22"/>
                        </w:rPr>
                        <w:t>²</w:t>
                      </w:r>
                      <w:r>
                        <w:rPr>
                          <w:rFonts w:asciiTheme="minorHAnsi" w:hAnsiTheme="minorHAnsi"/>
                          <w:color w:val="FFFFFF" w:themeColor="background1"/>
                          <w:sz w:val="22"/>
                        </w:rPr>
                        <w:t>,</w:t>
                      </w:r>
                      <w:r w:rsidRPr="007F6382">
                        <w:rPr>
                          <w:rFonts w:asciiTheme="minorHAnsi" w:hAnsiTheme="minorHAnsi"/>
                          <w:color w:val="FFFFFF" w:themeColor="background1"/>
                          <w:sz w:val="22"/>
                        </w:rPr>
                        <w:t xml:space="preserve"> znajdujących się w granicach czterech gmin: Miłkowice, Kunice, Lubin i Prochowice oraz budowę elektrowni na powierzchni ok. 300 ha. Całkowita wielkość wydobycia węgla brunatnego ze złoża wyniesie około 1 875 mln ton. Obecny etap analiz ekonomicznych wykazuje, iż opłacalna może być tylko eksploatacja złoża metodą odkrywkową przez okres około 100 lat. </w:t>
                      </w:r>
                    </w:p>
                    <w:p w:rsidR="00960314" w:rsidRPr="007F6382" w:rsidRDefault="00960314" w:rsidP="00565CCF">
                      <w:pPr>
                        <w:rPr>
                          <w:rFonts w:asciiTheme="minorHAnsi" w:hAnsiTheme="minorHAnsi"/>
                          <w:color w:val="FFFFFF" w:themeColor="background1"/>
                          <w:sz w:val="22"/>
                        </w:rPr>
                      </w:pPr>
                    </w:p>
                    <w:p w:rsidR="00960314" w:rsidRPr="007F6382" w:rsidRDefault="00960314" w:rsidP="00565CCF">
                      <w:pPr>
                        <w:rPr>
                          <w:rFonts w:asciiTheme="minorHAnsi" w:hAnsiTheme="minorHAnsi"/>
                          <w:color w:val="FFFFFF" w:themeColor="background1"/>
                          <w:sz w:val="22"/>
                        </w:rPr>
                      </w:pPr>
                      <w:r w:rsidRPr="007F6382">
                        <w:rPr>
                          <w:rFonts w:asciiTheme="minorHAnsi" w:hAnsiTheme="minorHAnsi"/>
                          <w:color w:val="FFFFFF" w:themeColor="background1"/>
                          <w:sz w:val="22"/>
                        </w:rPr>
                        <w:t xml:space="preserve">Decyzja o rozpoczęciu eksploatacji złóż węgla brunatnego spowoduje znaczne ingerencje w zasoby środowiska naturalnego poprzez czasowe straty w zasobach leśnych i rolnych, które będą mogły być odtworzone dopiero po zakończeniu eksploatacji, a także trwałą zmianę krajobrazu regionu. Przejściowe straty poniesie również rolnictwo funkcjonujące w zasięgu depresji leja odwadniającego, zwłaszcza na skutek zaburzenia zlewni wód gruntowych i związanym z tym osuszaniem się gruntów. Budowa kopalni pociągnie za sobą konieczność przebudowy lub rozbudowy infrastruktury drogowej, regulację rzek, a także przeniesienie części osiedli poza teren przyszłej odkrywki. </w:t>
                      </w:r>
                    </w:p>
                    <w:p w:rsidR="00960314" w:rsidRPr="007F6382" w:rsidRDefault="00960314" w:rsidP="00565CCF">
                      <w:pPr>
                        <w:rPr>
                          <w:rFonts w:asciiTheme="minorHAnsi" w:hAnsiTheme="minorHAnsi"/>
                          <w:color w:val="FFFFFF" w:themeColor="background1"/>
                          <w:sz w:val="22"/>
                        </w:rPr>
                      </w:pPr>
                    </w:p>
                    <w:p w:rsidR="00960314" w:rsidRDefault="00960314" w:rsidP="00565CCF"/>
                  </w:txbxContent>
                </v:textbox>
                <w10:wrap type="topAndBottom"/>
              </v:shape>
            </w:pict>
          </mc:Fallback>
        </mc:AlternateContent>
      </w:r>
    </w:p>
    <w:p w:rsidR="00274ACE" w:rsidRPr="00563EF2" w:rsidRDefault="00274ACE" w:rsidP="00274ACE">
      <w:pPr>
        <w:pStyle w:val="Nagwek3"/>
      </w:pPr>
      <w:bookmarkStart w:id="54" w:name="_Toc384636610"/>
      <w:bookmarkStart w:id="55" w:name="_Toc399756341"/>
      <w:r>
        <w:rPr>
          <w:rFonts w:asciiTheme="minorHAnsi" w:hAnsiTheme="minorHAnsi"/>
          <w:noProof/>
          <w:sz w:val="22"/>
          <w:lang w:eastAsia="pl-PL"/>
        </w:rPr>
        <mc:AlternateContent>
          <mc:Choice Requires="wps">
            <w:drawing>
              <wp:anchor distT="0" distB="0" distL="114300" distR="114300" simplePos="0" relativeHeight="251679744" behindDoc="0" locked="0" layoutInCell="1" allowOverlap="1" wp14:anchorId="2FC8746B" wp14:editId="3826F28E">
                <wp:simplePos x="0" y="0"/>
                <wp:positionH relativeFrom="column">
                  <wp:posOffset>33655</wp:posOffset>
                </wp:positionH>
                <wp:positionV relativeFrom="paragraph">
                  <wp:posOffset>0</wp:posOffset>
                </wp:positionV>
                <wp:extent cx="5772150" cy="8858250"/>
                <wp:effectExtent l="0" t="0" r="19050" b="19050"/>
                <wp:wrapTopAndBottom/>
                <wp:docPr id="113" name="Pole tekstowe 113"/>
                <wp:cNvGraphicFramePr/>
                <a:graphic xmlns:a="http://schemas.openxmlformats.org/drawingml/2006/main">
                  <a:graphicData uri="http://schemas.microsoft.com/office/word/2010/wordprocessingShape">
                    <wps:wsp>
                      <wps:cNvSpPr txBox="1"/>
                      <wps:spPr>
                        <a:xfrm>
                          <a:off x="0" y="0"/>
                          <a:ext cx="5772150" cy="88582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9F2" w:rsidRPr="000100D2" w:rsidRDefault="00A469F2" w:rsidP="00565CCF">
                            <w:pPr>
                              <w:rPr>
                                <w:rFonts w:asciiTheme="minorHAnsi" w:hAnsiTheme="minorHAnsi"/>
                                <w:color w:val="FFFFFF" w:themeColor="background1"/>
                                <w:sz w:val="22"/>
                              </w:rPr>
                            </w:pPr>
                          </w:p>
                          <w:p w:rsidR="00A469F2" w:rsidRPr="000100D2" w:rsidRDefault="00A469F2" w:rsidP="00565CCF">
                            <w:pPr>
                              <w:pStyle w:val="Legenda"/>
                              <w:keepNext/>
                              <w:spacing w:line="276" w:lineRule="auto"/>
                              <w:rPr>
                                <w:rFonts w:asciiTheme="minorHAnsi" w:hAnsiTheme="minorHAnsi"/>
                                <w:color w:val="FFFFFF" w:themeColor="background1"/>
                                <w:sz w:val="22"/>
                                <w:szCs w:val="22"/>
                              </w:rPr>
                            </w:pPr>
                            <w:r w:rsidRPr="000100D2">
                              <w:rPr>
                                <w:rFonts w:asciiTheme="minorHAnsi" w:hAnsiTheme="minorHAnsi"/>
                                <w:color w:val="FFFFFF" w:themeColor="background1"/>
                                <w:sz w:val="22"/>
                                <w:szCs w:val="22"/>
                              </w:rPr>
                              <w:t xml:space="preserve">Mapa </w:t>
                            </w:r>
                            <w:r w:rsidRPr="000100D2">
                              <w:rPr>
                                <w:rFonts w:asciiTheme="minorHAnsi" w:hAnsiTheme="minorHAnsi"/>
                                <w:color w:val="FFFFFF" w:themeColor="background1"/>
                                <w:sz w:val="22"/>
                                <w:szCs w:val="22"/>
                              </w:rPr>
                              <w:fldChar w:fldCharType="begin"/>
                            </w:r>
                            <w:r w:rsidRPr="000100D2">
                              <w:rPr>
                                <w:rFonts w:asciiTheme="minorHAnsi" w:hAnsiTheme="minorHAnsi"/>
                                <w:color w:val="FFFFFF" w:themeColor="background1"/>
                                <w:sz w:val="22"/>
                                <w:szCs w:val="22"/>
                              </w:rPr>
                              <w:instrText xml:space="preserve"> SEQ Mapa \* ARABIC </w:instrText>
                            </w:r>
                            <w:r w:rsidRPr="000100D2">
                              <w:rPr>
                                <w:rFonts w:asciiTheme="minorHAnsi" w:hAnsiTheme="minorHAnsi"/>
                                <w:color w:val="FFFFFF" w:themeColor="background1"/>
                                <w:sz w:val="22"/>
                                <w:szCs w:val="22"/>
                              </w:rPr>
                              <w:fldChar w:fldCharType="separate"/>
                            </w:r>
                            <w:r w:rsidR="007B2916">
                              <w:rPr>
                                <w:rFonts w:asciiTheme="minorHAnsi" w:hAnsiTheme="minorHAnsi"/>
                                <w:noProof/>
                                <w:color w:val="FFFFFF" w:themeColor="background1"/>
                                <w:sz w:val="22"/>
                                <w:szCs w:val="22"/>
                              </w:rPr>
                              <w:t>9</w:t>
                            </w:r>
                            <w:r w:rsidRPr="000100D2">
                              <w:rPr>
                                <w:rFonts w:asciiTheme="minorHAnsi" w:hAnsiTheme="minorHAnsi"/>
                                <w:color w:val="FFFFFF" w:themeColor="background1"/>
                                <w:sz w:val="22"/>
                                <w:szCs w:val="22"/>
                              </w:rPr>
                              <w:fldChar w:fldCharType="end"/>
                            </w:r>
                            <w:r w:rsidRPr="000100D2">
                              <w:rPr>
                                <w:rFonts w:asciiTheme="minorHAnsi" w:hAnsiTheme="minorHAnsi"/>
                                <w:color w:val="FFFFFF" w:themeColor="background1"/>
                                <w:sz w:val="22"/>
                                <w:szCs w:val="22"/>
                              </w:rPr>
                              <w:t>. Wstępna delimitacja obszaru funkcjonalnego potencjalnych strategicznych złóż węgla brunatnego w rejonie Legnicy.</w:t>
                            </w:r>
                          </w:p>
                          <w:p w:rsidR="00A469F2" w:rsidRPr="00565CCF" w:rsidRDefault="00A469F2" w:rsidP="00565CCF">
                            <w:r w:rsidRPr="00563EF2">
                              <w:rPr>
                                <w:rFonts w:asciiTheme="minorHAnsi" w:hAnsiTheme="minorHAnsi"/>
                                <w:noProof/>
                                <w:sz w:val="22"/>
                                <w:lang w:eastAsia="pl-PL"/>
                              </w:rPr>
                              <w:drawing>
                                <wp:inline distT="0" distB="0" distL="0" distR="0" wp14:anchorId="4A62E1CB" wp14:editId="4E7D031C">
                                  <wp:extent cx="5582920" cy="3447376"/>
                                  <wp:effectExtent l="0" t="0" r="0" b="1270"/>
                                  <wp:docPr id="4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582920" cy="3447376"/>
                                          </a:xfrm>
                                          <a:prstGeom prst="rect">
                                            <a:avLst/>
                                          </a:prstGeom>
                                          <a:noFill/>
                                          <a:ln w="9525">
                                            <a:noFill/>
                                            <a:miter lim="800000"/>
                                            <a:headEnd/>
                                            <a:tailEnd/>
                                          </a:ln>
                                        </pic:spPr>
                                      </pic:pic>
                                    </a:graphicData>
                                  </a:graphic>
                                </wp:inline>
                              </w:drawing>
                            </w:r>
                          </w:p>
                          <w:p w:rsidR="00A469F2" w:rsidRPr="00700661" w:rsidRDefault="00A469F2" w:rsidP="00274ACE">
                            <w:pPr>
                              <w:rPr>
                                <w:rFonts w:asciiTheme="minorHAnsi" w:hAnsiTheme="minorHAnsi"/>
                                <w:color w:val="FFFFFF" w:themeColor="background1"/>
                                <w:sz w:val="20"/>
                              </w:rPr>
                            </w:pPr>
                            <w:r w:rsidRPr="00700661">
                              <w:rPr>
                                <w:rFonts w:asciiTheme="minorHAnsi" w:hAnsiTheme="minorHAnsi"/>
                                <w:color w:val="FFFFFF" w:themeColor="background1"/>
                                <w:sz w:val="20"/>
                              </w:rPr>
                              <w:t xml:space="preserve">Źródło: </w:t>
                            </w:r>
                            <w:r w:rsidRPr="00700661">
                              <w:rPr>
                                <w:rFonts w:asciiTheme="minorHAnsi" w:hAnsiTheme="minorHAnsi"/>
                                <w:i/>
                                <w:color w:val="FFFFFF" w:themeColor="background1"/>
                                <w:sz w:val="20"/>
                              </w:rPr>
                              <w:t xml:space="preserve">Plan Zagospodarowania Przestrzennego Województwa Dolnośląskiego – Perspektywa 2020, </w:t>
                            </w:r>
                            <w:r w:rsidRPr="00700661">
                              <w:rPr>
                                <w:rFonts w:asciiTheme="minorHAnsi" w:hAnsiTheme="minorHAnsi"/>
                                <w:color w:val="FFFFFF" w:themeColor="background1"/>
                                <w:sz w:val="20"/>
                              </w:rPr>
                              <w:t>Urząd Marszałkowski Województwa Dolnośląskiego, 2014 r.</w:t>
                            </w:r>
                          </w:p>
                          <w:p w:rsidR="00A469F2" w:rsidRPr="00563EF2" w:rsidRDefault="00A469F2" w:rsidP="00274ACE">
                            <w:pPr>
                              <w:rPr>
                                <w:rFonts w:asciiTheme="minorHAnsi" w:hAnsiTheme="minorHAnsi"/>
                                <w:sz w:val="22"/>
                              </w:rPr>
                            </w:pPr>
                          </w:p>
                          <w:p w:rsidR="00A469F2" w:rsidRPr="000100D2" w:rsidRDefault="00A469F2" w:rsidP="00274ACE">
                            <w:pPr>
                              <w:rPr>
                                <w:rFonts w:asciiTheme="minorHAnsi" w:hAnsiTheme="minorHAnsi"/>
                                <w:color w:val="FFFFFF" w:themeColor="background1"/>
                                <w:sz w:val="22"/>
                              </w:rPr>
                            </w:pPr>
                            <w:r w:rsidRPr="000100D2">
                              <w:rPr>
                                <w:rFonts w:asciiTheme="minorHAnsi" w:hAnsiTheme="minorHAnsi"/>
                                <w:color w:val="FFFFFF" w:themeColor="background1"/>
                                <w:sz w:val="22"/>
                              </w:rPr>
                              <w:t xml:space="preserve">Korzyścią z uruchomienia inwestycji byłby wzrost wartości nieruchomości, modernizacja infrastruktury komunikacyjnej i sieciowej, wyraźnie odczuwalny wzrost przychodów gmin z tytułu opłat i podatków, rozwój rynku pracy i usług, zabezpieczenie energetyczne regionu. Korzyść dla środowiska wystąpi jedynie w przypadku ustanowienia specjalnych środków i obszarów ochrony przyrody ożywionej w granicach oddziaływania kopalni na środowisko. </w:t>
                            </w:r>
                          </w:p>
                          <w:p w:rsidR="00A469F2" w:rsidRPr="000100D2" w:rsidRDefault="00A469F2" w:rsidP="00274ACE">
                            <w:pPr>
                              <w:rPr>
                                <w:rFonts w:asciiTheme="minorHAnsi" w:hAnsiTheme="minorHAnsi"/>
                                <w:color w:val="FFFFFF" w:themeColor="background1"/>
                                <w:sz w:val="22"/>
                              </w:rPr>
                            </w:pPr>
                          </w:p>
                          <w:p w:rsidR="00A469F2" w:rsidRPr="000100D2" w:rsidRDefault="00A469F2" w:rsidP="00274ACE">
                            <w:pPr>
                              <w:rPr>
                                <w:rFonts w:asciiTheme="minorHAnsi" w:hAnsiTheme="minorHAnsi"/>
                                <w:color w:val="FFFFFF" w:themeColor="background1"/>
                                <w:sz w:val="22"/>
                              </w:rPr>
                            </w:pPr>
                            <w:r w:rsidRPr="000100D2">
                              <w:rPr>
                                <w:rFonts w:asciiTheme="minorHAnsi" w:hAnsiTheme="minorHAnsi"/>
                                <w:i/>
                                <w:color w:val="FFFFFF" w:themeColor="background1"/>
                                <w:sz w:val="22"/>
                              </w:rPr>
                              <w:t>„Strategia Europa 2020”</w:t>
                            </w:r>
                            <w:r w:rsidRPr="000100D2">
                              <w:rPr>
                                <w:rFonts w:asciiTheme="minorHAnsi" w:hAnsiTheme="minorHAnsi"/>
                                <w:color w:val="FFFFFF" w:themeColor="background1"/>
                                <w:sz w:val="22"/>
                              </w:rPr>
                              <w:t xml:space="preserve"> przyjęta przez Polskę zakłada ograniczenie emisji dwutlenku węgla do 2020 r. o co najmniej 20% w porównaniu z jego poziomem z 1990 r. Ewentualne niedopełnienie założeń Strategii wiązać się będzie z nałożeniem sankcji finansowych na nasz kraj. Potrzeba nowoczesnych rozwiązań w zakresie energetyki i dywersyfikacji źródeł jej pozyskania</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zwłaszcza w kierunku OZE</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może przyczynić się do zaniechania wydobycia węgla brunatnego tradycyjnymi metodami. Duże nadzieje związane są z opracowywaniem i wdrażaniem technologii zgazowywania węgla brunatnego bezpośrednio w złożu, co wiązałoby się z pominięciem konieczności budowy ogromnej k</w:t>
                            </w:r>
                            <w:r>
                              <w:rPr>
                                <w:rFonts w:asciiTheme="minorHAnsi" w:hAnsiTheme="minorHAnsi"/>
                                <w:color w:val="FFFFFF" w:themeColor="background1"/>
                                <w:sz w:val="22"/>
                              </w:rPr>
                              <w:t>opalni odkrywkowej i złagodziło</w:t>
                            </w:r>
                            <w:r w:rsidRPr="000100D2">
                              <w:rPr>
                                <w:rFonts w:asciiTheme="minorHAnsi" w:hAnsiTheme="minorHAnsi"/>
                                <w:color w:val="FFFFFF" w:themeColor="background1"/>
                                <w:sz w:val="22"/>
                              </w:rPr>
                              <w:t>by opór środowisk społecznych i ekologicznych. Program utworzenia stanowiska doświadczalnego i wypróbowania tego typu technologii podejmuje obecnie KGHM Polska Miedź S.A.</w:t>
                            </w:r>
                          </w:p>
                          <w:p w:rsidR="00A469F2" w:rsidRDefault="00A469F2" w:rsidP="00565CCF"/>
                          <w:p w:rsidR="00A469F2" w:rsidRDefault="00A469F2" w:rsidP="00565CCF"/>
                          <w:p w:rsidR="00A469F2" w:rsidRDefault="00A469F2" w:rsidP="00565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13" o:spid="_x0000_s1063" type="#_x0000_t202" style="position:absolute;left:0;text-align:left;margin-left:2.65pt;margin-top:0;width:454.5pt;height:6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KarQIAAOwFAAAOAAAAZHJzL2Uyb0RvYy54bWysVEtPGzEQvlfqf7B8L5sNpEkjNigFUVWi&#10;gAoVZ8drEwvb49pOdtNf37F38wCqSlS97I7nPd88Ts9ao8la+KDAVrQ8GlAiLIda2ceK/ri//DCh&#10;JERma6bBiopuRKBns/fvThs3FUNYgq6FJ+jEhmnjKrqM0U2LIvClMCwcgRMWhRK8YRGf/rGoPWvQ&#10;u9HFcDD4WDTga+eBixCQe9EJ6Sz7l1LweCNlEJHoimJuMX99/i7St5idsumjZ26peJ8G+4csDFMW&#10;g+5cXbDIyMqrV66M4h4CyHjEwRQgpeIi14DVlIMX1dwtmRO5FgQnuB1M4f+55dfrW09Ujb0rjymx&#10;zGCTbkELEsVTiNAIkgQIU+PCFLXvHOrH9jO0aLLlB2Sm6lvpTfpjXQTlCPhmB7JoI+HIHI3Hw3KE&#10;Io6yyWQ0GeID/Rd7c+dD/CLAkERU1GMXM7hsfRVip7pVSdECaFVfKq3zI02OONeerBn2nHEubCyz&#10;uV6Zb1B3/PFoMNiGzcOWTHISz7xpS5qKfjzGFF9FSins4iw04099GQcesChtk6XIs9inn6DsIMtU&#10;3GiRdLT9LiT2IiP3l1o6BLJ20pJY+VsMe/19Vm8x7upAixwZbNwZG2XBdyg9b0H9lOcEoZCdPsJ8&#10;UHciY7to8xAOc08SawH1BifNQ7eywfFLhYBfsRBvmccdxQnCuxNv8CM1YJegpyhZgv/1J37Sx9VB&#10;KSUN7nxFw88V84IS/dXiUn0qT07SkciPk9EYsyH+ULI4lNiVOQccsRIvnOOZTPpRb0npwTzgeZqn&#10;qChilmPsisYteR67S4TnjYv5PCvhWXAsXtk7x5PrBHMatPv2gXnXL0TEXbqG7XVg0xd70ekmSwvz&#10;VQSp8tLsUe0bgCclT3x//tLNOnxnrf2Rnv0GAAD//wMAUEsDBBQABgAIAAAAIQCIt0ei3AAAAAcB&#10;AAAPAAAAZHJzL2Rvd25yZXYueG1sTI/BTsMwEETvSP0Haytxo05bgmiIUwEChLg1RJydeEnSxuvI&#10;dtvA17Oc4Diap9m3+XaygzihD70jBctFAgKpcaanVkH1/nx1CyJETUYPjlDBFwbYFrOLXGfGnWmH&#10;pzK2gkcoZFpBF+OYSRmaDq0OCzcicffpvNWRo2+l8frM43aQqyS5kVb3xBc6PeJjh82hPFoF5UtT&#10;1bs4vVbu7fvBu/Rj/7SySl3Op/s7EBGn+AfDrz6rQ8FOtTuSCWJQkK4ZVMD/cLlZXnOsmVpv0gRk&#10;kcv//sUPAAAA//8DAFBLAQItABQABgAIAAAAIQC2gziS/gAAAOEBAAATAAAAAAAAAAAAAAAAAAAA&#10;AABbQ29udGVudF9UeXBlc10ueG1sUEsBAi0AFAAGAAgAAAAhADj9If/WAAAAlAEAAAsAAAAAAAAA&#10;AAAAAAAALwEAAF9yZWxzLy5yZWxzUEsBAi0AFAAGAAgAAAAhAB5TEpqtAgAA7AUAAA4AAAAAAAAA&#10;AAAAAAAALgIAAGRycy9lMm9Eb2MueG1sUEsBAi0AFAAGAAgAAAAhAIi3R6LcAAAABwEAAA8AAAAA&#10;AAAAAAAAAAAABwUAAGRycy9kb3ducmV2LnhtbFBLBQYAAAAABAAEAPMAAAAQBgAAAAA=&#10;" fillcolor="#2e74b5 [2404]" strokeweight=".5pt">
                <v:textbox>
                  <w:txbxContent>
                    <w:p w:rsidR="00A469F2" w:rsidRPr="000100D2" w:rsidRDefault="00A469F2" w:rsidP="00565CCF">
                      <w:pPr>
                        <w:rPr>
                          <w:rFonts w:asciiTheme="minorHAnsi" w:hAnsiTheme="minorHAnsi"/>
                          <w:color w:val="FFFFFF" w:themeColor="background1"/>
                          <w:sz w:val="22"/>
                        </w:rPr>
                      </w:pPr>
                    </w:p>
                    <w:p w:rsidR="00A469F2" w:rsidRPr="000100D2" w:rsidRDefault="00A469F2" w:rsidP="00565CCF">
                      <w:pPr>
                        <w:pStyle w:val="Legenda"/>
                        <w:keepNext/>
                        <w:spacing w:line="276" w:lineRule="auto"/>
                        <w:rPr>
                          <w:rFonts w:asciiTheme="minorHAnsi" w:hAnsiTheme="minorHAnsi"/>
                          <w:color w:val="FFFFFF" w:themeColor="background1"/>
                          <w:sz w:val="22"/>
                          <w:szCs w:val="22"/>
                        </w:rPr>
                      </w:pPr>
                      <w:r w:rsidRPr="000100D2">
                        <w:rPr>
                          <w:rFonts w:asciiTheme="minorHAnsi" w:hAnsiTheme="minorHAnsi"/>
                          <w:color w:val="FFFFFF" w:themeColor="background1"/>
                          <w:sz w:val="22"/>
                          <w:szCs w:val="22"/>
                        </w:rPr>
                        <w:t xml:space="preserve">Mapa </w:t>
                      </w:r>
                      <w:r w:rsidRPr="000100D2">
                        <w:rPr>
                          <w:rFonts w:asciiTheme="minorHAnsi" w:hAnsiTheme="minorHAnsi"/>
                          <w:color w:val="FFFFFF" w:themeColor="background1"/>
                          <w:sz w:val="22"/>
                          <w:szCs w:val="22"/>
                        </w:rPr>
                        <w:fldChar w:fldCharType="begin"/>
                      </w:r>
                      <w:r w:rsidRPr="000100D2">
                        <w:rPr>
                          <w:rFonts w:asciiTheme="minorHAnsi" w:hAnsiTheme="minorHAnsi"/>
                          <w:color w:val="FFFFFF" w:themeColor="background1"/>
                          <w:sz w:val="22"/>
                          <w:szCs w:val="22"/>
                        </w:rPr>
                        <w:instrText xml:space="preserve"> SEQ Mapa \* ARABIC </w:instrText>
                      </w:r>
                      <w:r w:rsidRPr="000100D2">
                        <w:rPr>
                          <w:rFonts w:asciiTheme="minorHAnsi" w:hAnsiTheme="minorHAnsi"/>
                          <w:color w:val="FFFFFF" w:themeColor="background1"/>
                          <w:sz w:val="22"/>
                          <w:szCs w:val="22"/>
                        </w:rPr>
                        <w:fldChar w:fldCharType="separate"/>
                      </w:r>
                      <w:r w:rsidR="007B2916">
                        <w:rPr>
                          <w:rFonts w:asciiTheme="minorHAnsi" w:hAnsiTheme="minorHAnsi"/>
                          <w:noProof/>
                          <w:color w:val="FFFFFF" w:themeColor="background1"/>
                          <w:sz w:val="22"/>
                          <w:szCs w:val="22"/>
                        </w:rPr>
                        <w:t>9</w:t>
                      </w:r>
                      <w:r w:rsidRPr="000100D2">
                        <w:rPr>
                          <w:rFonts w:asciiTheme="minorHAnsi" w:hAnsiTheme="minorHAnsi"/>
                          <w:color w:val="FFFFFF" w:themeColor="background1"/>
                          <w:sz w:val="22"/>
                          <w:szCs w:val="22"/>
                        </w:rPr>
                        <w:fldChar w:fldCharType="end"/>
                      </w:r>
                      <w:r w:rsidRPr="000100D2">
                        <w:rPr>
                          <w:rFonts w:asciiTheme="minorHAnsi" w:hAnsiTheme="minorHAnsi"/>
                          <w:color w:val="FFFFFF" w:themeColor="background1"/>
                          <w:sz w:val="22"/>
                          <w:szCs w:val="22"/>
                        </w:rPr>
                        <w:t>. Wstępna delimitacja obszaru funkcjonalnego potencjalnych strategicznych złóż węgla brunatnego w rejonie Legnicy.</w:t>
                      </w:r>
                    </w:p>
                    <w:p w:rsidR="00A469F2" w:rsidRPr="00565CCF" w:rsidRDefault="00A469F2" w:rsidP="00565CCF">
                      <w:r w:rsidRPr="00563EF2">
                        <w:rPr>
                          <w:rFonts w:asciiTheme="minorHAnsi" w:hAnsiTheme="minorHAnsi"/>
                          <w:noProof/>
                          <w:sz w:val="22"/>
                          <w:lang w:eastAsia="pl-PL"/>
                        </w:rPr>
                        <w:drawing>
                          <wp:inline distT="0" distB="0" distL="0" distR="0" wp14:anchorId="4A62E1CB" wp14:editId="4E7D031C">
                            <wp:extent cx="5582920" cy="3447376"/>
                            <wp:effectExtent l="0" t="0" r="0" b="1270"/>
                            <wp:docPr id="4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582920" cy="3447376"/>
                                    </a:xfrm>
                                    <a:prstGeom prst="rect">
                                      <a:avLst/>
                                    </a:prstGeom>
                                    <a:noFill/>
                                    <a:ln w="9525">
                                      <a:noFill/>
                                      <a:miter lim="800000"/>
                                      <a:headEnd/>
                                      <a:tailEnd/>
                                    </a:ln>
                                  </pic:spPr>
                                </pic:pic>
                              </a:graphicData>
                            </a:graphic>
                          </wp:inline>
                        </w:drawing>
                      </w:r>
                    </w:p>
                    <w:p w:rsidR="00A469F2" w:rsidRPr="00700661" w:rsidRDefault="00A469F2" w:rsidP="00274ACE">
                      <w:pPr>
                        <w:rPr>
                          <w:rFonts w:asciiTheme="minorHAnsi" w:hAnsiTheme="minorHAnsi"/>
                          <w:color w:val="FFFFFF" w:themeColor="background1"/>
                          <w:sz w:val="20"/>
                        </w:rPr>
                      </w:pPr>
                      <w:r w:rsidRPr="00700661">
                        <w:rPr>
                          <w:rFonts w:asciiTheme="minorHAnsi" w:hAnsiTheme="minorHAnsi"/>
                          <w:color w:val="FFFFFF" w:themeColor="background1"/>
                          <w:sz w:val="20"/>
                        </w:rPr>
                        <w:t xml:space="preserve">Źródło: </w:t>
                      </w:r>
                      <w:r w:rsidRPr="00700661">
                        <w:rPr>
                          <w:rFonts w:asciiTheme="minorHAnsi" w:hAnsiTheme="minorHAnsi"/>
                          <w:i/>
                          <w:color w:val="FFFFFF" w:themeColor="background1"/>
                          <w:sz w:val="20"/>
                        </w:rPr>
                        <w:t xml:space="preserve">Plan Zagospodarowania Przestrzennego Województwa Dolnośląskiego – Perspektywa 2020, </w:t>
                      </w:r>
                      <w:r w:rsidRPr="00700661">
                        <w:rPr>
                          <w:rFonts w:asciiTheme="minorHAnsi" w:hAnsiTheme="minorHAnsi"/>
                          <w:color w:val="FFFFFF" w:themeColor="background1"/>
                          <w:sz w:val="20"/>
                        </w:rPr>
                        <w:t>Urząd Marszałkowski Województwa Dolnośląskiego, 2014 r.</w:t>
                      </w:r>
                    </w:p>
                    <w:p w:rsidR="00A469F2" w:rsidRPr="00563EF2" w:rsidRDefault="00A469F2" w:rsidP="00274ACE">
                      <w:pPr>
                        <w:rPr>
                          <w:rFonts w:asciiTheme="minorHAnsi" w:hAnsiTheme="minorHAnsi"/>
                          <w:sz w:val="22"/>
                        </w:rPr>
                      </w:pPr>
                    </w:p>
                    <w:p w:rsidR="00A469F2" w:rsidRPr="000100D2" w:rsidRDefault="00A469F2" w:rsidP="00274ACE">
                      <w:pPr>
                        <w:rPr>
                          <w:rFonts w:asciiTheme="minorHAnsi" w:hAnsiTheme="minorHAnsi"/>
                          <w:color w:val="FFFFFF" w:themeColor="background1"/>
                          <w:sz w:val="22"/>
                        </w:rPr>
                      </w:pPr>
                      <w:r w:rsidRPr="000100D2">
                        <w:rPr>
                          <w:rFonts w:asciiTheme="minorHAnsi" w:hAnsiTheme="minorHAnsi"/>
                          <w:color w:val="FFFFFF" w:themeColor="background1"/>
                          <w:sz w:val="22"/>
                        </w:rPr>
                        <w:t xml:space="preserve">Korzyścią z uruchomienia inwestycji byłby wzrost wartości nieruchomości, modernizacja infrastruktury komunikacyjnej i sieciowej, wyraźnie odczuwalny wzrost przychodów gmin z tytułu opłat i podatków, rozwój rynku pracy i usług, zabezpieczenie energetyczne regionu. Korzyść dla środowiska wystąpi jedynie w przypadku ustanowienia specjalnych środków i obszarów ochrony przyrody ożywionej w granicach oddziaływania kopalni na środowisko. </w:t>
                      </w:r>
                    </w:p>
                    <w:p w:rsidR="00A469F2" w:rsidRPr="000100D2" w:rsidRDefault="00A469F2" w:rsidP="00274ACE">
                      <w:pPr>
                        <w:rPr>
                          <w:rFonts w:asciiTheme="minorHAnsi" w:hAnsiTheme="minorHAnsi"/>
                          <w:color w:val="FFFFFF" w:themeColor="background1"/>
                          <w:sz w:val="22"/>
                        </w:rPr>
                      </w:pPr>
                    </w:p>
                    <w:p w:rsidR="00A469F2" w:rsidRPr="000100D2" w:rsidRDefault="00A469F2" w:rsidP="00274ACE">
                      <w:pPr>
                        <w:rPr>
                          <w:rFonts w:asciiTheme="minorHAnsi" w:hAnsiTheme="minorHAnsi"/>
                          <w:color w:val="FFFFFF" w:themeColor="background1"/>
                          <w:sz w:val="22"/>
                        </w:rPr>
                      </w:pPr>
                      <w:r w:rsidRPr="000100D2">
                        <w:rPr>
                          <w:rFonts w:asciiTheme="minorHAnsi" w:hAnsiTheme="minorHAnsi"/>
                          <w:i/>
                          <w:color w:val="FFFFFF" w:themeColor="background1"/>
                          <w:sz w:val="22"/>
                        </w:rPr>
                        <w:t>„Strategia Europa 2020”</w:t>
                      </w:r>
                      <w:r w:rsidRPr="000100D2">
                        <w:rPr>
                          <w:rFonts w:asciiTheme="minorHAnsi" w:hAnsiTheme="minorHAnsi"/>
                          <w:color w:val="FFFFFF" w:themeColor="background1"/>
                          <w:sz w:val="22"/>
                        </w:rPr>
                        <w:t xml:space="preserve"> przyjęta przez Polskę zakłada ograniczenie emisji dwutlenku węgla do 2020 r. o co najmniej 20% w porównaniu z jego poziomem z 1990 r. Ewentualne niedopełnienie założeń Strategii wiązać się będzie z nałożeniem sankcji finansowych na nasz kraj. Potrzeba nowoczesnych rozwiązań w zakresie energetyki i dywersyfikacji źródeł jej pozyskania</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zwłaszcza w kierunku OZE</w:t>
                      </w:r>
                      <w:r>
                        <w:rPr>
                          <w:rFonts w:asciiTheme="minorHAnsi" w:hAnsiTheme="minorHAnsi"/>
                          <w:color w:val="FFFFFF" w:themeColor="background1"/>
                          <w:sz w:val="22"/>
                        </w:rPr>
                        <w:t>,</w:t>
                      </w:r>
                      <w:r w:rsidRPr="000100D2">
                        <w:rPr>
                          <w:rFonts w:asciiTheme="minorHAnsi" w:hAnsiTheme="minorHAnsi"/>
                          <w:color w:val="FFFFFF" w:themeColor="background1"/>
                          <w:sz w:val="22"/>
                        </w:rPr>
                        <w:t xml:space="preserve"> może przyczynić się do zaniechania wydobycia węgla brunatnego tradycyjnymi metodami. Duże nadzieje związane są z opracowywaniem i wdrażaniem technologii zgazowywania węgla brunatnego bezpośrednio w złożu, co wiązałoby się z pominięciem konieczności budowy ogromnej k</w:t>
                      </w:r>
                      <w:r>
                        <w:rPr>
                          <w:rFonts w:asciiTheme="minorHAnsi" w:hAnsiTheme="minorHAnsi"/>
                          <w:color w:val="FFFFFF" w:themeColor="background1"/>
                          <w:sz w:val="22"/>
                        </w:rPr>
                        <w:t>opalni odkrywkowej i złagodziło</w:t>
                      </w:r>
                      <w:r w:rsidRPr="000100D2">
                        <w:rPr>
                          <w:rFonts w:asciiTheme="minorHAnsi" w:hAnsiTheme="minorHAnsi"/>
                          <w:color w:val="FFFFFF" w:themeColor="background1"/>
                          <w:sz w:val="22"/>
                        </w:rPr>
                        <w:t>by opór środowisk społecznych i ekologicznych. Program utworzenia stanowiska doświadczalnego i wypróbowania tego typu technologii podejmuje obecnie KGHM Polska Miedź S.A.</w:t>
                      </w:r>
                    </w:p>
                    <w:p w:rsidR="00A469F2" w:rsidRDefault="00A469F2" w:rsidP="00565CCF"/>
                    <w:p w:rsidR="00A469F2" w:rsidRDefault="00A469F2" w:rsidP="00565CCF"/>
                    <w:p w:rsidR="00A469F2" w:rsidRDefault="00A469F2" w:rsidP="00565CCF"/>
                  </w:txbxContent>
                </v:textbox>
                <w10:wrap type="topAndBottom"/>
              </v:shape>
            </w:pict>
          </mc:Fallback>
        </mc:AlternateContent>
      </w:r>
      <w:bookmarkEnd w:id="54"/>
      <w:r w:rsidR="00B73014">
        <w:br/>
      </w:r>
      <w:r>
        <w:t>S</w:t>
      </w:r>
      <w:r w:rsidRPr="00563EF2">
        <w:t>ystem wód powierzchniowych</w:t>
      </w:r>
      <w:bookmarkEnd w:id="55"/>
    </w:p>
    <w:p w:rsidR="00274ACE" w:rsidRDefault="00274ACE" w:rsidP="00FD7676">
      <w:pPr>
        <w:rPr>
          <w:rFonts w:asciiTheme="minorHAnsi" w:hAnsiTheme="minorHAnsi"/>
          <w:sz w:val="22"/>
        </w:rPr>
      </w:pPr>
    </w:p>
    <w:p w:rsidR="00713FB2" w:rsidRPr="00563EF2" w:rsidRDefault="00713FB2" w:rsidP="00FD7676">
      <w:pPr>
        <w:rPr>
          <w:rFonts w:asciiTheme="minorHAnsi" w:hAnsiTheme="minorHAnsi"/>
          <w:sz w:val="22"/>
        </w:rPr>
      </w:pPr>
      <w:r w:rsidRPr="00563EF2">
        <w:rPr>
          <w:rFonts w:asciiTheme="minorHAnsi" w:hAnsiTheme="minorHAnsi"/>
          <w:sz w:val="22"/>
        </w:rPr>
        <w:t xml:space="preserve">Główną rzeką Legnicy i powiatu legnickiego jest </w:t>
      </w:r>
      <w:r w:rsidRPr="00563EF2">
        <w:rPr>
          <w:rStyle w:val="Uwydatnienie"/>
          <w:rFonts w:asciiTheme="minorHAnsi" w:hAnsiTheme="minorHAnsi"/>
          <w:i w:val="0"/>
          <w:sz w:val="22"/>
        </w:rPr>
        <w:t>Kaczawa</w:t>
      </w:r>
      <w:r w:rsidR="001B1AB1">
        <w:rPr>
          <w:rStyle w:val="Uwydatnienie"/>
          <w:rFonts w:asciiTheme="minorHAnsi" w:hAnsiTheme="minorHAnsi"/>
          <w:i w:val="0"/>
          <w:sz w:val="22"/>
        </w:rPr>
        <w:t>,</w:t>
      </w:r>
      <w:r w:rsidRPr="00563EF2">
        <w:rPr>
          <w:rFonts w:asciiTheme="minorHAnsi" w:hAnsiTheme="minorHAnsi"/>
          <w:i/>
          <w:sz w:val="22"/>
        </w:rPr>
        <w:t xml:space="preserve"> </w:t>
      </w:r>
      <w:r w:rsidRPr="00563EF2">
        <w:rPr>
          <w:rFonts w:asciiTheme="minorHAnsi" w:hAnsiTheme="minorHAnsi"/>
          <w:sz w:val="22"/>
        </w:rPr>
        <w:t xml:space="preserve">posiadająca </w:t>
      </w:r>
      <w:r w:rsidRPr="00563EF2">
        <w:rPr>
          <w:rStyle w:val="Uwydatnienie"/>
          <w:rFonts w:asciiTheme="minorHAnsi" w:hAnsiTheme="minorHAnsi"/>
          <w:i w:val="0"/>
          <w:sz w:val="22"/>
        </w:rPr>
        <w:t>ujście do Odry</w:t>
      </w:r>
      <w:r w:rsidRPr="00563EF2">
        <w:rPr>
          <w:rFonts w:asciiTheme="minorHAnsi" w:hAnsiTheme="minorHAnsi"/>
          <w:i/>
          <w:sz w:val="22"/>
        </w:rPr>
        <w:t>,</w:t>
      </w:r>
      <w:r w:rsidRPr="00563EF2">
        <w:rPr>
          <w:rFonts w:asciiTheme="minorHAnsi" w:hAnsiTheme="minorHAnsi"/>
          <w:sz w:val="22"/>
        </w:rPr>
        <w:t xml:space="preserve"> rzeki stanowiącej granicę powiatu od północnego - wschodu. Inne ważniejsze cieki wodne to Nysa Szalona i Wierzbiak - prawobrzeżne dopływy Kaczawy, Czarna Woda - lewobrzeżny dopływ Kaczawy</w:t>
      </w:r>
      <w:r w:rsidR="000838E0">
        <w:rPr>
          <w:rFonts w:asciiTheme="minorHAnsi" w:hAnsiTheme="minorHAnsi"/>
          <w:sz w:val="22"/>
        </w:rPr>
        <w:t>,</w:t>
      </w:r>
      <w:r w:rsidRPr="00563EF2">
        <w:rPr>
          <w:rFonts w:asciiTheme="minorHAnsi" w:hAnsiTheme="minorHAnsi"/>
          <w:sz w:val="22"/>
        </w:rPr>
        <w:t xml:space="preserve"> przyjmujący wody rzeki Skora oraz Cicha Woda wpływająca do Odry. </w:t>
      </w:r>
      <w:r w:rsidR="000919DE" w:rsidRPr="00563EF2">
        <w:rPr>
          <w:rFonts w:asciiTheme="minorHAnsi" w:hAnsiTheme="minorHAnsi"/>
          <w:sz w:val="22"/>
        </w:rPr>
        <w:t xml:space="preserve">Doliny tych rzek stanowią równocześnie podstawowe korytarze ekologiczne przebiegające przez teren Miasta Legnicy. </w:t>
      </w:r>
    </w:p>
    <w:p w:rsidR="00CC01FA" w:rsidRPr="00563EF2" w:rsidRDefault="00CC01FA" w:rsidP="00FD7676">
      <w:pPr>
        <w:rPr>
          <w:rFonts w:asciiTheme="minorHAnsi" w:hAnsiTheme="minorHAnsi"/>
          <w:sz w:val="22"/>
        </w:rPr>
      </w:pPr>
    </w:p>
    <w:p w:rsidR="00616826" w:rsidRPr="00563EF2" w:rsidRDefault="00616826" w:rsidP="00FD7676">
      <w:pPr>
        <w:rPr>
          <w:rFonts w:asciiTheme="minorHAnsi" w:hAnsiTheme="minorHAnsi"/>
          <w:sz w:val="22"/>
        </w:rPr>
      </w:pPr>
      <w:r w:rsidRPr="00563EF2">
        <w:rPr>
          <w:rFonts w:asciiTheme="minorHAnsi" w:hAnsiTheme="minorHAnsi"/>
          <w:sz w:val="22"/>
        </w:rPr>
        <w:t>Źródłem wody pitnej dla Legnicy są wody powierzchniowe rzeki Kaczawy, pochodzące ze zlewni Nysy Szalonej oraz pozostałej części zlewni Kaczawy</w:t>
      </w:r>
      <w:r w:rsidR="000838E0">
        <w:rPr>
          <w:rFonts w:asciiTheme="minorHAnsi" w:hAnsiTheme="minorHAnsi"/>
          <w:sz w:val="22"/>
        </w:rPr>
        <w:t>,</w:t>
      </w:r>
      <w:r w:rsidRPr="00563EF2">
        <w:rPr>
          <w:rFonts w:asciiTheme="minorHAnsi" w:hAnsiTheme="minorHAnsi"/>
          <w:sz w:val="22"/>
        </w:rPr>
        <w:t xml:space="preserve"> leżącej powyżej przekroju ujęcia “Przybków” (Smokowice). Dla uzyskania wymaganego przepływu na Kaczawie został wybudowany na Nysie Szalonej zbiornik retencyjny “Słup” o pojemności max 38 mln m3. Woda powierzchniowa rzeki Kaczawy, po wstępnym uzdatnieniu w procesie sztucznej infiltracji, jest następnie uzdatniana </w:t>
      </w:r>
      <w:r w:rsidR="00B73014">
        <w:rPr>
          <w:rFonts w:asciiTheme="minorHAnsi" w:hAnsiTheme="minorHAnsi"/>
          <w:sz w:val="22"/>
        </w:rPr>
        <w:t>w </w:t>
      </w:r>
      <w:r w:rsidRPr="00563EF2">
        <w:rPr>
          <w:rFonts w:asciiTheme="minorHAnsi" w:hAnsiTheme="minorHAnsi"/>
          <w:sz w:val="22"/>
        </w:rPr>
        <w:t>Zakładzie Uzdatniania Wody w Przybkowie. Dyspozycyjne zasoby wód powierzchniowych dla Legnicy sięgają kilkuset tysięcy m3/d, a więc wielokrotnie przekraczają zdolność produkcyjną Zakładu Produkcji Wody, dlatego nie uznaje się za konieczne szukani</w:t>
      </w:r>
      <w:r w:rsidR="003D408F" w:rsidRPr="00563EF2">
        <w:rPr>
          <w:rFonts w:asciiTheme="minorHAnsi" w:hAnsiTheme="minorHAnsi"/>
          <w:sz w:val="22"/>
        </w:rPr>
        <w:t>e</w:t>
      </w:r>
      <w:r w:rsidRPr="00563EF2">
        <w:rPr>
          <w:rFonts w:asciiTheme="minorHAnsi" w:hAnsiTheme="minorHAnsi"/>
          <w:sz w:val="22"/>
        </w:rPr>
        <w:t xml:space="preserve"> dodatkowych źródeł wody pitnej. </w:t>
      </w:r>
      <w:r w:rsidRPr="00563EF2">
        <w:rPr>
          <w:rStyle w:val="Odwoanieprzypisudolnego"/>
          <w:rFonts w:asciiTheme="minorHAnsi" w:hAnsiTheme="minorHAnsi"/>
          <w:sz w:val="22"/>
        </w:rPr>
        <w:footnoteReference w:id="34"/>
      </w:r>
    </w:p>
    <w:p w:rsidR="00616826" w:rsidRPr="00563EF2" w:rsidRDefault="00616826" w:rsidP="00FD7676">
      <w:pPr>
        <w:rPr>
          <w:rFonts w:asciiTheme="minorHAnsi" w:hAnsiTheme="minorHAnsi"/>
          <w:sz w:val="22"/>
        </w:rPr>
      </w:pPr>
    </w:p>
    <w:p w:rsidR="000919DE" w:rsidRPr="001E20B0" w:rsidRDefault="003D408F" w:rsidP="001E20B0">
      <w:pPr>
        <w:autoSpaceDE w:val="0"/>
        <w:autoSpaceDN w:val="0"/>
        <w:adjustRightInd w:val="0"/>
        <w:rPr>
          <w:rFonts w:asciiTheme="minorHAnsi" w:hAnsiTheme="minorHAnsi" w:cs="Arial"/>
          <w:color w:val="000000"/>
          <w:sz w:val="22"/>
        </w:rPr>
      </w:pPr>
      <w:r w:rsidRPr="00563EF2">
        <w:rPr>
          <w:rFonts w:asciiTheme="minorHAnsi" w:hAnsiTheme="minorHAnsi" w:cs="Arial"/>
          <w:color w:val="000000"/>
          <w:sz w:val="22"/>
        </w:rPr>
        <w:t xml:space="preserve">Na terenie miasta istnieje 67 zbiorników wód stojących pochodzenia antropogenicznego, o łącznej powierzchni 57,3 ha, z czego </w:t>
      </w:r>
      <w:r w:rsidR="00743A5B">
        <w:rPr>
          <w:rFonts w:asciiTheme="minorHAnsi" w:hAnsiTheme="minorHAnsi" w:cs="Arial"/>
          <w:color w:val="000000"/>
          <w:sz w:val="22"/>
        </w:rPr>
        <w:t>24</w:t>
      </w:r>
      <w:r w:rsidRPr="00563EF2">
        <w:rPr>
          <w:rFonts w:asciiTheme="minorHAnsi" w:hAnsiTheme="minorHAnsi" w:cs="Arial"/>
          <w:color w:val="000000"/>
          <w:sz w:val="22"/>
        </w:rPr>
        <w:t xml:space="preserve"> ha stanowią stawy infiltracyjne ujęcia wody w Przybkowie. Część z nich wypełniona jest wodą jedynie częściowo lub okresowo. </w:t>
      </w:r>
    </w:p>
    <w:p w:rsidR="00442701" w:rsidRPr="00563EF2" w:rsidRDefault="00442701" w:rsidP="00EC5484">
      <w:pPr>
        <w:pStyle w:val="Nagwek3"/>
      </w:pPr>
      <w:bookmarkStart w:id="56" w:name="_Toc399756342"/>
      <w:r w:rsidRPr="00563EF2">
        <w:t>Zagrożenie powodziowe</w:t>
      </w:r>
      <w:bookmarkEnd w:id="56"/>
    </w:p>
    <w:p w:rsidR="00442701" w:rsidRPr="00563EF2" w:rsidRDefault="00442701" w:rsidP="00FD7676">
      <w:pPr>
        <w:rPr>
          <w:rFonts w:asciiTheme="minorHAnsi" w:hAnsiTheme="minorHAnsi"/>
          <w:sz w:val="22"/>
        </w:rPr>
      </w:pPr>
    </w:p>
    <w:p w:rsidR="00616826" w:rsidRPr="00563EF2" w:rsidRDefault="00442701" w:rsidP="00FD7676">
      <w:pPr>
        <w:rPr>
          <w:rFonts w:asciiTheme="minorHAnsi" w:hAnsiTheme="minorHAnsi"/>
          <w:sz w:val="22"/>
        </w:rPr>
      </w:pPr>
      <w:r w:rsidRPr="00563EF2">
        <w:rPr>
          <w:rFonts w:asciiTheme="minorHAnsi" w:hAnsiTheme="minorHAnsi"/>
          <w:sz w:val="22"/>
        </w:rPr>
        <w:t xml:space="preserve">Zagrożenie powodziowe Legnicy wynika z położenia miasta w węźle wodnym Kaczawy i Czarnej Wody, których zlewnie wykazują skłonność do wezbrań. Ukształtowanie terenu również sprzyja tworzeniu się fali powodziowej i utrudnia odprowadzanie wody podczas gwałtownych opadów. Teren w górnym biegu rzek, powyżej Legnicy, cechuje się znacznymi spadkami terenu i niską lesistością, co przy złagodzeniu rzeźby terenu na Równinie Legnickiej sprzyja </w:t>
      </w:r>
      <w:r w:rsidR="00420307" w:rsidRPr="00563EF2">
        <w:rPr>
          <w:rFonts w:asciiTheme="minorHAnsi" w:hAnsiTheme="minorHAnsi"/>
          <w:sz w:val="22"/>
        </w:rPr>
        <w:t>kumulacji</w:t>
      </w:r>
      <w:r w:rsidRPr="00563EF2">
        <w:rPr>
          <w:rFonts w:asciiTheme="minorHAnsi" w:hAnsiTheme="minorHAnsi"/>
          <w:sz w:val="22"/>
        </w:rPr>
        <w:t xml:space="preserve"> fali powodziowej. </w:t>
      </w:r>
      <w:r w:rsidR="009F33F3">
        <w:rPr>
          <w:rFonts w:asciiTheme="minorHAnsi" w:hAnsiTheme="minorHAnsi"/>
          <w:sz w:val="22"/>
        </w:rPr>
        <w:t xml:space="preserve">Monotonnie ukształtowany, płaski i nisko położony teren </w:t>
      </w:r>
      <w:r w:rsidR="009F33F3" w:rsidRPr="009B7D02">
        <w:rPr>
          <w:rFonts w:asciiTheme="minorHAnsi" w:hAnsiTheme="minorHAnsi"/>
          <w:sz w:val="22"/>
        </w:rPr>
        <w:t>z dominującymi</w:t>
      </w:r>
      <w:r w:rsidR="000838E0">
        <w:rPr>
          <w:rFonts w:asciiTheme="minorHAnsi" w:hAnsiTheme="minorHAnsi"/>
          <w:sz w:val="22"/>
        </w:rPr>
        <w:t>,</w:t>
      </w:r>
      <w:r w:rsidR="009F33F3">
        <w:rPr>
          <w:rFonts w:asciiTheme="minorHAnsi" w:hAnsiTheme="minorHAnsi"/>
          <w:sz w:val="22"/>
        </w:rPr>
        <w:t xml:space="preserve"> rozległymi terasami zalewowymi</w:t>
      </w:r>
      <w:r w:rsidR="009F33F3" w:rsidRPr="009B7D02">
        <w:rPr>
          <w:rFonts w:asciiTheme="minorHAnsi" w:hAnsiTheme="minorHAnsi"/>
          <w:sz w:val="22"/>
        </w:rPr>
        <w:t xml:space="preserve"> utrudnia odprowadzanie wód opadowych </w:t>
      </w:r>
      <w:r w:rsidR="009F33F3">
        <w:rPr>
          <w:rFonts w:asciiTheme="minorHAnsi" w:hAnsiTheme="minorHAnsi"/>
          <w:sz w:val="22"/>
        </w:rPr>
        <w:t>systemem kanalizacji deszczowej</w:t>
      </w:r>
      <w:r w:rsidR="000838E0">
        <w:rPr>
          <w:rFonts w:asciiTheme="minorHAnsi" w:hAnsiTheme="minorHAnsi"/>
          <w:sz w:val="22"/>
        </w:rPr>
        <w:t>,</w:t>
      </w:r>
      <w:r w:rsidR="009F33F3">
        <w:rPr>
          <w:rFonts w:asciiTheme="minorHAnsi" w:hAnsiTheme="minorHAnsi"/>
          <w:sz w:val="22"/>
        </w:rPr>
        <w:t xml:space="preserve"> </w:t>
      </w:r>
      <w:r w:rsidR="009F33F3" w:rsidRPr="009B7D02">
        <w:rPr>
          <w:rFonts w:asciiTheme="minorHAnsi" w:hAnsiTheme="minorHAnsi"/>
          <w:sz w:val="22"/>
        </w:rPr>
        <w:t>wymusza</w:t>
      </w:r>
      <w:r w:rsidR="009F33F3">
        <w:rPr>
          <w:rFonts w:asciiTheme="minorHAnsi" w:hAnsiTheme="minorHAnsi"/>
          <w:sz w:val="22"/>
        </w:rPr>
        <w:t>jąc tym samym</w:t>
      </w:r>
      <w:r w:rsidR="009F33F3" w:rsidRPr="009B7D02">
        <w:rPr>
          <w:rFonts w:asciiTheme="minorHAnsi" w:hAnsiTheme="minorHAnsi"/>
          <w:sz w:val="22"/>
        </w:rPr>
        <w:t xml:space="preserve"> stosowanie licznych zabezpieczeń na wypadek utrzymywania się wysokich stanów wód w rzekach</w:t>
      </w:r>
      <w:r w:rsidR="009F33F3">
        <w:rPr>
          <w:rFonts w:asciiTheme="minorHAnsi" w:hAnsiTheme="minorHAnsi"/>
          <w:sz w:val="22"/>
        </w:rPr>
        <w:t xml:space="preserve">. </w:t>
      </w:r>
      <w:r w:rsidR="009B7D02" w:rsidRPr="009B7D02">
        <w:rPr>
          <w:rFonts w:asciiTheme="minorHAnsi" w:hAnsiTheme="minorHAnsi"/>
          <w:sz w:val="22"/>
        </w:rPr>
        <w:t xml:space="preserve">Niekorzystny jest także koncentryczny układ zlewni, powodujący w przypadku wystąpienia intensywnych opadów na całym jej obszarze, jednoczesne zetknięcie się </w:t>
      </w:r>
      <w:r w:rsidR="000838E0" w:rsidRPr="009B7D02">
        <w:rPr>
          <w:rFonts w:asciiTheme="minorHAnsi" w:hAnsiTheme="minorHAnsi"/>
          <w:sz w:val="22"/>
        </w:rPr>
        <w:t xml:space="preserve">w dolnej części zlewni </w:t>
      </w:r>
      <w:r w:rsidR="009B7D02" w:rsidRPr="009B7D02">
        <w:rPr>
          <w:rFonts w:asciiTheme="minorHAnsi" w:hAnsiTheme="minorHAnsi"/>
          <w:sz w:val="22"/>
        </w:rPr>
        <w:t xml:space="preserve">fal kulminacyjnych poszczególnych dopływów Kaczawy, co daje w efekcie nagły i na ogół krótkotrwały przybór wód. </w:t>
      </w:r>
      <w:r w:rsidR="009F33F3">
        <w:rPr>
          <w:rStyle w:val="Odwoanieprzypisudolnego"/>
          <w:rFonts w:asciiTheme="minorHAnsi" w:hAnsiTheme="minorHAnsi"/>
          <w:sz w:val="22"/>
        </w:rPr>
        <w:footnoteReference w:id="35"/>
      </w:r>
    </w:p>
    <w:p w:rsidR="00191499" w:rsidRPr="00563EF2" w:rsidRDefault="00442701" w:rsidP="00FD7676">
      <w:pPr>
        <w:rPr>
          <w:rFonts w:asciiTheme="minorHAnsi" w:hAnsiTheme="minorHAnsi"/>
          <w:sz w:val="22"/>
        </w:rPr>
      </w:pPr>
      <w:r w:rsidRPr="00563EF2">
        <w:rPr>
          <w:rFonts w:asciiTheme="minorHAnsi" w:hAnsiTheme="minorHAnsi"/>
          <w:sz w:val="22"/>
        </w:rPr>
        <w:t xml:space="preserve">Dokument </w:t>
      </w:r>
      <w:r w:rsidR="00FB1775" w:rsidRPr="00563EF2">
        <w:rPr>
          <w:rFonts w:asciiTheme="minorHAnsi" w:hAnsiTheme="minorHAnsi"/>
          <w:i/>
          <w:sz w:val="22"/>
        </w:rPr>
        <w:t xml:space="preserve">Studium ochrony przed powodzią zlewni rzeki Kaczawy </w:t>
      </w:r>
      <w:r w:rsidR="00FB1775" w:rsidRPr="00563EF2">
        <w:rPr>
          <w:rFonts w:asciiTheme="minorHAnsi" w:hAnsiTheme="minorHAnsi"/>
          <w:sz w:val="22"/>
        </w:rPr>
        <w:t>z  roku 2007 wskazuje na wysokie obwałowania Legnicy jako główny i skuteczny środek prewencji przeciwpowodziowej,</w:t>
      </w:r>
      <w:r w:rsidR="009B7D02">
        <w:rPr>
          <w:rFonts w:asciiTheme="minorHAnsi" w:hAnsiTheme="minorHAnsi"/>
          <w:sz w:val="22"/>
        </w:rPr>
        <w:t xml:space="preserve"> które</w:t>
      </w:r>
      <w:r w:rsidR="00FB1775" w:rsidRPr="00563EF2">
        <w:rPr>
          <w:rFonts w:asciiTheme="minorHAnsi" w:hAnsiTheme="minorHAnsi"/>
          <w:sz w:val="22"/>
        </w:rPr>
        <w:t xml:space="preserve"> jednocześnie jednak odseparowują rzekę od miasta. Zalecanymi w ww. dokumencie inwestycjami </w:t>
      </w:r>
      <w:r w:rsidR="00CC01FA" w:rsidRPr="00563EF2">
        <w:rPr>
          <w:rFonts w:asciiTheme="minorHAnsi" w:hAnsiTheme="minorHAnsi"/>
          <w:sz w:val="22"/>
        </w:rPr>
        <w:t xml:space="preserve">są: </w:t>
      </w:r>
    </w:p>
    <w:p w:rsidR="00CC01FA" w:rsidRPr="00563EF2" w:rsidRDefault="00CC01FA" w:rsidP="00FD7676">
      <w:pPr>
        <w:pStyle w:val="Akapitzlist"/>
        <w:numPr>
          <w:ilvl w:val="0"/>
          <w:numId w:val="9"/>
        </w:numPr>
        <w:rPr>
          <w:rFonts w:asciiTheme="minorHAnsi" w:hAnsiTheme="minorHAnsi"/>
          <w:sz w:val="22"/>
        </w:rPr>
      </w:pPr>
      <w:r w:rsidRPr="00563EF2">
        <w:rPr>
          <w:rFonts w:asciiTheme="minorHAnsi" w:hAnsiTheme="minorHAnsi"/>
          <w:sz w:val="22"/>
        </w:rPr>
        <w:t>Budowa systemu odwodnienia mechanicznego – pompowni umożliwiających odprowadzanie wód przesiąkowych</w:t>
      </w:r>
      <w:r w:rsidR="000838E0">
        <w:rPr>
          <w:rFonts w:asciiTheme="minorHAnsi" w:hAnsiTheme="minorHAnsi"/>
          <w:sz w:val="22"/>
        </w:rPr>
        <w:t>,</w:t>
      </w:r>
      <w:r w:rsidRPr="00563EF2">
        <w:rPr>
          <w:rFonts w:asciiTheme="minorHAnsi" w:hAnsiTheme="minorHAnsi"/>
          <w:sz w:val="22"/>
        </w:rPr>
        <w:t xml:space="preserve"> poprzez system kanalizacji deszczowej.</w:t>
      </w:r>
    </w:p>
    <w:p w:rsidR="00CC01FA" w:rsidRPr="00563EF2" w:rsidRDefault="00CC01FA" w:rsidP="00FD7676">
      <w:pPr>
        <w:pStyle w:val="Akapitzlist"/>
        <w:numPr>
          <w:ilvl w:val="0"/>
          <w:numId w:val="9"/>
        </w:numPr>
        <w:rPr>
          <w:rFonts w:asciiTheme="minorHAnsi" w:hAnsiTheme="minorHAnsi"/>
          <w:sz w:val="22"/>
        </w:rPr>
      </w:pPr>
      <w:r w:rsidRPr="00563EF2">
        <w:rPr>
          <w:rFonts w:asciiTheme="minorHAnsi" w:hAnsiTheme="minorHAnsi"/>
          <w:sz w:val="22"/>
        </w:rPr>
        <w:t>Suchy Zbiornik Przeciwpowodziowy „Rzymkówka” – zbiornik retencyjny o automatycznym działaniu i powierzchni maksymalnej 240 ha, zagospodarowany na co dzień do celów rolniczych, dzięki dodatkowemu systemowi zamknięć zasuwowych pozw</w:t>
      </w:r>
      <w:r w:rsidR="000838E0">
        <w:rPr>
          <w:rFonts w:asciiTheme="minorHAnsi" w:hAnsiTheme="minorHAnsi"/>
          <w:sz w:val="22"/>
        </w:rPr>
        <w:t>oli</w:t>
      </w:r>
      <w:r w:rsidRPr="00563EF2">
        <w:rPr>
          <w:rFonts w:asciiTheme="minorHAnsi" w:hAnsiTheme="minorHAnsi"/>
          <w:sz w:val="22"/>
        </w:rPr>
        <w:t xml:space="preserve"> na regulację odpływu wody.</w:t>
      </w:r>
    </w:p>
    <w:p w:rsidR="00CC01FA" w:rsidRPr="00563EF2" w:rsidRDefault="00CC01FA" w:rsidP="00FD7676">
      <w:pPr>
        <w:pStyle w:val="Akapitzlist"/>
        <w:numPr>
          <w:ilvl w:val="0"/>
          <w:numId w:val="9"/>
        </w:numPr>
        <w:rPr>
          <w:rFonts w:asciiTheme="minorHAnsi" w:hAnsiTheme="minorHAnsi"/>
          <w:sz w:val="22"/>
        </w:rPr>
      </w:pPr>
      <w:r w:rsidRPr="00563EF2">
        <w:rPr>
          <w:rFonts w:asciiTheme="minorHAnsi" w:hAnsiTheme="minorHAnsi"/>
          <w:sz w:val="22"/>
        </w:rPr>
        <w:t xml:space="preserve">Poldery Miłkowice – odnowa i modernizacja zdekapitalizowanych polderów na wskazanym obszarze umożliwi ochronę przed zalaniami terenów cennych rolniczo, stawów i zabudowań wiejskich.  </w:t>
      </w:r>
    </w:p>
    <w:p w:rsidR="008739E4" w:rsidRPr="00563EF2" w:rsidRDefault="008739E4" w:rsidP="00FD7676">
      <w:pPr>
        <w:rPr>
          <w:rFonts w:asciiTheme="minorHAnsi" w:hAnsiTheme="minorHAnsi"/>
          <w:sz w:val="22"/>
        </w:rPr>
      </w:pPr>
    </w:p>
    <w:p w:rsidR="00C540AE" w:rsidRPr="00C540AE" w:rsidRDefault="008739E4" w:rsidP="0023258F">
      <w:pPr>
        <w:rPr>
          <w:rFonts w:asciiTheme="minorHAnsi" w:hAnsiTheme="minorHAnsi"/>
          <w:sz w:val="22"/>
        </w:rPr>
      </w:pPr>
      <w:r w:rsidRPr="00563EF2">
        <w:rPr>
          <w:rFonts w:asciiTheme="minorHAnsi" w:hAnsiTheme="minorHAnsi"/>
          <w:sz w:val="22"/>
        </w:rPr>
        <w:t>Warto wskazać na działania inwestycyjne</w:t>
      </w:r>
      <w:r w:rsidR="0023258F">
        <w:rPr>
          <w:rFonts w:asciiTheme="minorHAnsi" w:hAnsiTheme="minorHAnsi"/>
          <w:sz w:val="22"/>
        </w:rPr>
        <w:t xml:space="preserve"> już poczynione</w:t>
      </w:r>
      <w:r w:rsidRPr="00563EF2">
        <w:rPr>
          <w:rFonts w:asciiTheme="minorHAnsi" w:hAnsiTheme="minorHAnsi"/>
          <w:sz w:val="22"/>
        </w:rPr>
        <w:t xml:space="preserve"> w kierunku ochrony przeciwpowo</w:t>
      </w:r>
      <w:r w:rsidR="00B73014">
        <w:rPr>
          <w:rFonts w:asciiTheme="minorHAnsi" w:hAnsiTheme="minorHAnsi"/>
          <w:sz w:val="22"/>
        </w:rPr>
        <w:t>dziowej. W </w:t>
      </w:r>
      <w:r w:rsidRPr="00563EF2">
        <w:rPr>
          <w:rFonts w:asciiTheme="minorHAnsi" w:hAnsiTheme="minorHAnsi"/>
          <w:sz w:val="22"/>
        </w:rPr>
        <w:t xml:space="preserve">2003 r. zmodernizowano lewobrzeżny wał przeciwpowodziowy na odcinku od ul. Kartuskiej do ul. Wrocławskiej wraz z budową bulwaru. </w:t>
      </w:r>
      <w:r w:rsidR="00C540AE" w:rsidRPr="0023258F">
        <w:rPr>
          <w:rFonts w:asciiTheme="minorHAnsi" w:hAnsiTheme="minorHAnsi"/>
          <w:sz w:val="22"/>
        </w:rPr>
        <w:t>Dolnośląski Zarząd Melioracji i Urządzeń we Wrocławiu – Oddział w Legnicy w 2013 r. zrealizował zadanie pn. „Czarna Woda – m. Legnica”, w ramach którego wykonał prace z zakresu utrzymania rzeki i jej obwałowania we właściwym stanie technicznym, gwarantującym niezakłócony przepływ wód i zwiększającym bezpieczeństwo ich użytkowania.</w:t>
      </w:r>
      <w:r w:rsidR="00C640C5">
        <w:rPr>
          <w:rFonts w:asciiTheme="minorHAnsi" w:hAnsiTheme="minorHAnsi"/>
          <w:sz w:val="22"/>
        </w:rPr>
        <w:t xml:space="preserve"> </w:t>
      </w:r>
      <w:r w:rsidR="00C540AE" w:rsidRPr="0023258F">
        <w:rPr>
          <w:rFonts w:asciiTheme="minorHAnsi" w:hAnsiTheme="minorHAnsi"/>
          <w:sz w:val="22"/>
        </w:rPr>
        <w:t>Odmulono koryto rzeki, wyprofilowano skarpy i koronę kor</w:t>
      </w:r>
      <w:r w:rsidR="00B73014">
        <w:rPr>
          <w:rFonts w:asciiTheme="minorHAnsi" w:hAnsiTheme="minorHAnsi"/>
          <w:sz w:val="22"/>
        </w:rPr>
        <w:t>pusu wału p/powodziowego wraz z likwidacją</w:t>
      </w:r>
      <w:r w:rsidR="00C540AE" w:rsidRPr="0023258F">
        <w:rPr>
          <w:rFonts w:asciiTheme="minorHAnsi" w:hAnsiTheme="minorHAnsi"/>
          <w:sz w:val="22"/>
        </w:rPr>
        <w:t xml:space="preserve"> zapadlisk po działalności bobrów.</w:t>
      </w:r>
      <w:r w:rsidR="00C640C5">
        <w:rPr>
          <w:rFonts w:asciiTheme="minorHAnsi" w:hAnsiTheme="minorHAnsi"/>
          <w:sz w:val="22"/>
        </w:rPr>
        <w:t xml:space="preserve"> </w:t>
      </w:r>
      <w:r w:rsidR="00C540AE" w:rsidRPr="0023258F">
        <w:rPr>
          <w:rFonts w:asciiTheme="minorHAnsi" w:hAnsiTheme="minorHAnsi"/>
          <w:sz w:val="22"/>
        </w:rPr>
        <w:t xml:space="preserve">Prace utrzymaniowe wału i koryta rzeki Czarna Woda realizowane były na odcinku o długości 550 m, położonym pomiędzy nasypami kolejowymi, w obrębie </w:t>
      </w:r>
      <w:r w:rsidR="00700661">
        <w:rPr>
          <w:rFonts w:asciiTheme="minorHAnsi" w:hAnsiTheme="minorHAnsi"/>
          <w:sz w:val="22"/>
        </w:rPr>
        <w:t>Zabłocia</w:t>
      </w:r>
      <w:r w:rsidR="00C540AE" w:rsidRPr="0023258F">
        <w:rPr>
          <w:rFonts w:asciiTheme="minorHAnsi" w:hAnsiTheme="minorHAnsi"/>
          <w:sz w:val="22"/>
        </w:rPr>
        <w:t xml:space="preserve"> i polegały na usunięciu namułu z koryta rzeki, ubezpieczeniu sto</w:t>
      </w:r>
      <w:r w:rsidR="000838E0">
        <w:rPr>
          <w:rFonts w:asciiTheme="minorHAnsi" w:hAnsiTheme="minorHAnsi"/>
          <w:sz w:val="22"/>
        </w:rPr>
        <w:t>py skarpy koryta rzeki faszyną,</w:t>
      </w:r>
      <w:r w:rsidR="00C540AE" w:rsidRPr="0023258F">
        <w:rPr>
          <w:rFonts w:asciiTheme="minorHAnsi" w:hAnsiTheme="minorHAnsi"/>
          <w:sz w:val="22"/>
        </w:rPr>
        <w:t xml:space="preserve"> wykonano narzut kamienny na skarpie. W roku 2013 wykonano roboty przygotowawcze i ziemne na długości 1800 m</w:t>
      </w:r>
      <w:r w:rsidR="000838E0">
        <w:rPr>
          <w:rFonts w:asciiTheme="minorHAnsi" w:hAnsiTheme="minorHAnsi"/>
          <w:sz w:val="22"/>
        </w:rPr>
        <w:t>,</w:t>
      </w:r>
      <w:r w:rsidR="00C540AE" w:rsidRPr="0023258F">
        <w:rPr>
          <w:rFonts w:asciiTheme="minorHAnsi" w:hAnsiTheme="minorHAnsi"/>
          <w:sz w:val="22"/>
        </w:rPr>
        <w:t xml:space="preserve"> stanowiące kontynuację (rozpoczęte w 2013 r.) zadania  pn. „Wierzbiak – zabezpieczenie przeciwpowodziowe miasta Legnica, obejmując</w:t>
      </w:r>
      <w:r w:rsidR="000838E0">
        <w:rPr>
          <w:rFonts w:asciiTheme="minorHAnsi" w:hAnsiTheme="minorHAnsi"/>
          <w:sz w:val="22"/>
        </w:rPr>
        <w:t>e</w:t>
      </w:r>
      <w:r w:rsidR="00C540AE" w:rsidRPr="0023258F">
        <w:rPr>
          <w:rFonts w:asciiTheme="minorHAnsi" w:hAnsiTheme="minorHAnsi"/>
          <w:sz w:val="22"/>
        </w:rPr>
        <w:t xml:space="preserve"> regulację cieków: Wierzbiak w km 6+937 do 9+121 i Chłodnik na odcinku cofkowym. Regulacja ta polega na rozbudowie istniejącego koryta cieku do szerokości 4,20 m, ubezpieczenia stopy skarpy kiszką faszynową oraz ubezpieczenie trzech stopni wodnych materacami siatkowo – kamiennymi. </w:t>
      </w:r>
    </w:p>
    <w:p w:rsidR="00C540AE" w:rsidRPr="0023258F" w:rsidRDefault="00C540AE" w:rsidP="00C540AE">
      <w:pPr>
        <w:pStyle w:val="Standard"/>
        <w:jc w:val="both"/>
        <w:rPr>
          <w:rFonts w:asciiTheme="minorHAnsi" w:eastAsiaTheme="minorHAnsi" w:hAnsiTheme="minorHAnsi" w:cstheme="minorBidi"/>
          <w:kern w:val="0"/>
          <w:sz w:val="22"/>
          <w:szCs w:val="22"/>
          <w:lang w:val="pl-PL" w:bidi="ar-SA"/>
        </w:rPr>
      </w:pPr>
    </w:p>
    <w:p w:rsidR="009F33F3" w:rsidRPr="00565CCF" w:rsidRDefault="00C540AE" w:rsidP="00565CCF">
      <w:pPr>
        <w:pStyle w:val="Standard"/>
        <w:spacing w:line="276" w:lineRule="auto"/>
        <w:jc w:val="both"/>
        <w:rPr>
          <w:rFonts w:asciiTheme="minorHAnsi" w:eastAsiaTheme="minorHAnsi" w:hAnsiTheme="minorHAnsi" w:cstheme="minorBidi"/>
          <w:kern w:val="0"/>
          <w:sz w:val="22"/>
          <w:szCs w:val="22"/>
          <w:lang w:val="pl-PL" w:bidi="ar-SA"/>
        </w:rPr>
      </w:pPr>
      <w:r w:rsidRPr="0023258F">
        <w:rPr>
          <w:rFonts w:asciiTheme="minorHAnsi" w:eastAsiaTheme="minorHAnsi" w:hAnsiTheme="minorHAnsi" w:cstheme="minorBidi"/>
          <w:kern w:val="0"/>
          <w:sz w:val="22"/>
          <w:szCs w:val="22"/>
          <w:lang w:val="pl-PL" w:bidi="ar-SA"/>
        </w:rPr>
        <w:t>Regionalny Zarząd Gospodarki Wodnej we Wrocławiu Nadzór Wodny w Legnicy kontynuował</w:t>
      </w:r>
      <w:r w:rsidR="0023258F" w:rsidRPr="0023258F">
        <w:rPr>
          <w:rFonts w:asciiTheme="minorHAnsi" w:eastAsiaTheme="minorHAnsi" w:hAnsiTheme="minorHAnsi" w:cstheme="minorBidi"/>
          <w:kern w:val="0"/>
          <w:sz w:val="22"/>
          <w:szCs w:val="22"/>
          <w:lang w:val="pl-PL" w:bidi="ar-SA"/>
        </w:rPr>
        <w:t xml:space="preserve"> z kolei</w:t>
      </w:r>
      <w:r w:rsidRPr="0023258F">
        <w:rPr>
          <w:rFonts w:asciiTheme="minorHAnsi" w:eastAsiaTheme="minorHAnsi" w:hAnsiTheme="minorHAnsi" w:cstheme="minorBidi"/>
          <w:kern w:val="0"/>
          <w:sz w:val="22"/>
          <w:szCs w:val="22"/>
          <w:lang w:val="pl-PL" w:bidi="ar-SA"/>
        </w:rPr>
        <w:t xml:space="preserve"> prace na rzece Kaczawa</w:t>
      </w:r>
      <w:r w:rsidR="000838E0">
        <w:rPr>
          <w:rFonts w:asciiTheme="minorHAnsi" w:eastAsiaTheme="minorHAnsi" w:hAnsiTheme="minorHAnsi" w:cstheme="minorBidi"/>
          <w:kern w:val="0"/>
          <w:sz w:val="22"/>
          <w:szCs w:val="22"/>
          <w:lang w:val="pl-PL" w:bidi="ar-SA"/>
        </w:rPr>
        <w:t>,</w:t>
      </w:r>
      <w:r w:rsidRPr="0023258F">
        <w:rPr>
          <w:rFonts w:asciiTheme="minorHAnsi" w:eastAsiaTheme="minorHAnsi" w:hAnsiTheme="minorHAnsi" w:cstheme="minorBidi"/>
          <w:kern w:val="0"/>
          <w:sz w:val="22"/>
          <w:szCs w:val="22"/>
          <w:lang w:val="pl-PL" w:bidi="ar-SA"/>
        </w:rPr>
        <w:t xml:space="preserve"> polegające na pogłębieniu i odmuleniu rzeki oraz odtworzeni</w:t>
      </w:r>
      <w:r w:rsidR="000838E0">
        <w:rPr>
          <w:rFonts w:asciiTheme="minorHAnsi" w:eastAsiaTheme="minorHAnsi" w:hAnsiTheme="minorHAnsi" w:cstheme="minorBidi"/>
          <w:kern w:val="0"/>
          <w:sz w:val="22"/>
          <w:szCs w:val="22"/>
          <w:lang w:val="pl-PL" w:bidi="ar-SA"/>
        </w:rPr>
        <w:t>u</w:t>
      </w:r>
      <w:r w:rsidRPr="0023258F">
        <w:rPr>
          <w:rFonts w:asciiTheme="minorHAnsi" w:eastAsiaTheme="minorHAnsi" w:hAnsiTheme="minorHAnsi" w:cstheme="minorBidi"/>
          <w:kern w:val="0"/>
          <w:sz w:val="22"/>
          <w:szCs w:val="22"/>
          <w:lang w:val="pl-PL" w:bidi="ar-SA"/>
        </w:rPr>
        <w:t xml:space="preserve"> bruku. Prace te wykonywane były w ramach zadania pn. „Odtworzenie przekroju normalnego wraz fragmentarycznym remontem ubezpieczeń brzegowych i dennych koryta rzeki Ka</w:t>
      </w:r>
      <w:r w:rsidR="00B73014">
        <w:rPr>
          <w:rFonts w:asciiTheme="minorHAnsi" w:eastAsiaTheme="minorHAnsi" w:hAnsiTheme="minorHAnsi" w:cstheme="minorBidi"/>
          <w:kern w:val="0"/>
          <w:sz w:val="22"/>
          <w:szCs w:val="22"/>
          <w:lang w:val="pl-PL" w:bidi="ar-SA"/>
        </w:rPr>
        <w:t>czawy w km 25+500 ÷ 27+550 w m. </w:t>
      </w:r>
      <w:r w:rsidRPr="0023258F">
        <w:rPr>
          <w:rFonts w:asciiTheme="minorHAnsi" w:eastAsiaTheme="minorHAnsi" w:hAnsiTheme="minorHAnsi" w:cstheme="minorBidi"/>
          <w:kern w:val="0"/>
          <w:sz w:val="22"/>
          <w:szCs w:val="22"/>
          <w:lang w:val="pl-PL" w:bidi="ar-SA"/>
        </w:rPr>
        <w:t xml:space="preserve">Legnica ” tj. na odcinku od ulicy Wrocławskiej w kierunku ul. Bielańskiej i basenów kąpielowych, na długości 2050 m. W ramach zadania wykonano odmulenie dna,  remont ubezpieczeń brzegowych wraz z reprofilacją istniejących ubezpieczeń brukowych. Dokonano usunięcia odrostów ubezpieczeń brzegowych (krzaków) oraz rosnących w działce rzecznej drzew utrudniających swobodny przepływ wód wezbraniowych. Na ww. odcinku remontowanej rzeki wprowadzane są bezpośrednio do rzeki Kaczawy wody opadowe przez istniejące wyloty kanalizacji deszczowej, z rowu K-8 i Młynówki. W roku </w:t>
      </w:r>
      <w:r w:rsidR="0023258F" w:rsidRPr="0023258F">
        <w:rPr>
          <w:rFonts w:asciiTheme="minorHAnsi" w:eastAsiaTheme="minorHAnsi" w:hAnsiTheme="minorHAnsi" w:cstheme="minorBidi"/>
          <w:kern w:val="0"/>
          <w:sz w:val="22"/>
          <w:szCs w:val="22"/>
          <w:lang w:val="pl-PL" w:bidi="ar-SA"/>
        </w:rPr>
        <w:t>2012</w:t>
      </w:r>
      <w:r w:rsidRPr="0023258F">
        <w:rPr>
          <w:rFonts w:asciiTheme="minorHAnsi" w:eastAsiaTheme="minorHAnsi" w:hAnsiTheme="minorHAnsi" w:cstheme="minorBidi"/>
          <w:kern w:val="0"/>
          <w:sz w:val="22"/>
          <w:szCs w:val="22"/>
          <w:lang w:val="pl-PL" w:bidi="ar-SA"/>
        </w:rPr>
        <w:t xml:space="preserve"> RZGW Nadzór Wodny w Legnicy wykonał prace odmuleniowe i remontowe rzeki Kaczawy w dolnym jej biegu w km 24+550-25+550. Prace te spowodowały obniżenie poziomu wody w rzece</w:t>
      </w:r>
      <w:r w:rsidR="000838E0">
        <w:rPr>
          <w:rFonts w:asciiTheme="minorHAnsi" w:eastAsiaTheme="minorHAnsi" w:hAnsiTheme="minorHAnsi" w:cstheme="minorBidi"/>
          <w:kern w:val="0"/>
          <w:sz w:val="22"/>
          <w:szCs w:val="22"/>
          <w:lang w:val="pl-PL" w:bidi="ar-SA"/>
        </w:rPr>
        <w:t>,</w:t>
      </w:r>
      <w:r w:rsidRPr="0023258F">
        <w:rPr>
          <w:rFonts w:asciiTheme="minorHAnsi" w:eastAsiaTheme="minorHAnsi" w:hAnsiTheme="minorHAnsi" w:cstheme="minorBidi"/>
          <w:kern w:val="0"/>
          <w:sz w:val="22"/>
          <w:szCs w:val="22"/>
          <w:lang w:val="pl-PL" w:bidi="ar-SA"/>
        </w:rPr>
        <w:t xml:space="preserve"> ułatwiając przepływ wód wezbranych rzeki Kaczawy</w:t>
      </w:r>
      <w:r w:rsidR="000838E0">
        <w:rPr>
          <w:rFonts w:asciiTheme="minorHAnsi" w:eastAsiaTheme="minorHAnsi" w:hAnsiTheme="minorHAnsi" w:cstheme="minorBidi"/>
          <w:kern w:val="0"/>
          <w:sz w:val="22"/>
          <w:szCs w:val="22"/>
          <w:lang w:val="pl-PL" w:bidi="ar-SA"/>
        </w:rPr>
        <w:t>,</w:t>
      </w:r>
      <w:r w:rsidRPr="0023258F">
        <w:rPr>
          <w:rFonts w:asciiTheme="minorHAnsi" w:eastAsiaTheme="minorHAnsi" w:hAnsiTheme="minorHAnsi" w:cstheme="minorBidi"/>
          <w:kern w:val="0"/>
          <w:sz w:val="22"/>
          <w:szCs w:val="22"/>
          <w:lang w:val="pl-PL" w:bidi="ar-SA"/>
        </w:rPr>
        <w:t xml:space="preserve"> zapobiegając jej wlewaniu się do miejskiego systemu kanalizacji deszczowej.</w:t>
      </w:r>
      <w:r w:rsidR="0023258F" w:rsidRPr="0023258F">
        <w:rPr>
          <w:rFonts w:asciiTheme="minorHAnsi" w:eastAsiaTheme="minorHAnsi" w:hAnsiTheme="minorHAnsi" w:cstheme="minorBidi"/>
          <w:kern w:val="0"/>
          <w:sz w:val="22"/>
          <w:szCs w:val="22"/>
          <w:lang w:val="pl-PL" w:bidi="ar-SA"/>
        </w:rPr>
        <w:t xml:space="preserve"> </w:t>
      </w:r>
      <w:r w:rsidRPr="0023258F">
        <w:rPr>
          <w:rFonts w:asciiTheme="minorHAnsi" w:eastAsiaTheme="minorHAnsi" w:hAnsiTheme="minorHAnsi" w:cstheme="minorBidi"/>
          <w:kern w:val="0"/>
          <w:sz w:val="22"/>
          <w:szCs w:val="22"/>
          <w:lang w:val="pl-PL" w:bidi="ar-SA"/>
        </w:rPr>
        <w:t>Ta inwestycja, w połączeniu z wykonaną już w roku 2012 inwestycją DZM i UM we Wrocławiu – Oddział w Legnicy, w rejonie parku</w:t>
      </w:r>
      <w:r w:rsidR="000838E0">
        <w:rPr>
          <w:rFonts w:asciiTheme="minorHAnsi" w:eastAsiaTheme="minorHAnsi" w:hAnsiTheme="minorHAnsi" w:cstheme="minorBidi"/>
          <w:kern w:val="0"/>
          <w:sz w:val="22"/>
          <w:szCs w:val="22"/>
          <w:lang w:val="pl-PL" w:bidi="ar-SA"/>
        </w:rPr>
        <w:t>,</w:t>
      </w:r>
      <w:r w:rsidRPr="0023258F">
        <w:rPr>
          <w:rFonts w:asciiTheme="minorHAnsi" w:eastAsiaTheme="minorHAnsi" w:hAnsiTheme="minorHAnsi" w:cstheme="minorBidi"/>
          <w:kern w:val="0"/>
          <w:sz w:val="22"/>
          <w:szCs w:val="22"/>
          <w:lang w:val="pl-PL" w:bidi="ar-SA"/>
        </w:rPr>
        <w:t xml:space="preserve"> związaną z podwyższeniem i wzmocnieniem lewobrzeżnego wału</w:t>
      </w:r>
      <w:r w:rsidR="0023258F" w:rsidRPr="0023258F">
        <w:rPr>
          <w:rFonts w:asciiTheme="minorHAnsi" w:eastAsiaTheme="minorHAnsi" w:hAnsiTheme="minorHAnsi" w:cstheme="minorBidi"/>
          <w:kern w:val="0"/>
          <w:sz w:val="22"/>
          <w:szCs w:val="22"/>
          <w:lang w:val="pl-PL" w:bidi="ar-SA"/>
        </w:rPr>
        <w:t>,</w:t>
      </w:r>
      <w:r w:rsidRPr="0023258F">
        <w:rPr>
          <w:rFonts w:asciiTheme="minorHAnsi" w:eastAsiaTheme="minorHAnsi" w:hAnsiTheme="minorHAnsi" w:cstheme="minorBidi"/>
          <w:kern w:val="0"/>
          <w:sz w:val="22"/>
          <w:szCs w:val="22"/>
          <w:lang w:val="pl-PL" w:bidi="ar-SA"/>
        </w:rPr>
        <w:t xml:space="preserve"> gdzie został wybudowany bulwar rekreacyjny, zdecydowanie poprawi bezpieczeństwo przeciwpowodziowe m</w:t>
      </w:r>
      <w:r w:rsidR="0023258F" w:rsidRPr="0023258F">
        <w:rPr>
          <w:rFonts w:asciiTheme="minorHAnsi" w:eastAsiaTheme="minorHAnsi" w:hAnsiTheme="minorHAnsi" w:cstheme="minorBidi"/>
          <w:kern w:val="0"/>
          <w:sz w:val="22"/>
          <w:szCs w:val="22"/>
          <w:lang w:val="pl-PL" w:bidi="ar-SA"/>
        </w:rPr>
        <w:t>iasta Legnicy</w:t>
      </w:r>
      <w:r w:rsidR="00565CCF">
        <w:rPr>
          <w:rFonts w:asciiTheme="minorHAnsi" w:eastAsiaTheme="minorHAnsi" w:hAnsiTheme="minorHAnsi" w:cstheme="minorBidi"/>
          <w:kern w:val="0"/>
          <w:sz w:val="22"/>
          <w:szCs w:val="22"/>
          <w:lang w:val="pl-PL" w:bidi="ar-SA"/>
        </w:rPr>
        <w:t>.</w:t>
      </w:r>
    </w:p>
    <w:p w:rsidR="009F33F3" w:rsidRPr="00563EF2" w:rsidRDefault="009F33F3" w:rsidP="00FD7676">
      <w:pPr>
        <w:rPr>
          <w:rFonts w:asciiTheme="minorHAnsi" w:hAnsiTheme="minorHAnsi"/>
          <w:sz w:val="22"/>
        </w:rPr>
      </w:pPr>
    </w:p>
    <w:p w:rsidR="00871FD7" w:rsidRPr="00563EF2" w:rsidRDefault="009D36B6" w:rsidP="00EC5484">
      <w:pPr>
        <w:pStyle w:val="Nagwek3"/>
      </w:pPr>
      <w:bookmarkStart w:id="57" w:name="_Toc399756343"/>
      <w:r>
        <w:t>Struktura zagospodarowania gruntów i j</w:t>
      </w:r>
      <w:r w:rsidR="00871FD7" w:rsidRPr="00563EF2">
        <w:t>akość gleb</w:t>
      </w:r>
      <w:bookmarkEnd w:id="57"/>
      <w:r w:rsidR="00871FD7" w:rsidRPr="00563EF2">
        <w:t xml:space="preserve"> </w:t>
      </w:r>
    </w:p>
    <w:p w:rsidR="008428BE" w:rsidRPr="0023258F" w:rsidRDefault="008428BE" w:rsidP="00FD7676">
      <w:pPr>
        <w:rPr>
          <w:rFonts w:asciiTheme="minorHAnsi" w:hAnsiTheme="minorHAnsi"/>
          <w:sz w:val="22"/>
        </w:rPr>
      </w:pPr>
    </w:p>
    <w:p w:rsidR="008428BE" w:rsidRPr="00C640C5" w:rsidRDefault="008428BE" w:rsidP="008428BE">
      <w:pPr>
        <w:pStyle w:val="Legenda"/>
        <w:keepNext/>
        <w:rPr>
          <w:rFonts w:asciiTheme="minorHAnsi" w:hAnsiTheme="minorHAnsi"/>
          <w:sz w:val="20"/>
        </w:rPr>
      </w:pPr>
      <w:r w:rsidRPr="00C640C5">
        <w:rPr>
          <w:rFonts w:asciiTheme="minorHAnsi" w:hAnsiTheme="minorHAnsi"/>
          <w:sz w:val="20"/>
        </w:rPr>
        <w:t xml:space="preserve">Tabela </w:t>
      </w:r>
      <w:r w:rsidR="0064065B" w:rsidRPr="00C640C5">
        <w:rPr>
          <w:rFonts w:asciiTheme="minorHAnsi" w:hAnsiTheme="minorHAnsi"/>
          <w:sz w:val="20"/>
        </w:rPr>
        <w:fldChar w:fldCharType="begin"/>
      </w:r>
      <w:r w:rsidR="0064065B" w:rsidRPr="00C640C5">
        <w:rPr>
          <w:rFonts w:asciiTheme="minorHAnsi" w:hAnsiTheme="minorHAnsi"/>
          <w:sz w:val="20"/>
        </w:rPr>
        <w:instrText xml:space="preserve"> SEQ Tabela \* ARABIC </w:instrText>
      </w:r>
      <w:r w:rsidR="0064065B" w:rsidRPr="00C640C5">
        <w:rPr>
          <w:rFonts w:asciiTheme="minorHAnsi" w:hAnsiTheme="minorHAnsi"/>
          <w:sz w:val="20"/>
        </w:rPr>
        <w:fldChar w:fldCharType="separate"/>
      </w:r>
      <w:r w:rsidR="007B2916">
        <w:rPr>
          <w:rFonts w:asciiTheme="minorHAnsi" w:hAnsiTheme="minorHAnsi"/>
          <w:noProof/>
          <w:sz w:val="20"/>
        </w:rPr>
        <w:t>40</w:t>
      </w:r>
      <w:r w:rsidR="0064065B" w:rsidRPr="00C640C5">
        <w:rPr>
          <w:rFonts w:asciiTheme="minorHAnsi" w:hAnsiTheme="minorHAnsi"/>
          <w:noProof/>
          <w:sz w:val="20"/>
        </w:rPr>
        <w:fldChar w:fldCharType="end"/>
      </w:r>
      <w:r w:rsidRPr="00C640C5">
        <w:rPr>
          <w:rFonts w:asciiTheme="minorHAnsi" w:hAnsiTheme="minorHAnsi"/>
          <w:sz w:val="20"/>
        </w:rPr>
        <w:t>. Struktura użytkowania gruntów na terenie Legnicy.</w:t>
      </w:r>
    </w:p>
    <w:tbl>
      <w:tblPr>
        <w:tblStyle w:val="Jasnasiatkaakcent11"/>
        <w:tblW w:w="7585" w:type="dxa"/>
        <w:tblLook w:val="04A0" w:firstRow="1" w:lastRow="0" w:firstColumn="1" w:lastColumn="0" w:noHBand="0" w:noVBand="1"/>
      </w:tblPr>
      <w:tblGrid>
        <w:gridCol w:w="3383"/>
        <w:gridCol w:w="984"/>
        <w:gridCol w:w="984"/>
        <w:gridCol w:w="984"/>
        <w:gridCol w:w="1250"/>
      </w:tblGrid>
      <w:tr w:rsidR="008428BE" w:rsidRPr="008428BE" w:rsidTr="00F435C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 </w:t>
            </w:r>
          </w:p>
        </w:tc>
        <w:tc>
          <w:tcPr>
            <w:tcW w:w="2951" w:type="dxa"/>
            <w:gridSpan w:val="3"/>
            <w:noWrap/>
            <w:hideMark/>
          </w:tcPr>
          <w:p w:rsidR="008428BE" w:rsidRPr="008428BE" w:rsidRDefault="008428BE" w:rsidP="008428B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Struktura gruntów w ha</w:t>
            </w:r>
          </w:p>
          <w:p w:rsidR="008428BE" w:rsidRPr="008428BE" w:rsidRDefault="008428BE" w:rsidP="008428B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 </w:t>
            </w:r>
          </w:p>
          <w:p w:rsidR="008428BE" w:rsidRPr="008428BE" w:rsidRDefault="008428BE" w:rsidP="008428B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 </w:t>
            </w:r>
          </w:p>
        </w:tc>
        <w:tc>
          <w:tcPr>
            <w:tcW w:w="1250" w:type="dxa"/>
            <w:noWrap/>
            <w:hideMark/>
          </w:tcPr>
          <w:p w:rsidR="008428BE" w:rsidRPr="008428BE" w:rsidRDefault="008428BE" w:rsidP="008428B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Struktura gruntów w %</w:t>
            </w:r>
          </w:p>
        </w:tc>
      </w:tr>
      <w:tr w:rsidR="008428BE" w:rsidRPr="008428BE" w:rsidTr="00F435C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 </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2008</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2010</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2012</w:t>
            </w:r>
          </w:p>
        </w:tc>
        <w:tc>
          <w:tcPr>
            <w:tcW w:w="1250"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2012</w:t>
            </w:r>
          </w:p>
        </w:tc>
      </w:tr>
      <w:tr w:rsidR="008428BE" w:rsidRPr="008428BE" w:rsidTr="00F435C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Pr>
                <w:rFonts w:ascii="Arial" w:eastAsia="Times New Roman" w:hAnsi="Arial" w:cs="Arial"/>
                <w:sz w:val="20"/>
                <w:szCs w:val="20"/>
                <w:lang w:eastAsia="pl-PL"/>
              </w:rPr>
              <w:t>Powierzchnia m</w:t>
            </w:r>
            <w:r w:rsidRPr="008428BE">
              <w:rPr>
                <w:rFonts w:ascii="Arial" w:eastAsia="Times New Roman" w:hAnsi="Arial" w:cs="Arial"/>
                <w:sz w:val="20"/>
                <w:szCs w:val="20"/>
                <w:lang w:eastAsia="pl-PL"/>
              </w:rPr>
              <w:t>ia</w:t>
            </w:r>
            <w:r>
              <w:rPr>
                <w:rFonts w:ascii="Arial" w:eastAsia="Times New Roman" w:hAnsi="Arial" w:cs="Arial"/>
                <w:sz w:val="20"/>
                <w:szCs w:val="20"/>
                <w:lang w:eastAsia="pl-PL"/>
              </w:rPr>
              <w:t>s</w:t>
            </w:r>
            <w:r w:rsidRPr="008428BE">
              <w:rPr>
                <w:rFonts w:ascii="Arial" w:eastAsia="Times New Roman" w:hAnsi="Arial" w:cs="Arial"/>
                <w:sz w:val="20"/>
                <w:szCs w:val="20"/>
                <w:lang w:eastAsia="pl-PL"/>
              </w:rPr>
              <w:t>ta</w:t>
            </w:r>
            <w:r>
              <w:rPr>
                <w:rFonts w:ascii="Arial" w:eastAsia="Times New Roman" w:hAnsi="Arial" w:cs="Arial"/>
                <w:sz w:val="20"/>
                <w:szCs w:val="20"/>
                <w:lang w:eastAsia="pl-PL"/>
              </w:rPr>
              <w:t xml:space="preserve"> ogółem</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5629</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5629</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5629</w:t>
            </w:r>
          </w:p>
        </w:tc>
        <w:tc>
          <w:tcPr>
            <w:tcW w:w="1250"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100%</w:t>
            </w:r>
          </w:p>
        </w:tc>
      </w:tr>
      <w:tr w:rsidR="008428BE" w:rsidRPr="008428BE" w:rsidTr="00F435C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Grunty leśne</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423</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424</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424</w:t>
            </w:r>
          </w:p>
        </w:tc>
        <w:tc>
          <w:tcPr>
            <w:tcW w:w="1250"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7,53%</w:t>
            </w:r>
          </w:p>
        </w:tc>
      </w:tr>
      <w:tr w:rsidR="008428BE" w:rsidRPr="008428BE" w:rsidTr="00F435C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Grunty zabudowane i zurbanizowane</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2699</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2697</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2728</w:t>
            </w:r>
          </w:p>
        </w:tc>
        <w:tc>
          <w:tcPr>
            <w:tcW w:w="1250"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48,46%</w:t>
            </w:r>
          </w:p>
        </w:tc>
      </w:tr>
      <w:tr w:rsidR="008428BE" w:rsidRPr="008428BE" w:rsidTr="00F435C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Grunty pod wodami</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93</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93</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98</w:t>
            </w:r>
          </w:p>
        </w:tc>
        <w:tc>
          <w:tcPr>
            <w:tcW w:w="1250"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1,74%</w:t>
            </w:r>
          </w:p>
        </w:tc>
      </w:tr>
      <w:tr w:rsidR="008428BE" w:rsidRPr="008428BE" w:rsidTr="00F435C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Użytki ekologiczne</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23</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23</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23</w:t>
            </w:r>
          </w:p>
        </w:tc>
        <w:tc>
          <w:tcPr>
            <w:tcW w:w="1250"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0,41%</w:t>
            </w:r>
          </w:p>
        </w:tc>
      </w:tr>
      <w:tr w:rsidR="008428BE" w:rsidRPr="008428BE" w:rsidTr="00F435C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Nieużytki</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46</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46</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46</w:t>
            </w:r>
          </w:p>
        </w:tc>
        <w:tc>
          <w:tcPr>
            <w:tcW w:w="1250"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0,82%</w:t>
            </w:r>
          </w:p>
        </w:tc>
      </w:tr>
      <w:tr w:rsidR="008428BE" w:rsidRPr="008428BE" w:rsidTr="00F435C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Użytki rolne</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2242</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2242</w:t>
            </w:r>
          </w:p>
        </w:tc>
        <w:tc>
          <w:tcPr>
            <w:tcW w:w="984"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2215</w:t>
            </w:r>
          </w:p>
        </w:tc>
        <w:tc>
          <w:tcPr>
            <w:tcW w:w="1250" w:type="dxa"/>
            <w:noWrap/>
            <w:vAlign w:val="center"/>
            <w:hideMark/>
          </w:tcPr>
          <w:p w:rsidR="008428BE" w:rsidRPr="008428BE" w:rsidRDefault="008428BE"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39,35%</w:t>
            </w:r>
          </w:p>
        </w:tc>
      </w:tr>
      <w:tr w:rsidR="008428BE" w:rsidRPr="008428BE" w:rsidTr="00F435C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83" w:type="dxa"/>
            <w:noWrap/>
            <w:hideMark/>
          </w:tcPr>
          <w:p w:rsidR="008428BE" w:rsidRPr="008428BE" w:rsidRDefault="008428BE" w:rsidP="008428BE">
            <w:pPr>
              <w:spacing w:line="240" w:lineRule="auto"/>
              <w:jc w:val="left"/>
              <w:rPr>
                <w:rFonts w:ascii="Arial" w:eastAsia="Times New Roman" w:hAnsi="Arial" w:cs="Arial"/>
                <w:sz w:val="20"/>
                <w:szCs w:val="20"/>
                <w:lang w:eastAsia="pl-PL"/>
              </w:rPr>
            </w:pPr>
            <w:r w:rsidRPr="008428BE">
              <w:rPr>
                <w:rFonts w:ascii="Arial" w:eastAsia="Times New Roman" w:hAnsi="Arial" w:cs="Arial"/>
                <w:sz w:val="20"/>
                <w:szCs w:val="20"/>
                <w:lang w:eastAsia="pl-PL"/>
              </w:rPr>
              <w:t>Tereny różne</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103</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104</w:t>
            </w:r>
          </w:p>
        </w:tc>
        <w:tc>
          <w:tcPr>
            <w:tcW w:w="984"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95</w:t>
            </w:r>
          </w:p>
        </w:tc>
        <w:tc>
          <w:tcPr>
            <w:tcW w:w="1250" w:type="dxa"/>
            <w:noWrap/>
            <w:vAlign w:val="center"/>
            <w:hideMark/>
          </w:tcPr>
          <w:p w:rsidR="008428BE" w:rsidRPr="008428BE" w:rsidRDefault="008428BE"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428BE">
              <w:rPr>
                <w:rFonts w:ascii="Arial" w:eastAsia="Times New Roman" w:hAnsi="Arial" w:cs="Arial"/>
                <w:sz w:val="20"/>
                <w:szCs w:val="20"/>
                <w:lang w:eastAsia="pl-PL"/>
              </w:rPr>
              <w:t>1,69%</w:t>
            </w:r>
          </w:p>
        </w:tc>
      </w:tr>
    </w:tbl>
    <w:p w:rsidR="008428BE" w:rsidRPr="00700661" w:rsidRDefault="008428BE" w:rsidP="00FD7676">
      <w:pPr>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 xml:space="preserve">Raport z wykonania Programu Ochrony Środowiska dla Miasta Legnicy za lata 2008-2011, </w:t>
      </w:r>
      <w:r w:rsidRPr="00700661">
        <w:rPr>
          <w:rFonts w:asciiTheme="minorHAnsi" w:hAnsiTheme="minorHAnsi"/>
          <w:sz w:val="20"/>
        </w:rPr>
        <w:t>Urząd Miasta Legnicy, 2012 r.</w:t>
      </w:r>
    </w:p>
    <w:p w:rsidR="004E2969" w:rsidRPr="00563EF2" w:rsidRDefault="004E2969" w:rsidP="00FD7676">
      <w:pPr>
        <w:rPr>
          <w:rFonts w:asciiTheme="minorHAnsi" w:hAnsiTheme="minorHAnsi"/>
          <w:sz w:val="22"/>
        </w:rPr>
      </w:pPr>
    </w:p>
    <w:p w:rsidR="00D939C8" w:rsidRPr="00563EF2" w:rsidRDefault="0018075A" w:rsidP="00FD7676">
      <w:pPr>
        <w:rPr>
          <w:rFonts w:asciiTheme="minorHAnsi" w:hAnsiTheme="minorHAnsi"/>
          <w:sz w:val="22"/>
        </w:rPr>
      </w:pPr>
      <w:r w:rsidRPr="00563EF2">
        <w:rPr>
          <w:rFonts w:asciiTheme="minorHAnsi" w:hAnsiTheme="minorHAnsi"/>
          <w:sz w:val="22"/>
        </w:rPr>
        <w:t>Większość gleb na obszarze Legnicy stanowią gleby brunatne i mady – 83% pow. gleb.</w:t>
      </w:r>
      <w:r w:rsidR="00CE2265">
        <w:rPr>
          <w:rFonts w:asciiTheme="minorHAnsi" w:hAnsiTheme="minorHAnsi"/>
          <w:sz w:val="22"/>
        </w:rPr>
        <w:t xml:space="preserve"> Skoncentrowane są głównie w południowej cześci miasta, tworzą głównie kompleksy pszenne (bardzo dobre i wadliwe)</w:t>
      </w:r>
      <w:r w:rsidR="00CE2265" w:rsidRPr="00563EF2">
        <w:rPr>
          <w:rFonts w:asciiTheme="minorHAnsi" w:hAnsiTheme="minorHAnsi"/>
          <w:sz w:val="22"/>
        </w:rPr>
        <w:t xml:space="preserve"> </w:t>
      </w:r>
      <w:r w:rsidR="00CE2265">
        <w:rPr>
          <w:rFonts w:asciiTheme="minorHAnsi" w:hAnsiTheme="minorHAnsi"/>
          <w:sz w:val="22"/>
        </w:rPr>
        <w:t xml:space="preserve"> oraz żytnie (od bardzo dobrych do słabych). </w:t>
      </w:r>
      <w:r w:rsidRPr="00563EF2">
        <w:rPr>
          <w:rFonts w:asciiTheme="minorHAnsi" w:hAnsiTheme="minorHAnsi"/>
          <w:sz w:val="22"/>
        </w:rPr>
        <w:t>Udział</w:t>
      </w:r>
      <w:r w:rsidR="00CE2265">
        <w:rPr>
          <w:rFonts w:asciiTheme="minorHAnsi" w:hAnsiTheme="minorHAnsi"/>
          <w:sz w:val="22"/>
        </w:rPr>
        <w:t xml:space="preserve"> mniej żyznych</w:t>
      </w:r>
      <w:r w:rsidRPr="00563EF2">
        <w:rPr>
          <w:rFonts w:asciiTheme="minorHAnsi" w:hAnsiTheme="minorHAnsi"/>
          <w:sz w:val="22"/>
        </w:rPr>
        <w:t xml:space="preserve"> gleb bielicowych</w:t>
      </w:r>
      <w:r w:rsidR="00B73014">
        <w:rPr>
          <w:rFonts w:asciiTheme="minorHAnsi" w:hAnsiTheme="minorHAnsi"/>
          <w:sz w:val="22"/>
        </w:rPr>
        <w:t xml:space="preserve"> i </w:t>
      </w:r>
      <w:r w:rsidRPr="00563EF2">
        <w:rPr>
          <w:rFonts w:asciiTheme="minorHAnsi" w:hAnsiTheme="minorHAnsi"/>
          <w:sz w:val="22"/>
        </w:rPr>
        <w:t>p</w:t>
      </w:r>
      <w:r w:rsidR="00CE2265">
        <w:rPr>
          <w:rFonts w:asciiTheme="minorHAnsi" w:hAnsiTheme="minorHAnsi"/>
          <w:sz w:val="22"/>
        </w:rPr>
        <w:t>yłowych wynosi 8,5%. Ich przeważająca c</w:t>
      </w:r>
      <w:r w:rsidR="000838E0">
        <w:rPr>
          <w:rFonts w:asciiTheme="minorHAnsi" w:hAnsiTheme="minorHAnsi"/>
          <w:sz w:val="22"/>
        </w:rPr>
        <w:t>zęść zajmuje teren północno-wsch</w:t>
      </w:r>
      <w:r w:rsidR="00CE2265">
        <w:rPr>
          <w:rFonts w:asciiTheme="minorHAnsi" w:hAnsiTheme="minorHAnsi"/>
          <w:sz w:val="22"/>
        </w:rPr>
        <w:t>odniego skraju miasta</w:t>
      </w:r>
      <w:r w:rsidR="000838E0">
        <w:rPr>
          <w:rFonts w:asciiTheme="minorHAnsi" w:hAnsiTheme="minorHAnsi"/>
          <w:sz w:val="22"/>
        </w:rPr>
        <w:t>,</w:t>
      </w:r>
      <w:r w:rsidR="00CE2265">
        <w:rPr>
          <w:rFonts w:asciiTheme="minorHAnsi" w:hAnsiTheme="minorHAnsi"/>
          <w:sz w:val="22"/>
        </w:rPr>
        <w:t xml:space="preserve"> tworząc kompleks żytni bardzo dobry i dobry. W innych częściach miast</w:t>
      </w:r>
      <w:r w:rsidR="000838E0">
        <w:rPr>
          <w:rFonts w:asciiTheme="minorHAnsi" w:hAnsiTheme="minorHAnsi"/>
          <w:sz w:val="22"/>
        </w:rPr>
        <w:t>a dominują</w:t>
      </w:r>
      <w:r w:rsidR="00CE2265">
        <w:rPr>
          <w:rFonts w:asciiTheme="minorHAnsi" w:hAnsiTheme="minorHAnsi"/>
          <w:sz w:val="22"/>
        </w:rPr>
        <w:t xml:space="preserve"> gleby brunatne, </w:t>
      </w:r>
      <w:r w:rsidRPr="00563EF2">
        <w:rPr>
          <w:rFonts w:asciiTheme="minorHAnsi" w:hAnsiTheme="minorHAnsi"/>
          <w:sz w:val="22"/>
        </w:rPr>
        <w:t xml:space="preserve"> czarne ziemie </w:t>
      </w:r>
      <w:r w:rsidR="00CE2265">
        <w:rPr>
          <w:rFonts w:asciiTheme="minorHAnsi" w:hAnsiTheme="minorHAnsi"/>
          <w:sz w:val="22"/>
        </w:rPr>
        <w:t>(</w:t>
      </w:r>
      <w:r w:rsidRPr="00563EF2">
        <w:rPr>
          <w:rFonts w:asciiTheme="minorHAnsi" w:hAnsiTheme="minorHAnsi"/>
          <w:sz w:val="22"/>
        </w:rPr>
        <w:t>stanowią łącznie 5%</w:t>
      </w:r>
      <w:r w:rsidR="00CE2265">
        <w:rPr>
          <w:rFonts w:asciiTheme="minorHAnsi" w:hAnsiTheme="minorHAnsi"/>
          <w:sz w:val="22"/>
        </w:rPr>
        <w:t>), gl</w:t>
      </w:r>
      <w:r w:rsidRPr="00563EF2">
        <w:rPr>
          <w:rFonts w:asciiTheme="minorHAnsi" w:hAnsiTheme="minorHAnsi"/>
          <w:sz w:val="22"/>
        </w:rPr>
        <w:t>eby glejowe, mułowo-tor</w:t>
      </w:r>
      <w:r w:rsidR="00B73014">
        <w:rPr>
          <w:rFonts w:asciiTheme="minorHAnsi" w:hAnsiTheme="minorHAnsi"/>
          <w:sz w:val="22"/>
        </w:rPr>
        <w:t>fowe, murszowo-mineralne i </w:t>
      </w:r>
      <w:r w:rsidRPr="00563EF2">
        <w:rPr>
          <w:rFonts w:asciiTheme="minorHAnsi" w:hAnsiTheme="minorHAnsi"/>
          <w:sz w:val="22"/>
        </w:rPr>
        <w:t>murszowate.</w:t>
      </w:r>
      <w:r w:rsidR="00CE2265">
        <w:rPr>
          <w:rFonts w:asciiTheme="minorHAnsi" w:hAnsiTheme="minorHAnsi"/>
          <w:sz w:val="22"/>
        </w:rPr>
        <w:t xml:space="preserve"> Gleby organogeniczne, głównie mady ciężki</w:t>
      </w:r>
      <w:r w:rsidR="00D939C8">
        <w:rPr>
          <w:rFonts w:asciiTheme="minorHAnsi" w:hAnsiTheme="minorHAnsi"/>
          <w:sz w:val="22"/>
        </w:rPr>
        <w:t>e</w:t>
      </w:r>
      <w:r w:rsidR="00CE2265">
        <w:rPr>
          <w:rFonts w:asciiTheme="minorHAnsi" w:hAnsiTheme="minorHAnsi"/>
          <w:sz w:val="22"/>
        </w:rPr>
        <w:t xml:space="preserve"> i bardzo ci</w:t>
      </w:r>
      <w:r w:rsidR="00B73014">
        <w:rPr>
          <w:rFonts w:asciiTheme="minorHAnsi" w:hAnsiTheme="minorHAnsi"/>
          <w:sz w:val="22"/>
        </w:rPr>
        <w:t>ężkie, zajmują dolinę Kaczawy i </w:t>
      </w:r>
      <w:r w:rsidR="00CE2265">
        <w:rPr>
          <w:rFonts w:asciiTheme="minorHAnsi" w:hAnsiTheme="minorHAnsi"/>
          <w:sz w:val="22"/>
        </w:rPr>
        <w:t>jej większe dopływy</w:t>
      </w:r>
      <w:r w:rsidR="00D939C8">
        <w:rPr>
          <w:rFonts w:asciiTheme="minorHAnsi" w:hAnsiTheme="minorHAnsi"/>
          <w:sz w:val="22"/>
        </w:rPr>
        <w:t>.</w:t>
      </w:r>
    </w:p>
    <w:p w:rsidR="00F14A0C" w:rsidRPr="00563EF2" w:rsidRDefault="00F14A0C" w:rsidP="00FD7676">
      <w:pPr>
        <w:rPr>
          <w:rFonts w:asciiTheme="minorHAnsi" w:hAnsiTheme="minorHAnsi"/>
          <w:b/>
          <w:sz w:val="22"/>
        </w:rPr>
      </w:pPr>
    </w:p>
    <w:p w:rsidR="00E63FE8" w:rsidRDefault="00D939C8" w:rsidP="00FD7676">
      <w:pPr>
        <w:rPr>
          <w:rFonts w:asciiTheme="minorHAnsi" w:hAnsiTheme="minorHAnsi"/>
          <w:sz w:val="22"/>
        </w:rPr>
      </w:pPr>
      <w:r>
        <w:rPr>
          <w:rFonts w:asciiTheme="minorHAnsi" w:hAnsiTheme="minorHAnsi"/>
          <w:sz w:val="22"/>
        </w:rPr>
        <w:t>Część</w:t>
      </w:r>
      <w:r w:rsidR="00871FD7" w:rsidRPr="00563EF2">
        <w:rPr>
          <w:rFonts w:asciiTheme="minorHAnsi" w:hAnsiTheme="minorHAnsi"/>
          <w:sz w:val="22"/>
        </w:rPr>
        <w:t xml:space="preserve"> gleb jest znacznie skażona.</w:t>
      </w:r>
      <w:r w:rsidR="0075212D">
        <w:rPr>
          <w:rFonts w:asciiTheme="minorHAnsi" w:hAnsiTheme="minorHAnsi"/>
          <w:sz w:val="22"/>
        </w:rPr>
        <w:t xml:space="preserve"> </w:t>
      </w:r>
      <w:r w:rsidR="0075212D" w:rsidRPr="00563EF2">
        <w:rPr>
          <w:rFonts w:asciiTheme="minorHAnsi" w:hAnsiTheme="minorHAnsi"/>
          <w:sz w:val="22"/>
        </w:rPr>
        <w:t>Wieloletnia, ogromna emisja metali ciężkich i zwi</w:t>
      </w:r>
      <w:r w:rsidR="000838E0">
        <w:rPr>
          <w:rFonts w:asciiTheme="minorHAnsi" w:hAnsiTheme="minorHAnsi"/>
          <w:sz w:val="22"/>
        </w:rPr>
        <w:t>ązków siarki przez Hutę Miedzi Legnica</w:t>
      </w:r>
      <w:r w:rsidR="0075212D" w:rsidRPr="00563EF2">
        <w:rPr>
          <w:rFonts w:asciiTheme="minorHAnsi" w:hAnsiTheme="minorHAnsi"/>
          <w:sz w:val="22"/>
        </w:rPr>
        <w:t xml:space="preserve"> spowodowała, że</w:t>
      </w:r>
      <w:r w:rsidR="00871FD7" w:rsidRPr="00563EF2">
        <w:rPr>
          <w:rFonts w:asciiTheme="minorHAnsi" w:hAnsiTheme="minorHAnsi"/>
          <w:sz w:val="22"/>
        </w:rPr>
        <w:t xml:space="preserve"> na terenie</w:t>
      </w:r>
      <w:r w:rsidR="0075212D">
        <w:rPr>
          <w:rFonts w:asciiTheme="minorHAnsi" w:hAnsiTheme="minorHAnsi"/>
          <w:sz w:val="22"/>
        </w:rPr>
        <w:t xml:space="preserve"> jej</w:t>
      </w:r>
      <w:r w:rsidR="00871FD7" w:rsidRPr="00563EF2">
        <w:rPr>
          <w:rFonts w:asciiTheme="minorHAnsi" w:hAnsiTheme="minorHAnsi"/>
          <w:sz w:val="22"/>
        </w:rPr>
        <w:t xml:space="preserve"> obszaru chronionego stężenie zawartości</w:t>
      </w:r>
      <w:r w:rsidR="0075212D">
        <w:rPr>
          <w:rFonts w:asciiTheme="minorHAnsi" w:hAnsiTheme="minorHAnsi"/>
          <w:sz w:val="22"/>
        </w:rPr>
        <w:t xml:space="preserve"> metali ciężkich w glebie, a w szczególności</w:t>
      </w:r>
      <w:r w:rsidR="00871FD7" w:rsidRPr="00563EF2">
        <w:rPr>
          <w:rFonts w:asciiTheme="minorHAnsi" w:hAnsiTheme="minorHAnsi"/>
          <w:sz w:val="22"/>
        </w:rPr>
        <w:t xml:space="preserve"> miedzi znacznie przekracza </w:t>
      </w:r>
      <w:r w:rsidR="00F14A0C" w:rsidRPr="00563EF2">
        <w:rPr>
          <w:rFonts w:asciiTheme="minorHAnsi" w:hAnsiTheme="minorHAnsi"/>
          <w:sz w:val="22"/>
        </w:rPr>
        <w:t>normy</w:t>
      </w:r>
      <w:r w:rsidR="00871FD7" w:rsidRPr="00563EF2">
        <w:rPr>
          <w:rFonts w:asciiTheme="minorHAnsi" w:hAnsiTheme="minorHAnsi"/>
          <w:sz w:val="22"/>
        </w:rPr>
        <w:t xml:space="preserve">. </w:t>
      </w:r>
    </w:p>
    <w:p w:rsidR="0075212D" w:rsidRPr="00563EF2" w:rsidRDefault="0075212D" w:rsidP="00FD7676">
      <w:pPr>
        <w:rPr>
          <w:rFonts w:asciiTheme="minorHAnsi" w:hAnsiTheme="minorHAnsi"/>
          <w:sz w:val="22"/>
        </w:rPr>
      </w:pPr>
    </w:p>
    <w:p w:rsidR="00E63FE8" w:rsidRPr="00563EF2" w:rsidRDefault="00E63FE8" w:rsidP="00FD7676">
      <w:pPr>
        <w:rPr>
          <w:rFonts w:asciiTheme="minorHAnsi" w:hAnsiTheme="minorHAnsi"/>
          <w:sz w:val="22"/>
        </w:rPr>
      </w:pPr>
      <w:r w:rsidRPr="00563EF2">
        <w:rPr>
          <w:rFonts w:asciiTheme="minorHAnsi" w:hAnsiTheme="minorHAnsi"/>
          <w:sz w:val="22"/>
        </w:rPr>
        <w:t xml:space="preserve">Na obszarze byłej strefy ochronnej huty, w miejscach, gdzie nie mieszano gleby ze skałą macierzystą, zawartość miedzi w glebie wyniosła od 180 do 6580 ppm, a ołowiu od 140 do 2200 ppm. W próbie gruntu pobranej z terenu huty stwierdzono olbrzymie stężenia metali ciężkich: ołowiu - 5 185 ppm, miedzi - 26 101 ppm, cynku - 11 200 ppm. </w:t>
      </w:r>
    </w:p>
    <w:p w:rsidR="00E63FE8" w:rsidRPr="00563EF2" w:rsidRDefault="00E63FE8" w:rsidP="00FD7676">
      <w:pPr>
        <w:rPr>
          <w:rFonts w:asciiTheme="minorHAnsi" w:hAnsiTheme="minorHAnsi"/>
          <w:sz w:val="22"/>
        </w:rPr>
      </w:pPr>
    </w:p>
    <w:p w:rsidR="009D36B6" w:rsidRDefault="00E63FE8" w:rsidP="00FD7676">
      <w:pPr>
        <w:rPr>
          <w:rFonts w:asciiTheme="minorHAnsi" w:hAnsiTheme="minorHAnsi"/>
          <w:sz w:val="22"/>
        </w:rPr>
      </w:pPr>
      <w:r w:rsidRPr="00563EF2">
        <w:rPr>
          <w:rFonts w:asciiTheme="minorHAnsi" w:hAnsiTheme="minorHAnsi"/>
          <w:sz w:val="22"/>
        </w:rPr>
        <w:t xml:space="preserve">W publikacji autorstwa A. Karczewskiej i C. Kabały pt. </w:t>
      </w:r>
      <w:r w:rsidRPr="00563EF2">
        <w:rPr>
          <w:rFonts w:asciiTheme="minorHAnsi" w:hAnsiTheme="minorHAnsi"/>
          <w:i/>
          <w:sz w:val="22"/>
        </w:rPr>
        <w:t>Gleby zani</w:t>
      </w:r>
      <w:r w:rsidR="00B73014">
        <w:rPr>
          <w:rFonts w:asciiTheme="minorHAnsi" w:hAnsiTheme="minorHAnsi"/>
          <w:i/>
          <w:sz w:val="22"/>
        </w:rPr>
        <w:t>eczyszczone metalami ciężkimi i </w:t>
      </w:r>
      <w:r w:rsidRPr="00563EF2">
        <w:rPr>
          <w:rFonts w:asciiTheme="minorHAnsi" w:hAnsiTheme="minorHAnsi"/>
          <w:i/>
          <w:sz w:val="22"/>
        </w:rPr>
        <w:t>arsenem na Dolnym Śląsku – Potrzeby i metody rekultywacji z roku 2010</w:t>
      </w:r>
      <w:r w:rsidRPr="00563EF2">
        <w:rPr>
          <w:rFonts w:asciiTheme="minorHAnsi" w:hAnsiTheme="minorHAnsi"/>
          <w:sz w:val="22"/>
        </w:rPr>
        <w:t xml:space="preserve"> podano wyniki badań kontrolnych i monitoringu, przeprowadzonych w rejonie Huty Miedzi Legnica. Wskazano, że zawartości Cu w warstwie 0 – 30 cm na około 20% powierzchni strefy ograniczonego użytkowania, przekraczają wartości określone dla obszarów przemysłowych (C), a standardy jakości gleb i ziem dla obszarów B, tj. użytkowanych leśno bądź rolniczo, spełnione są tylko na obrzeżach dawnej strefy ochronnej, szczególnie w północnej części tej strefy. Podobny obraz podano dla zanieczyszczenia gleb ołowiem. Standardy jakości dla terenów C odnoszą się do warstwy gleby 0 – 2 m ( a nie 0 -30 cm). Średnie koncentracje Cu i Pb w warstwie 0 -2 m tylko w jednym ( z ogólnej liczby 49) punkcie monitoringowym w sąsiedztwie Huty Miedzi Legnica przekraczają wartości standardów dla terenów przemysłowych. </w:t>
      </w:r>
      <w:r w:rsidR="009C2839" w:rsidRPr="00563EF2">
        <w:rPr>
          <w:rStyle w:val="Odwoanieprzypisudolnego"/>
          <w:rFonts w:asciiTheme="minorHAnsi" w:hAnsiTheme="minorHAnsi"/>
          <w:sz w:val="22"/>
        </w:rPr>
        <w:footnoteReference w:id="36"/>
      </w:r>
    </w:p>
    <w:p w:rsidR="00D939C8" w:rsidRDefault="00D939C8" w:rsidP="00FD7676">
      <w:pPr>
        <w:rPr>
          <w:rFonts w:asciiTheme="minorHAnsi" w:hAnsiTheme="minorHAnsi"/>
          <w:sz w:val="22"/>
        </w:rPr>
      </w:pPr>
    </w:p>
    <w:p w:rsidR="0082336E" w:rsidRDefault="009D36B6" w:rsidP="009D36B6">
      <w:pPr>
        <w:rPr>
          <w:rFonts w:asciiTheme="minorHAnsi" w:hAnsiTheme="minorHAnsi"/>
          <w:sz w:val="22"/>
        </w:rPr>
      </w:pPr>
      <w:r w:rsidRPr="00563EF2">
        <w:rPr>
          <w:rFonts w:asciiTheme="minorHAnsi" w:hAnsiTheme="minorHAnsi"/>
          <w:sz w:val="22"/>
        </w:rPr>
        <w:t xml:space="preserve">Na terenach powojskowych, szczególnie na terenie </w:t>
      </w:r>
      <w:r w:rsidR="0082336E">
        <w:rPr>
          <w:rFonts w:asciiTheme="minorHAnsi" w:hAnsiTheme="minorHAnsi"/>
          <w:sz w:val="22"/>
        </w:rPr>
        <w:t xml:space="preserve">byłego </w:t>
      </w:r>
      <w:r w:rsidRPr="00563EF2">
        <w:rPr>
          <w:rFonts w:asciiTheme="minorHAnsi" w:hAnsiTheme="minorHAnsi"/>
          <w:sz w:val="22"/>
        </w:rPr>
        <w:t>lotniska, występuje duże skażenie gleb substancjami ropopochodnymi.</w:t>
      </w:r>
      <w:r w:rsidR="0082336E">
        <w:rPr>
          <w:rFonts w:asciiTheme="minorHAnsi" w:hAnsiTheme="minorHAnsi"/>
          <w:sz w:val="22"/>
        </w:rPr>
        <w:t xml:space="preserve"> Potencjalnym źródłem zanieczyszczeń mogą być również obecnie funkcjonujące stacje paliwowe. </w:t>
      </w:r>
    </w:p>
    <w:p w:rsidR="00D939C8" w:rsidRDefault="00D939C8" w:rsidP="009D36B6">
      <w:pPr>
        <w:rPr>
          <w:rFonts w:asciiTheme="minorHAnsi" w:hAnsiTheme="minorHAnsi"/>
          <w:sz w:val="22"/>
        </w:rPr>
      </w:pPr>
    </w:p>
    <w:p w:rsidR="00D939C8" w:rsidRDefault="00D939C8" w:rsidP="009D36B6">
      <w:pPr>
        <w:rPr>
          <w:rFonts w:asciiTheme="minorHAnsi" w:hAnsiTheme="minorHAnsi"/>
          <w:sz w:val="22"/>
        </w:rPr>
      </w:pPr>
      <w:r>
        <w:rPr>
          <w:rFonts w:asciiTheme="minorHAnsi" w:hAnsiTheme="minorHAnsi"/>
          <w:sz w:val="22"/>
        </w:rPr>
        <w:t xml:space="preserve">Wojewódzki Inspektorat Ochrony Środowiska we Wrocławiu prowadził w latach 2004, 2007 i 2008  badania gleb na obszarach uprzemysłowionych, związanych z oddziaływaniem punktowych źródeł zanieczyszczeń. </w:t>
      </w:r>
      <w:r w:rsidR="00B32615">
        <w:rPr>
          <w:rFonts w:asciiTheme="minorHAnsi" w:hAnsiTheme="minorHAnsi"/>
          <w:sz w:val="22"/>
        </w:rPr>
        <w:t>Celem badań było wskazanie przekroczeń dopuszczalnych wartości w stosunku do Rozporządzenia Ministra Środowiska z dnia 9 września 2002 r. w sprawie standardów jakości gleby oraz standardów jakości ziemi (Dz. U. Nr 165, poz. 1359). Na terenie Legnicy badaniami objęto:</w:t>
      </w:r>
    </w:p>
    <w:p w:rsidR="00B32615" w:rsidRDefault="00B32615" w:rsidP="00E6635A">
      <w:pPr>
        <w:pStyle w:val="Akapitzlist"/>
        <w:numPr>
          <w:ilvl w:val="0"/>
          <w:numId w:val="43"/>
        </w:numPr>
        <w:rPr>
          <w:rFonts w:asciiTheme="minorHAnsi" w:hAnsiTheme="minorHAnsi"/>
          <w:sz w:val="22"/>
        </w:rPr>
      </w:pPr>
      <w:r>
        <w:rPr>
          <w:rFonts w:asciiTheme="minorHAnsi" w:hAnsiTheme="minorHAnsi"/>
          <w:sz w:val="22"/>
        </w:rPr>
        <w:t>WPEC w Legnicy S.A. (2004 r.) – stwierdzono przekroczenie dopuszczalnej zawartości benzo(a)piranu w glebie;</w:t>
      </w:r>
    </w:p>
    <w:p w:rsidR="00B32615" w:rsidRDefault="00B32615" w:rsidP="00E6635A">
      <w:pPr>
        <w:pStyle w:val="Akapitzlist"/>
        <w:numPr>
          <w:ilvl w:val="0"/>
          <w:numId w:val="43"/>
        </w:numPr>
        <w:rPr>
          <w:rFonts w:asciiTheme="minorHAnsi" w:hAnsiTheme="minorHAnsi"/>
          <w:sz w:val="22"/>
        </w:rPr>
      </w:pPr>
      <w:r>
        <w:rPr>
          <w:rFonts w:asciiTheme="minorHAnsi" w:hAnsiTheme="minorHAnsi"/>
          <w:sz w:val="22"/>
        </w:rPr>
        <w:t>Stacja paliw Shell w Legnicy, al. Piłsudskiego 32 (2004 r.) – nie stwierdzono przekroczeń;</w:t>
      </w:r>
    </w:p>
    <w:p w:rsidR="00B32615" w:rsidRDefault="00B32615" w:rsidP="00E6635A">
      <w:pPr>
        <w:pStyle w:val="Akapitzlist"/>
        <w:numPr>
          <w:ilvl w:val="0"/>
          <w:numId w:val="43"/>
        </w:numPr>
        <w:rPr>
          <w:rFonts w:asciiTheme="minorHAnsi" w:hAnsiTheme="minorHAnsi"/>
          <w:sz w:val="22"/>
        </w:rPr>
      </w:pPr>
      <w:r>
        <w:rPr>
          <w:rFonts w:asciiTheme="minorHAnsi" w:hAnsiTheme="minorHAnsi"/>
          <w:sz w:val="22"/>
        </w:rPr>
        <w:t>Baza magazynowa PKN Orlen S.A. przy ul</w:t>
      </w:r>
      <w:r w:rsidR="000838E0">
        <w:rPr>
          <w:rFonts w:asciiTheme="minorHAnsi" w:hAnsiTheme="minorHAnsi"/>
          <w:sz w:val="22"/>
        </w:rPr>
        <w:t>.</w:t>
      </w:r>
      <w:r>
        <w:rPr>
          <w:rFonts w:asciiTheme="minorHAnsi" w:hAnsiTheme="minorHAnsi"/>
          <w:sz w:val="22"/>
        </w:rPr>
        <w:t xml:space="preserve"> Masarskiej 17 (2004 r.) – nie stwierdzono przekroczeń;</w:t>
      </w:r>
    </w:p>
    <w:p w:rsidR="00B32615" w:rsidRDefault="00B32615" w:rsidP="00E6635A">
      <w:pPr>
        <w:pStyle w:val="Akapitzlist"/>
        <w:numPr>
          <w:ilvl w:val="0"/>
          <w:numId w:val="43"/>
        </w:numPr>
        <w:rPr>
          <w:rFonts w:asciiTheme="minorHAnsi" w:hAnsiTheme="minorHAnsi"/>
          <w:sz w:val="22"/>
        </w:rPr>
      </w:pPr>
      <w:r>
        <w:rPr>
          <w:rFonts w:asciiTheme="minorHAnsi" w:hAnsiTheme="minorHAnsi"/>
          <w:sz w:val="22"/>
        </w:rPr>
        <w:t>KGHM „Polska Miedź” S.</w:t>
      </w:r>
      <w:r w:rsidR="000838E0">
        <w:rPr>
          <w:rFonts w:asciiTheme="minorHAnsi" w:hAnsiTheme="minorHAnsi"/>
          <w:sz w:val="22"/>
        </w:rPr>
        <w:t xml:space="preserve">A. Oddział Huta Miedzi Legnica </w:t>
      </w:r>
      <w:r>
        <w:rPr>
          <w:rFonts w:asciiTheme="minorHAnsi" w:hAnsiTheme="minorHAnsi"/>
          <w:sz w:val="22"/>
        </w:rPr>
        <w:t>(2007 r.) – stwierdzono przekroczenie norm dopuszczalnych zawartości: miedzi, ołowiu, kadmu, cynku, arsenu oraz benzo(a)piranu;</w:t>
      </w:r>
    </w:p>
    <w:p w:rsidR="00B32615" w:rsidRPr="00B32615" w:rsidRDefault="00657CDC" w:rsidP="00E6635A">
      <w:pPr>
        <w:pStyle w:val="Akapitzlist"/>
        <w:numPr>
          <w:ilvl w:val="0"/>
          <w:numId w:val="43"/>
        </w:numPr>
        <w:rPr>
          <w:rFonts w:asciiTheme="minorHAnsi" w:hAnsiTheme="minorHAnsi"/>
          <w:sz w:val="22"/>
        </w:rPr>
      </w:pPr>
      <w:r>
        <w:rPr>
          <w:rFonts w:asciiTheme="minorHAnsi" w:hAnsiTheme="minorHAnsi"/>
          <w:sz w:val="22"/>
        </w:rPr>
        <w:t xml:space="preserve">Teren wokół składowiska odpadów komunalnych w Legnicy przy ul. Dobrzejewskiej – </w:t>
      </w:r>
      <w:r w:rsidR="000838E0">
        <w:rPr>
          <w:rFonts w:asciiTheme="minorHAnsi" w:hAnsiTheme="minorHAnsi"/>
          <w:sz w:val="22"/>
        </w:rPr>
        <w:t>wykonane</w:t>
      </w:r>
      <w:r w:rsidR="00194C4C">
        <w:rPr>
          <w:rFonts w:asciiTheme="minorHAnsi" w:hAnsiTheme="minorHAnsi"/>
          <w:sz w:val="22"/>
        </w:rPr>
        <w:t xml:space="preserve"> badanie w 6 punktach pomiarowych: </w:t>
      </w:r>
      <w:r>
        <w:rPr>
          <w:rFonts w:asciiTheme="minorHAnsi" w:hAnsiTheme="minorHAnsi"/>
          <w:sz w:val="22"/>
        </w:rPr>
        <w:t xml:space="preserve">stwierdzono zawartość podwyższoną cynku, ołowiu, miedzi w jednym punkcie </w:t>
      </w:r>
      <w:r w:rsidR="00D83B21">
        <w:rPr>
          <w:rFonts w:asciiTheme="minorHAnsi" w:hAnsiTheme="minorHAnsi"/>
          <w:sz w:val="22"/>
        </w:rPr>
        <w:t>pomiarowym</w:t>
      </w:r>
      <w:r w:rsidR="00194C4C">
        <w:rPr>
          <w:rFonts w:asciiTheme="minorHAnsi" w:hAnsiTheme="minorHAnsi"/>
          <w:sz w:val="22"/>
        </w:rPr>
        <w:t xml:space="preserve"> (na północny-zachód od obiektu), nie stwierdzono przekroczeń kadmu, w czterech punktach odnotowano przekroczenia benzo(a)piranu, w jednym punkcie (na południowy-zachód od obiektu) odnotowano podwyższoną antropogenicznie zawartość siarki siarczanowej (IV stopień)</w:t>
      </w:r>
      <w:r w:rsidR="00194C4C">
        <w:rPr>
          <w:rStyle w:val="Odwoanieprzypisudolnego"/>
          <w:rFonts w:asciiTheme="minorHAnsi" w:hAnsiTheme="minorHAnsi"/>
          <w:sz w:val="22"/>
        </w:rPr>
        <w:footnoteReference w:id="37"/>
      </w:r>
      <w:r w:rsidR="00194C4C">
        <w:rPr>
          <w:rFonts w:asciiTheme="minorHAnsi" w:hAnsiTheme="minorHAnsi"/>
          <w:sz w:val="22"/>
        </w:rPr>
        <w:t>.</w:t>
      </w:r>
    </w:p>
    <w:p w:rsidR="0082336E" w:rsidRDefault="0082336E" w:rsidP="009D36B6">
      <w:pPr>
        <w:rPr>
          <w:rFonts w:asciiTheme="minorHAnsi" w:hAnsiTheme="minorHAnsi"/>
          <w:sz w:val="22"/>
        </w:rPr>
      </w:pPr>
    </w:p>
    <w:p w:rsidR="00812369" w:rsidRDefault="0082336E" w:rsidP="009D36B6">
      <w:pPr>
        <w:rPr>
          <w:rFonts w:asciiTheme="minorHAnsi" w:hAnsiTheme="minorHAnsi"/>
          <w:sz w:val="22"/>
        </w:rPr>
      </w:pPr>
      <w:r>
        <w:rPr>
          <w:rFonts w:asciiTheme="minorHAnsi" w:hAnsiTheme="minorHAnsi"/>
          <w:sz w:val="22"/>
        </w:rPr>
        <w:t>Urząd Miasta w latach</w:t>
      </w:r>
      <w:r w:rsidR="00D83B21">
        <w:rPr>
          <w:rFonts w:asciiTheme="minorHAnsi" w:hAnsiTheme="minorHAnsi"/>
          <w:sz w:val="22"/>
        </w:rPr>
        <w:t xml:space="preserve"> 2008-2012</w:t>
      </w:r>
      <w:r>
        <w:rPr>
          <w:rFonts w:asciiTheme="minorHAnsi" w:hAnsiTheme="minorHAnsi"/>
          <w:sz w:val="22"/>
        </w:rPr>
        <w:t xml:space="preserve"> podejmował działania służące monitoringowi poziomów skażenia gleb oraz/lub ich rekultywacji, m.in. na terenie byłego lotniska JAR, dawnej bazy magazynowej PKN Orlen S.A. przy ul. Masarskiej, stacji paliw MPK przy ul. Domejki,</w:t>
      </w:r>
      <w:r w:rsidR="00D83B21">
        <w:rPr>
          <w:rFonts w:asciiTheme="minorHAnsi" w:hAnsiTheme="minorHAnsi"/>
          <w:sz w:val="22"/>
        </w:rPr>
        <w:t xml:space="preserve"> czy</w:t>
      </w:r>
      <w:r>
        <w:rPr>
          <w:rFonts w:asciiTheme="minorHAnsi" w:hAnsiTheme="minorHAnsi"/>
          <w:sz w:val="22"/>
        </w:rPr>
        <w:t xml:space="preserve"> byłej stacji paliw dla lokomotyw PKP przy ul. Ścinawskiej.</w:t>
      </w:r>
      <w:r w:rsidR="00812369">
        <w:rPr>
          <w:rFonts w:asciiTheme="minorHAnsi" w:hAnsiTheme="minorHAnsi"/>
          <w:sz w:val="22"/>
        </w:rPr>
        <w:br w:type="page"/>
      </w:r>
    </w:p>
    <w:p w:rsidR="0075212D" w:rsidRDefault="009D36B6" w:rsidP="009D36B6">
      <w:pPr>
        <w:pStyle w:val="Nagwek3"/>
      </w:pPr>
      <w:bookmarkStart w:id="58" w:name="_Toc399756344"/>
      <w:r>
        <w:t>Warunki agroklimatyczne</w:t>
      </w:r>
      <w:bookmarkEnd w:id="58"/>
    </w:p>
    <w:p w:rsidR="009D36B6" w:rsidRPr="009D36B6" w:rsidRDefault="009D36B6" w:rsidP="009D36B6"/>
    <w:p w:rsidR="0075212D" w:rsidRPr="00563EF2" w:rsidRDefault="0075212D" w:rsidP="00FD7676">
      <w:pPr>
        <w:rPr>
          <w:rFonts w:asciiTheme="minorHAnsi" w:hAnsiTheme="minorHAnsi"/>
          <w:sz w:val="22"/>
        </w:rPr>
      </w:pPr>
      <w:r w:rsidRPr="00563EF2">
        <w:rPr>
          <w:rFonts w:asciiTheme="minorHAnsi" w:hAnsiTheme="minorHAnsi"/>
          <w:sz w:val="22"/>
        </w:rPr>
        <w:t>Region</w:t>
      </w:r>
      <w:r w:rsidR="000838E0">
        <w:rPr>
          <w:rFonts w:asciiTheme="minorHAnsi" w:hAnsiTheme="minorHAnsi"/>
          <w:sz w:val="22"/>
        </w:rPr>
        <w:t>,</w:t>
      </w:r>
      <w:r w:rsidRPr="00563EF2">
        <w:rPr>
          <w:rFonts w:asciiTheme="minorHAnsi" w:hAnsiTheme="minorHAnsi"/>
          <w:sz w:val="22"/>
        </w:rPr>
        <w:t xml:space="preserve"> w którym leży Legnica charakteryzuje się jednymi z najlepszych jakościowo gleb w Polsce</w:t>
      </w:r>
      <w:r w:rsidR="000838E0">
        <w:rPr>
          <w:rFonts w:asciiTheme="minorHAnsi" w:hAnsiTheme="minorHAnsi"/>
          <w:sz w:val="22"/>
        </w:rPr>
        <w:t>,</w:t>
      </w:r>
      <w:r w:rsidRPr="00563EF2">
        <w:rPr>
          <w:rFonts w:asciiTheme="minorHAnsi" w:hAnsiTheme="minorHAnsi"/>
          <w:sz w:val="22"/>
        </w:rPr>
        <w:t xml:space="preserve"> dlatego tereny rolnicze powiatu legnickiego wskazane są jako obszar chroniony</w:t>
      </w:r>
      <w:r w:rsidR="000838E0">
        <w:rPr>
          <w:rFonts w:asciiTheme="minorHAnsi" w:hAnsiTheme="minorHAnsi"/>
          <w:sz w:val="22"/>
        </w:rPr>
        <w:t>,</w:t>
      </w:r>
      <w:r w:rsidRPr="00563EF2">
        <w:rPr>
          <w:rFonts w:asciiTheme="minorHAnsi" w:hAnsiTheme="minorHAnsi"/>
          <w:sz w:val="22"/>
        </w:rPr>
        <w:t xml:space="preserve"> przeznaczony do intensywnej produkcji rolnej.</w:t>
      </w:r>
    </w:p>
    <w:p w:rsidR="00E63FE8" w:rsidRPr="00563EF2" w:rsidRDefault="00E63FE8" w:rsidP="00FD7676">
      <w:pPr>
        <w:rPr>
          <w:rFonts w:asciiTheme="minorHAnsi" w:hAnsiTheme="minorHAnsi"/>
          <w:sz w:val="22"/>
        </w:rPr>
      </w:pPr>
    </w:p>
    <w:p w:rsidR="00525980" w:rsidRPr="00563EF2" w:rsidRDefault="00525980" w:rsidP="00FD7676">
      <w:pPr>
        <w:pStyle w:val="Legenda"/>
        <w:keepNext/>
        <w:spacing w:line="276" w:lineRule="auto"/>
        <w:rPr>
          <w:rFonts w:asciiTheme="minorHAnsi" w:hAnsiTheme="minorHAnsi"/>
          <w:sz w:val="22"/>
          <w:szCs w:val="22"/>
        </w:rPr>
      </w:pPr>
      <w:r w:rsidRPr="00563EF2">
        <w:rPr>
          <w:rFonts w:asciiTheme="minorHAnsi" w:hAnsiTheme="minorHAnsi"/>
          <w:sz w:val="22"/>
          <w:szCs w:val="22"/>
        </w:rPr>
        <w:t xml:space="preserve">Mapa </w:t>
      </w:r>
      <w:r w:rsidR="00017794" w:rsidRPr="00563EF2">
        <w:rPr>
          <w:rFonts w:asciiTheme="minorHAnsi" w:hAnsiTheme="minorHAnsi"/>
          <w:sz w:val="22"/>
          <w:szCs w:val="22"/>
        </w:rPr>
        <w:fldChar w:fldCharType="begin"/>
      </w:r>
      <w:r w:rsidR="00307DD7" w:rsidRPr="00563EF2">
        <w:rPr>
          <w:rFonts w:asciiTheme="minorHAnsi" w:hAnsiTheme="minorHAnsi"/>
          <w:sz w:val="22"/>
          <w:szCs w:val="22"/>
        </w:rPr>
        <w:instrText xml:space="preserve"> SEQ Mapa \* ARABIC </w:instrText>
      </w:r>
      <w:r w:rsidR="00017794" w:rsidRPr="00563EF2">
        <w:rPr>
          <w:rFonts w:asciiTheme="minorHAnsi" w:hAnsiTheme="minorHAnsi"/>
          <w:sz w:val="22"/>
          <w:szCs w:val="22"/>
        </w:rPr>
        <w:fldChar w:fldCharType="separate"/>
      </w:r>
      <w:r w:rsidR="007B2916">
        <w:rPr>
          <w:rFonts w:asciiTheme="minorHAnsi" w:hAnsiTheme="minorHAnsi"/>
          <w:noProof/>
          <w:sz w:val="22"/>
          <w:szCs w:val="22"/>
        </w:rPr>
        <w:t>10</w:t>
      </w:r>
      <w:r w:rsidR="00017794" w:rsidRPr="00563EF2">
        <w:rPr>
          <w:rFonts w:asciiTheme="minorHAnsi" w:hAnsiTheme="minorHAnsi"/>
          <w:sz w:val="22"/>
          <w:szCs w:val="22"/>
        </w:rPr>
        <w:fldChar w:fldCharType="end"/>
      </w:r>
      <w:r w:rsidRPr="00563EF2">
        <w:rPr>
          <w:rFonts w:asciiTheme="minorHAnsi" w:hAnsiTheme="minorHAnsi"/>
          <w:sz w:val="22"/>
          <w:szCs w:val="22"/>
        </w:rPr>
        <w:t>. Wstępna delimitacja obszarów ochrony gleb dla intensywnej produkcji rolnej.</w:t>
      </w:r>
    </w:p>
    <w:p w:rsidR="00525980" w:rsidRPr="00563EF2" w:rsidRDefault="00525980" w:rsidP="00FD7676">
      <w:pPr>
        <w:rPr>
          <w:rFonts w:asciiTheme="minorHAnsi" w:hAnsiTheme="minorHAnsi"/>
          <w:sz w:val="22"/>
        </w:rPr>
      </w:pPr>
      <w:r w:rsidRPr="00563EF2">
        <w:rPr>
          <w:rFonts w:asciiTheme="minorHAnsi" w:hAnsiTheme="minorHAnsi"/>
          <w:noProof/>
          <w:sz w:val="22"/>
          <w:lang w:eastAsia="pl-PL"/>
        </w:rPr>
        <w:drawing>
          <wp:inline distT="0" distB="0" distL="0" distR="0" wp14:anchorId="49340894" wp14:editId="6C39EB2E">
            <wp:extent cx="5794162" cy="3586348"/>
            <wp:effectExtent l="0" t="0" r="0"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851308" cy="3621719"/>
                    </a:xfrm>
                    <a:prstGeom prst="rect">
                      <a:avLst/>
                    </a:prstGeom>
                    <a:noFill/>
                    <a:ln w="9525">
                      <a:noFill/>
                      <a:miter lim="800000"/>
                      <a:headEnd/>
                      <a:tailEnd/>
                    </a:ln>
                  </pic:spPr>
                </pic:pic>
              </a:graphicData>
            </a:graphic>
          </wp:inline>
        </w:drawing>
      </w:r>
    </w:p>
    <w:p w:rsidR="00525980" w:rsidRPr="00700661" w:rsidRDefault="00525980" w:rsidP="00FD7676">
      <w:pPr>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 xml:space="preserve">Plan Zagospodarowania Przestrzennego Województwa Dolnośląskiego – Perspektywa 2020, </w:t>
      </w:r>
      <w:r w:rsidRPr="00700661">
        <w:rPr>
          <w:rFonts w:asciiTheme="minorHAnsi" w:hAnsiTheme="minorHAnsi"/>
          <w:sz w:val="20"/>
        </w:rPr>
        <w:t>Urząd Marszałkowski Województwa Dolnośląskiego, 2014 r.</w:t>
      </w:r>
    </w:p>
    <w:p w:rsidR="00CE2265" w:rsidRDefault="00CE2265" w:rsidP="00FD7676">
      <w:pPr>
        <w:rPr>
          <w:rFonts w:asciiTheme="minorHAnsi" w:hAnsiTheme="minorHAnsi"/>
          <w:sz w:val="22"/>
        </w:rPr>
      </w:pPr>
    </w:p>
    <w:p w:rsidR="00CE2265" w:rsidRPr="00CE2265" w:rsidRDefault="00CE2265" w:rsidP="00E22A4E">
      <w:pPr>
        <w:rPr>
          <w:rFonts w:asciiTheme="minorHAnsi" w:hAnsiTheme="minorHAnsi"/>
          <w:sz w:val="22"/>
        </w:rPr>
      </w:pPr>
      <w:r w:rsidRPr="00CE2265">
        <w:rPr>
          <w:rFonts w:asciiTheme="minorHAnsi" w:hAnsiTheme="minorHAnsi"/>
          <w:sz w:val="22"/>
        </w:rPr>
        <w:t>Grunty</w:t>
      </w:r>
      <w:r w:rsidR="00BB20CB">
        <w:rPr>
          <w:rFonts w:asciiTheme="minorHAnsi" w:hAnsiTheme="minorHAnsi"/>
          <w:sz w:val="22"/>
        </w:rPr>
        <w:t xml:space="preserve"> </w:t>
      </w:r>
      <w:r w:rsidR="00E22A4E">
        <w:rPr>
          <w:rFonts w:asciiTheme="minorHAnsi" w:hAnsiTheme="minorHAnsi"/>
          <w:sz w:val="22"/>
        </w:rPr>
        <w:t>chronione</w:t>
      </w:r>
      <w:r w:rsidR="00BB20CB">
        <w:rPr>
          <w:rFonts w:asciiTheme="minorHAnsi" w:hAnsiTheme="minorHAnsi"/>
          <w:sz w:val="22"/>
        </w:rPr>
        <w:t xml:space="preserve"> </w:t>
      </w:r>
      <w:r w:rsidR="00E22A4E">
        <w:rPr>
          <w:rFonts w:asciiTheme="minorHAnsi" w:hAnsiTheme="minorHAnsi"/>
          <w:sz w:val="22"/>
        </w:rPr>
        <w:t>(</w:t>
      </w:r>
      <w:r w:rsidR="000838E0">
        <w:rPr>
          <w:rFonts w:asciiTheme="minorHAnsi" w:hAnsiTheme="minorHAnsi"/>
          <w:sz w:val="22"/>
        </w:rPr>
        <w:t>grunty rolne klas I</w:t>
      </w:r>
      <w:r w:rsidR="00BB20CB">
        <w:rPr>
          <w:rFonts w:asciiTheme="minorHAnsi" w:hAnsiTheme="minorHAnsi"/>
          <w:sz w:val="22"/>
        </w:rPr>
        <w:t>-IV oraz grunty leśne</w:t>
      </w:r>
      <w:r w:rsidRPr="00CE2265">
        <w:rPr>
          <w:rFonts w:asciiTheme="minorHAnsi" w:hAnsiTheme="minorHAnsi"/>
          <w:sz w:val="22"/>
        </w:rPr>
        <w:t>)</w:t>
      </w:r>
      <w:r w:rsidR="00BB20CB">
        <w:rPr>
          <w:rFonts w:asciiTheme="minorHAnsi" w:hAnsiTheme="minorHAnsi"/>
          <w:sz w:val="22"/>
        </w:rPr>
        <w:t xml:space="preserve"> </w:t>
      </w:r>
      <w:r w:rsidRPr="00CE2265">
        <w:rPr>
          <w:rFonts w:asciiTheme="minorHAnsi" w:hAnsiTheme="minorHAnsi"/>
          <w:sz w:val="22"/>
        </w:rPr>
        <w:t>zajmują</w:t>
      </w:r>
      <w:r w:rsidR="00BB20CB">
        <w:rPr>
          <w:rFonts w:asciiTheme="minorHAnsi" w:hAnsiTheme="minorHAnsi"/>
          <w:sz w:val="22"/>
        </w:rPr>
        <w:t xml:space="preserve"> </w:t>
      </w:r>
      <w:r w:rsidRPr="00CE2265">
        <w:rPr>
          <w:rFonts w:asciiTheme="minorHAnsi" w:hAnsiTheme="minorHAnsi"/>
          <w:sz w:val="22"/>
        </w:rPr>
        <w:t>35%</w:t>
      </w:r>
      <w:r w:rsidR="00BB20CB">
        <w:rPr>
          <w:rFonts w:asciiTheme="minorHAnsi" w:hAnsiTheme="minorHAnsi"/>
          <w:sz w:val="22"/>
        </w:rPr>
        <w:t xml:space="preserve"> </w:t>
      </w:r>
      <w:r w:rsidRPr="00CE2265">
        <w:rPr>
          <w:rFonts w:asciiTheme="minorHAnsi" w:hAnsiTheme="minorHAnsi"/>
          <w:sz w:val="22"/>
        </w:rPr>
        <w:t>powierzchni</w:t>
      </w:r>
      <w:r w:rsidR="00BB20CB">
        <w:rPr>
          <w:rFonts w:asciiTheme="minorHAnsi" w:hAnsiTheme="minorHAnsi"/>
          <w:sz w:val="22"/>
        </w:rPr>
        <w:t xml:space="preserve"> miasta, </w:t>
      </w:r>
      <w:r w:rsidRPr="00CE2265">
        <w:rPr>
          <w:rFonts w:asciiTheme="minorHAnsi" w:hAnsiTheme="minorHAnsi"/>
          <w:sz w:val="22"/>
        </w:rPr>
        <w:t>stanowią</w:t>
      </w:r>
      <w:r w:rsidR="00743A5B">
        <w:rPr>
          <w:rFonts w:asciiTheme="minorHAnsi" w:hAnsiTheme="minorHAnsi"/>
          <w:sz w:val="22"/>
        </w:rPr>
        <w:t xml:space="preserve"> </w:t>
      </w:r>
      <w:r w:rsidRPr="00CE2265">
        <w:rPr>
          <w:rFonts w:asciiTheme="minorHAnsi" w:hAnsiTheme="minorHAnsi"/>
          <w:sz w:val="22"/>
        </w:rPr>
        <w:t>je:</w:t>
      </w:r>
      <w:r w:rsidR="00743A5B">
        <w:rPr>
          <w:rFonts w:asciiTheme="minorHAnsi" w:hAnsiTheme="minorHAnsi"/>
          <w:sz w:val="22"/>
        </w:rPr>
        <w:t xml:space="preserve"> </w:t>
      </w:r>
      <w:r w:rsidRPr="00CE2265">
        <w:rPr>
          <w:rFonts w:asciiTheme="minorHAnsi" w:hAnsiTheme="minorHAnsi"/>
          <w:sz w:val="22"/>
        </w:rPr>
        <w:t>9,7</w:t>
      </w:r>
      <w:r w:rsidR="00743A5B">
        <w:rPr>
          <w:rFonts w:asciiTheme="minorHAnsi" w:hAnsiTheme="minorHAnsi"/>
          <w:sz w:val="22"/>
        </w:rPr>
        <w:t xml:space="preserve"> </w:t>
      </w:r>
      <w:r w:rsidRPr="00CE2265">
        <w:rPr>
          <w:rFonts w:asciiTheme="minorHAnsi" w:hAnsiTheme="minorHAnsi"/>
          <w:sz w:val="22"/>
        </w:rPr>
        <w:t>ha</w:t>
      </w:r>
      <w:r w:rsidR="00743A5B">
        <w:rPr>
          <w:rFonts w:asciiTheme="minorHAnsi" w:hAnsiTheme="minorHAnsi"/>
          <w:sz w:val="22"/>
        </w:rPr>
        <w:t xml:space="preserve"> </w:t>
      </w:r>
      <w:r w:rsidRPr="00CE2265">
        <w:rPr>
          <w:rFonts w:asciiTheme="minorHAnsi" w:hAnsiTheme="minorHAnsi"/>
          <w:sz w:val="22"/>
        </w:rPr>
        <w:t>gruntów</w:t>
      </w:r>
      <w:r w:rsidR="00743A5B">
        <w:rPr>
          <w:rFonts w:asciiTheme="minorHAnsi" w:hAnsiTheme="minorHAnsi"/>
          <w:sz w:val="22"/>
        </w:rPr>
        <w:t xml:space="preserve"> </w:t>
      </w:r>
      <w:r w:rsidRPr="00CE2265">
        <w:rPr>
          <w:rFonts w:asciiTheme="minorHAnsi" w:hAnsiTheme="minorHAnsi"/>
          <w:sz w:val="22"/>
        </w:rPr>
        <w:t>klasy</w:t>
      </w:r>
      <w:r w:rsidR="00743A5B">
        <w:rPr>
          <w:rFonts w:asciiTheme="minorHAnsi" w:hAnsiTheme="minorHAnsi"/>
          <w:sz w:val="22"/>
        </w:rPr>
        <w:t xml:space="preserve"> </w:t>
      </w:r>
      <w:r w:rsidRPr="00CE2265">
        <w:rPr>
          <w:rFonts w:asciiTheme="minorHAnsi" w:hAnsiTheme="minorHAnsi"/>
          <w:sz w:val="22"/>
        </w:rPr>
        <w:t>I</w:t>
      </w:r>
      <w:r w:rsidR="00743A5B">
        <w:rPr>
          <w:rFonts w:asciiTheme="minorHAnsi" w:hAnsiTheme="minorHAnsi"/>
          <w:sz w:val="22"/>
        </w:rPr>
        <w:t xml:space="preserve"> </w:t>
      </w:r>
      <w:r w:rsidRPr="00CE2265">
        <w:rPr>
          <w:rFonts w:asciiTheme="minorHAnsi" w:hAnsiTheme="minorHAnsi"/>
          <w:sz w:val="22"/>
        </w:rPr>
        <w:t>,306</w:t>
      </w:r>
      <w:r w:rsidR="00743A5B">
        <w:rPr>
          <w:rFonts w:asciiTheme="minorHAnsi" w:hAnsiTheme="minorHAnsi"/>
          <w:sz w:val="22"/>
        </w:rPr>
        <w:t xml:space="preserve"> </w:t>
      </w:r>
      <w:r w:rsidRPr="00CE2265">
        <w:rPr>
          <w:rFonts w:asciiTheme="minorHAnsi" w:hAnsiTheme="minorHAnsi"/>
          <w:sz w:val="22"/>
        </w:rPr>
        <w:t>ha</w:t>
      </w:r>
      <w:r w:rsidR="00743A5B">
        <w:rPr>
          <w:rFonts w:asciiTheme="minorHAnsi" w:hAnsiTheme="minorHAnsi"/>
          <w:sz w:val="22"/>
        </w:rPr>
        <w:t xml:space="preserve"> </w:t>
      </w:r>
      <w:r w:rsidRPr="00CE2265">
        <w:rPr>
          <w:rFonts w:asciiTheme="minorHAnsi" w:hAnsiTheme="minorHAnsi"/>
          <w:sz w:val="22"/>
        </w:rPr>
        <w:t>gruntów</w:t>
      </w:r>
      <w:r w:rsidR="00743A5B">
        <w:rPr>
          <w:rFonts w:asciiTheme="minorHAnsi" w:hAnsiTheme="minorHAnsi"/>
          <w:sz w:val="22"/>
        </w:rPr>
        <w:t xml:space="preserve"> </w:t>
      </w:r>
      <w:r w:rsidRPr="00CE2265">
        <w:rPr>
          <w:rFonts w:asciiTheme="minorHAnsi" w:hAnsiTheme="minorHAnsi"/>
          <w:sz w:val="22"/>
        </w:rPr>
        <w:t>klasy</w:t>
      </w:r>
      <w:r w:rsidR="00743A5B">
        <w:rPr>
          <w:rFonts w:asciiTheme="minorHAnsi" w:hAnsiTheme="minorHAnsi"/>
          <w:sz w:val="22"/>
        </w:rPr>
        <w:t xml:space="preserve"> </w:t>
      </w:r>
      <w:r w:rsidRPr="00CE2265">
        <w:rPr>
          <w:rFonts w:asciiTheme="minorHAnsi" w:hAnsiTheme="minorHAnsi"/>
          <w:sz w:val="22"/>
        </w:rPr>
        <w:t>II,</w:t>
      </w:r>
      <w:r w:rsidR="00743A5B">
        <w:rPr>
          <w:rFonts w:asciiTheme="minorHAnsi" w:hAnsiTheme="minorHAnsi"/>
          <w:sz w:val="22"/>
        </w:rPr>
        <w:t xml:space="preserve"> </w:t>
      </w:r>
      <w:r w:rsidRPr="00CE2265">
        <w:rPr>
          <w:rFonts w:asciiTheme="minorHAnsi" w:hAnsiTheme="minorHAnsi"/>
          <w:sz w:val="22"/>
        </w:rPr>
        <w:t>878</w:t>
      </w:r>
      <w:r w:rsidR="00743A5B">
        <w:rPr>
          <w:rFonts w:asciiTheme="minorHAnsi" w:hAnsiTheme="minorHAnsi"/>
          <w:sz w:val="22"/>
        </w:rPr>
        <w:t xml:space="preserve"> </w:t>
      </w:r>
      <w:r w:rsidRPr="00CE2265">
        <w:rPr>
          <w:rFonts w:asciiTheme="minorHAnsi" w:hAnsiTheme="minorHAnsi"/>
          <w:sz w:val="22"/>
        </w:rPr>
        <w:t>ha</w:t>
      </w:r>
      <w:r w:rsidR="00743A5B">
        <w:rPr>
          <w:rFonts w:asciiTheme="minorHAnsi" w:hAnsiTheme="minorHAnsi"/>
          <w:sz w:val="22"/>
        </w:rPr>
        <w:t xml:space="preserve"> </w:t>
      </w:r>
      <w:r w:rsidRPr="00CE2265">
        <w:rPr>
          <w:rFonts w:asciiTheme="minorHAnsi" w:hAnsiTheme="minorHAnsi"/>
          <w:sz w:val="22"/>
        </w:rPr>
        <w:t>gruntów</w:t>
      </w:r>
      <w:r w:rsidR="00743A5B">
        <w:rPr>
          <w:rFonts w:asciiTheme="minorHAnsi" w:hAnsiTheme="minorHAnsi"/>
          <w:sz w:val="22"/>
        </w:rPr>
        <w:t xml:space="preserve"> </w:t>
      </w:r>
      <w:r w:rsidRPr="00CE2265">
        <w:rPr>
          <w:rFonts w:asciiTheme="minorHAnsi" w:hAnsiTheme="minorHAnsi"/>
          <w:sz w:val="22"/>
        </w:rPr>
        <w:t>klasy</w:t>
      </w:r>
      <w:r w:rsidR="00743A5B">
        <w:rPr>
          <w:rFonts w:asciiTheme="minorHAnsi" w:hAnsiTheme="minorHAnsi"/>
          <w:sz w:val="22"/>
        </w:rPr>
        <w:t xml:space="preserve"> </w:t>
      </w:r>
      <w:r w:rsidRPr="00CE2265">
        <w:rPr>
          <w:rFonts w:asciiTheme="minorHAnsi" w:hAnsiTheme="minorHAnsi"/>
          <w:sz w:val="22"/>
        </w:rPr>
        <w:t>III</w:t>
      </w:r>
      <w:r w:rsidR="00E22A4E">
        <w:rPr>
          <w:rFonts w:asciiTheme="minorHAnsi" w:hAnsiTheme="minorHAnsi"/>
          <w:sz w:val="22"/>
        </w:rPr>
        <w:t xml:space="preserve"> </w:t>
      </w:r>
      <w:r w:rsidRPr="00CE2265">
        <w:rPr>
          <w:rFonts w:asciiTheme="minorHAnsi" w:hAnsiTheme="minorHAnsi"/>
          <w:sz w:val="22"/>
        </w:rPr>
        <w:t xml:space="preserve">oraz 783 </w:t>
      </w:r>
      <w:r w:rsidR="00E22A4E">
        <w:rPr>
          <w:rFonts w:asciiTheme="minorHAnsi" w:hAnsiTheme="minorHAnsi"/>
          <w:sz w:val="22"/>
        </w:rPr>
        <w:t>ha gruntów klasy IV, a takż</w:t>
      </w:r>
      <w:r w:rsidRPr="00CE2265">
        <w:rPr>
          <w:rFonts w:asciiTheme="minorHAnsi" w:hAnsiTheme="minorHAnsi"/>
          <w:sz w:val="22"/>
        </w:rPr>
        <w:t>e 222ha gruntów leśnych. Gleby klasy I obejmują</w:t>
      </w:r>
      <w:r w:rsidR="00E22A4E">
        <w:rPr>
          <w:rFonts w:asciiTheme="minorHAnsi" w:hAnsiTheme="minorHAnsi"/>
          <w:sz w:val="22"/>
        </w:rPr>
        <w:t xml:space="preserve"> </w:t>
      </w:r>
      <w:r w:rsidRPr="00CE2265">
        <w:rPr>
          <w:rFonts w:asciiTheme="minorHAnsi" w:hAnsiTheme="minorHAnsi"/>
          <w:sz w:val="22"/>
        </w:rPr>
        <w:t>niewielkie fragmenty w południowej części miasta, gleby</w:t>
      </w:r>
      <w:r w:rsidR="00E22A4E">
        <w:rPr>
          <w:rFonts w:asciiTheme="minorHAnsi" w:hAnsiTheme="minorHAnsi"/>
          <w:sz w:val="22"/>
        </w:rPr>
        <w:t xml:space="preserve"> klasy II występują głównie </w:t>
      </w:r>
      <w:r w:rsidRPr="00CE2265">
        <w:rPr>
          <w:rFonts w:asciiTheme="minorHAnsi" w:hAnsiTheme="minorHAnsi"/>
          <w:sz w:val="22"/>
        </w:rPr>
        <w:t>na</w:t>
      </w:r>
      <w:r w:rsidR="00BB20CB">
        <w:rPr>
          <w:rFonts w:asciiTheme="minorHAnsi" w:hAnsiTheme="minorHAnsi"/>
          <w:sz w:val="22"/>
        </w:rPr>
        <w:t xml:space="preserve"> </w:t>
      </w:r>
      <w:r w:rsidRPr="00CE2265">
        <w:rPr>
          <w:rFonts w:asciiTheme="minorHAnsi" w:hAnsiTheme="minorHAnsi"/>
          <w:sz w:val="22"/>
        </w:rPr>
        <w:t>madach Kaczawy i Czarnej Wody w południowej i środk</w:t>
      </w:r>
      <w:r w:rsidR="00E22A4E">
        <w:rPr>
          <w:rFonts w:asciiTheme="minorHAnsi" w:hAnsiTheme="minorHAnsi"/>
          <w:sz w:val="22"/>
        </w:rPr>
        <w:t xml:space="preserve">owej części miasta, gleby </w:t>
      </w:r>
      <w:r w:rsidRPr="00CE2265">
        <w:rPr>
          <w:rFonts w:asciiTheme="minorHAnsi" w:hAnsiTheme="minorHAnsi"/>
          <w:sz w:val="22"/>
        </w:rPr>
        <w:t>kl</w:t>
      </w:r>
      <w:r w:rsidR="00E96088">
        <w:rPr>
          <w:rFonts w:asciiTheme="minorHAnsi" w:hAnsiTheme="minorHAnsi"/>
          <w:sz w:val="22"/>
        </w:rPr>
        <w:t>asy III</w:t>
      </w:r>
      <w:r w:rsidR="00BB20CB">
        <w:rPr>
          <w:rFonts w:asciiTheme="minorHAnsi" w:hAnsiTheme="minorHAnsi"/>
          <w:sz w:val="22"/>
        </w:rPr>
        <w:t xml:space="preserve"> </w:t>
      </w:r>
      <w:r w:rsidR="00E96088">
        <w:rPr>
          <w:rFonts w:asciiTheme="minorHAnsi" w:hAnsiTheme="minorHAnsi"/>
          <w:sz w:val="22"/>
        </w:rPr>
        <w:t>spotykane są powszechnie, zaś gleby klasy IV skupiają się głównie w części północnej, w</w:t>
      </w:r>
      <w:r w:rsidR="00BB20CB">
        <w:rPr>
          <w:rFonts w:asciiTheme="minorHAnsi" w:hAnsiTheme="minorHAnsi"/>
          <w:sz w:val="22"/>
        </w:rPr>
        <w:t>schodniej i południowowschodniej</w:t>
      </w:r>
      <w:r w:rsidR="00E96088">
        <w:rPr>
          <w:rFonts w:asciiTheme="minorHAnsi" w:hAnsiTheme="minorHAnsi"/>
          <w:sz w:val="22"/>
        </w:rPr>
        <w:t>, przy czym większe kompleksy tworzą w zasadzie jedynie grunty klasy IV.</w:t>
      </w:r>
      <w:r w:rsidRPr="00CE2265">
        <w:rPr>
          <w:rFonts w:asciiTheme="minorHAnsi" w:hAnsiTheme="minorHAnsi"/>
          <w:sz w:val="22"/>
        </w:rPr>
        <w:t xml:space="preserve"> </w:t>
      </w:r>
    </w:p>
    <w:p w:rsidR="00F435C9" w:rsidRDefault="00F435C9" w:rsidP="00FD7676">
      <w:pPr>
        <w:rPr>
          <w:rFonts w:asciiTheme="minorHAnsi" w:hAnsiTheme="minorHAnsi"/>
          <w:sz w:val="22"/>
        </w:rPr>
      </w:pPr>
    </w:p>
    <w:p w:rsidR="00E63FE8" w:rsidRDefault="00F435C9" w:rsidP="00FD7676">
      <w:pPr>
        <w:rPr>
          <w:rFonts w:asciiTheme="minorHAnsi" w:hAnsiTheme="minorHAnsi"/>
          <w:sz w:val="22"/>
        </w:rPr>
      </w:pPr>
      <w:r>
        <w:rPr>
          <w:rFonts w:asciiTheme="minorHAnsi" w:hAnsiTheme="minorHAnsi"/>
          <w:sz w:val="22"/>
        </w:rPr>
        <w:t>Tereny użytkowane rolniczo stanowią 39,35% pow. Legnicy (</w:t>
      </w:r>
      <w:r w:rsidR="00BC5345">
        <w:rPr>
          <w:rFonts w:asciiTheme="minorHAnsi" w:hAnsiTheme="minorHAnsi"/>
          <w:sz w:val="22"/>
        </w:rPr>
        <w:t>2 215 ha w 2012 r.)</w:t>
      </w:r>
      <w:r w:rsidR="00E22A4E">
        <w:rPr>
          <w:rFonts w:asciiTheme="minorHAnsi" w:hAnsiTheme="minorHAnsi"/>
          <w:sz w:val="22"/>
        </w:rPr>
        <w:t>. Po</w:t>
      </w:r>
      <w:r>
        <w:rPr>
          <w:rFonts w:asciiTheme="minorHAnsi" w:hAnsiTheme="minorHAnsi"/>
          <w:sz w:val="22"/>
        </w:rPr>
        <w:t>wierzchnia</w:t>
      </w:r>
      <w:r w:rsidR="00E22A4E">
        <w:rPr>
          <w:rFonts w:asciiTheme="minorHAnsi" w:hAnsiTheme="minorHAnsi"/>
          <w:sz w:val="22"/>
        </w:rPr>
        <w:t xml:space="preserve"> użytków rolnych systematycznie maleje,</w:t>
      </w:r>
      <w:r>
        <w:rPr>
          <w:rFonts w:asciiTheme="minorHAnsi" w:hAnsiTheme="minorHAnsi"/>
          <w:sz w:val="22"/>
        </w:rPr>
        <w:t xml:space="preserve"> </w:t>
      </w:r>
      <w:r w:rsidR="00E22A4E">
        <w:rPr>
          <w:rFonts w:asciiTheme="minorHAnsi" w:hAnsiTheme="minorHAnsi"/>
          <w:sz w:val="22"/>
        </w:rPr>
        <w:t>p</w:t>
      </w:r>
      <w:r>
        <w:rPr>
          <w:rFonts w:asciiTheme="minorHAnsi" w:hAnsiTheme="minorHAnsi"/>
          <w:sz w:val="22"/>
        </w:rPr>
        <w:t>omiędzy 2010, a 2012 rokiem zmalała o 27 ha, tj. o</w:t>
      </w:r>
      <w:r w:rsidR="00BC5345">
        <w:rPr>
          <w:rFonts w:asciiTheme="minorHAnsi" w:hAnsiTheme="minorHAnsi"/>
          <w:sz w:val="22"/>
        </w:rPr>
        <w:t xml:space="preserve"> 1,2%. N</w:t>
      </w:r>
      <w:r>
        <w:rPr>
          <w:rFonts w:asciiTheme="minorHAnsi" w:hAnsiTheme="minorHAnsi"/>
          <w:sz w:val="22"/>
        </w:rPr>
        <w:t>ajliczniejszą grupę</w:t>
      </w:r>
      <w:r w:rsidR="00BC5345">
        <w:rPr>
          <w:rFonts w:asciiTheme="minorHAnsi" w:hAnsiTheme="minorHAnsi"/>
          <w:sz w:val="22"/>
        </w:rPr>
        <w:t xml:space="preserve"> użytków rolnych</w:t>
      </w:r>
      <w:r>
        <w:rPr>
          <w:rFonts w:asciiTheme="minorHAnsi" w:hAnsiTheme="minorHAnsi"/>
          <w:sz w:val="22"/>
        </w:rPr>
        <w:t xml:space="preserve"> stanowią grunty orne – 75,21% oraz łąki 13,5%.</w:t>
      </w:r>
    </w:p>
    <w:p w:rsidR="00812369" w:rsidRDefault="00812369" w:rsidP="00FD7676">
      <w:pPr>
        <w:rPr>
          <w:rFonts w:asciiTheme="minorHAnsi" w:hAnsiTheme="minorHAnsi"/>
          <w:sz w:val="22"/>
        </w:rPr>
      </w:pPr>
      <w:r>
        <w:rPr>
          <w:rFonts w:asciiTheme="minorHAnsi" w:hAnsiTheme="minorHAnsi"/>
          <w:sz w:val="22"/>
        </w:rPr>
        <w:br w:type="page"/>
      </w:r>
    </w:p>
    <w:p w:rsidR="0083485D" w:rsidRDefault="0083485D" w:rsidP="00FD7676">
      <w:pPr>
        <w:pStyle w:val="Legenda"/>
        <w:keepNext/>
        <w:spacing w:line="276" w:lineRule="auto"/>
        <w:rPr>
          <w:rFonts w:asciiTheme="minorHAnsi" w:hAnsiTheme="minorHAnsi"/>
          <w:sz w:val="22"/>
          <w:szCs w:val="22"/>
        </w:rPr>
      </w:pPr>
    </w:p>
    <w:p w:rsidR="00E63FE8" w:rsidRDefault="00E63FE8" w:rsidP="00FD7676">
      <w:pPr>
        <w:pStyle w:val="Legenda"/>
        <w:keepNext/>
        <w:spacing w:line="276" w:lineRule="auto"/>
        <w:rPr>
          <w:rFonts w:asciiTheme="minorHAnsi" w:hAnsiTheme="minorHAnsi"/>
          <w:sz w:val="22"/>
          <w:szCs w:val="22"/>
        </w:rPr>
      </w:pPr>
      <w:r w:rsidRPr="00563EF2">
        <w:rPr>
          <w:rFonts w:asciiTheme="minorHAnsi" w:hAnsiTheme="minorHAnsi"/>
          <w:sz w:val="22"/>
          <w:szCs w:val="22"/>
        </w:rPr>
        <w:t xml:space="preserve">Tabela </w:t>
      </w:r>
      <w:r w:rsidR="00017794" w:rsidRPr="00563EF2">
        <w:rPr>
          <w:rFonts w:asciiTheme="minorHAnsi" w:hAnsiTheme="minorHAnsi"/>
          <w:sz w:val="22"/>
          <w:szCs w:val="22"/>
        </w:rPr>
        <w:fldChar w:fldCharType="begin"/>
      </w:r>
      <w:r w:rsidRPr="00563EF2">
        <w:rPr>
          <w:rFonts w:asciiTheme="minorHAnsi" w:hAnsiTheme="minorHAnsi"/>
          <w:sz w:val="22"/>
          <w:szCs w:val="22"/>
        </w:rPr>
        <w:instrText xml:space="preserve"> SEQ Tabela \* ARABIC </w:instrText>
      </w:r>
      <w:r w:rsidR="00017794" w:rsidRPr="00563EF2">
        <w:rPr>
          <w:rFonts w:asciiTheme="minorHAnsi" w:hAnsiTheme="minorHAnsi"/>
          <w:sz w:val="22"/>
          <w:szCs w:val="22"/>
        </w:rPr>
        <w:fldChar w:fldCharType="separate"/>
      </w:r>
      <w:r w:rsidR="007B2916">
        <w:rPr>
          <w:rFonts w:asciiTheme="minorHAnsi" w:hAnsiTheme="minorHAnsi"/>
          <w:noProof/>
          <w:sz w:val="22"/>
          <w:szCs w:val="22"/>
        </w:rPr>
        <w:t>41</w:t>
      </w:r>
      <w:r w:rsidR="00017794" w:rsidRPr="00563EF2">
        <w:rPr>
          <w:rFonts w:asciiTheme="minorHAnsi" w:hAnsiTheme="minorHAnsi"/>
          <w:sz w:val="22"/>
          <w:szCs w:val="22"/>
        </w:rPr>
        <w:fldChar w:fldCharType="end"/>
      </w:r>
      <w:r w:rsidRPr="00563EF2">
        <w:rPr>
          <w:rFonts w:asciiTheme="minorHAnsi" w:hAnsiTheme="minorHAnsi"/>
          <w:sz w:val="22"/>
          <w:szCs w:val="22"/>
        </w:rPr>
        <w:t>.</w:t>
      </w:r>
      <w:r w:rsidR="00AC5926">
        <w:rPr>
          <w:rFonts w:asciiTheme="minorHAnsi" w:hAnsiTheme="minorHAnsi"/>
          <w:sz w:val="22"/>
          <w:szCs w:val="22"/>
        </w:rPr>
        <w:t>Struktura gruntów o charakterze rolniczym</w:t>
      </w:r>
      <w:r w:rsidR="000838E0">
        <w:rPr>
          <w:rFonts w:asciiTheme="minorHAnsi" w:hAnsiTheme="minorHAnsi"/>
          <w:sz w:val="22"/>
          <w:szCs w:val="22"/>
        </w:rPr>
        <w:t>.</w:t>
      </w:r>
    </w:p>
    <w:tbl>
      <w:tblPr>
        <w:tblStyle w:val="Jasnasiatkaakcent11"/>
        <w:tblW w:w="6583" w:type="dxa"/>
        <w:tblLook w:val="04A0" w:firstRow="1" w:lastRow="0" w:firstColumn="1" w:lastColumn="0" w:noHBand="0" w:noVBand="1"/>
      </w:tblPr>
      <w:tblGrid>
        <w:gridCol w:w="2367"/>
        <w:gridCol w:w="987"/>
        <w:gridCol w:w="987"/>
        <w:gridCol w:w="987"/>
        <w:gridCol w:w="1255"/>
      </w:tblGrid>
      <w:tr w:rsidR="00AC5926" w:rsidRPr="00AC5926" w:rsidTr="00700661">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 </w:t>
            </w:r>
            <w:r w:rsidR="00BC5345">
              <w:rPr>
                <w:rFonts w:ascii="Arial" w:eastAsia="Times New Roman" w:hAnsi="Arial" w:cs="Arial"/>
                <w:sz w:val="20"/>
                <w:szCs w:val="20"/>
                <w:lang w:eastAsia="pl-PL"/>
              </w:rPr>
              <w:t>Rok</w:t>
            </w:r>
          </w:p>
        </w:tc>
        <w:tc>
          <w:tcPr>
            <w:tcW w:w="987" w:type="dxa"/>
            <w:noWrap/>
            <w:hideMark/>
          </w:tcPr>
          <w:p w:rsidR="00AC5926" w:rsidRPr="00AC5926" w:rsidRDefault="00AC5926" w:rsidP="00AC5926">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2008</w:t>
            </w:r>
          </w:p>
        </w:tc>
        <w:tc>
          <w:tcPr>
            <w:tcW w:w="987" w:type="dxa"/>
            <w:noWrap/>
            <w:hideMark/>
          </w:tcPr>
          <w:p w:rsidR="00AC5926" w:rsidRPr="00AC5926" w:rsidRDefault="00AC5926" w:rsidP="00AC5926">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2010</w:t>
            </w:r>
          </w:p>
        </w:tc>
        <w:tc>
          <w:tcPr>
            <w:tcW w:w="987" w:type="dxa"/>
            <w:noWrap/>
            <w:hideMark/>
          </w:tcPr>
          <w:p w:rsidR="00AC5926" w:rsidRPr="00AC5926" w:rsidRDefault="00AC5926" w:rsidP="00AC5926">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2012</w:t>
            </w:r>
          </w:p>
        </w:tc>
        <w:tc>
          <w:tcPr>
            <w:tcW w:w="1255" w:type="dxa"/>
            <w:noWrap/>
            <w:hideMark/>
          </w:tcPr>
          <w:p w:rsidR="00AC5926" w:rsidRPr="00AC5926" w:rsidRDefault="00AC5926" w:rsidP="00AC5926">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2012</w:t>
            </w:r>
          </w:p>
        </w:tc>
      </w:tr>
      <w:tr w:rsidR="00AC5926" w:rsidRPr="00AC5926" w:rsidTr="0070066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Grunty orne</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1683</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1679</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1666</w:t>
            </w:r>
          </w:p>
        </w:tc>
        <w:tc>
          <w:tcPr>
            <w:tcW w:w="1255"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75,21%</w:t>
            </w:r>
          </w:p>
        </w:tc>
      </w:tr>
      <w:tr w:rsidR="00AC5926" w:rsidRPr="00AC5926" w:rsidTr="00700661">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Sady</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15</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14</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14</w:t>
            </w:r>
          </w:p>
        </w:tc>
        <w:tc>
          <w:tcPr>
            <w:tcW w:w="1255"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0,63%</w:t>
            </w:r>
          </w:p>
        </w:tc>
      </w:tr>
      <w:tr w:rsidR="00AC5926" w:rsidRPr="00AC5926" w:rsidTr="0070066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Łąki</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306</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308</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299</w:t>
            </w:r>
          </w:p>
        </w:tc>
        <w:tc>
          <w:tcPr>
            <w:tcW w:w="1255"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13,50%</w:t>
            </w:r>
          </w:p>
        </w:tc>
      </w:tr>
      <w:tr w:rsidR="00AC5926" w:rsidRPr="00AC5926" w:rsidTr="00700661">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Pastwiska</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149</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149</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146</w:t>
            </w:r>
          </w:p>
        </w:tc>
        <w:tc>
          <w:tcPr>
            <w:tcW w:w="1255"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6,59%</w:t>
            </w:r>
          </w:p>
        </w:tc>
      </w:tr>
      <w:tr w:rsidR="00AC5926" w:rsidRPr="00AC5926" w:rsidTr="0070066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Grunty rolne zabudowane</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55</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55</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55</w:t>
            </w:r>
          </w:p>
        </w:tc>
        <w:tc>
          <w:tcPr>
            <w:tcW w:w="1255"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2,48%</w:t>
            </w:r>
          </w:p>
        </w:tc>
      </w:tr>
      <w:tr w:rsidR="00AC5926" w:rsidRPr="00AC5926" w:rsidTr="00700661">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700661">
            <w:pPr>
              <w:spacing w:line="240" w:lineRule="auto"/>
              <w:rPr>
                <w:rFonts w:ascii="Arial" w:eastAsia="Times New Roman" w:hAnsi="Arial" w:cs="Arial"/>
                <w:color w:val="000000" w:themeColor="text1"/>
                <w:sz w:val="20"/>
                <w:szCs w:val="20"/>
                <w:lang w:eastAsia="pl-PL"/>
              </w:rPr>
            </w:pPr>
            <w:r w:rsidRPr="00AC5926">
              <w:rPr>
                <w:rFonts w:ascii="Arial" w:eastAsia="Times New Roman" w:hAnsi="Arial" w:cs="Arial"/>
                <w:color w:val="000000" w:themeColor="text1"/>
                <w:sz w:val="20"/>
                <w:szCs w:val="20"/>
                <w:lang w:eastAsia="pl-PL"/>
              </w:rPr>
              <w:t>Grunty pod stawami</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0</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0</w:t>
            </w:r>
          </w:p>
        </w:tc>
        <w:tc>
          <w:tcPr>
            <w:tcW w:w="987"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0</w:t>
            </w:r>
          </w:p>
        </w:tc>
        <w:tc>
          <w:tcPr>
            <w:tcW w:w="1255" w:type="dxa"/>
            <w:noWrap/>
            <w:vAlign w:val="center"/>
            <w:hideMark/>
          </w:tcPr>
          <w:p w:rsidR="00AC5926" w:rsidRPr="00AC5926" w:rsidRDefault="00AC5926" w:rsidP="00F435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0,00%</w:t>
            </w:r>
          </w:p>
        </w:tc>
      </w:tr>
      <w:tr w:rsidR="00AC5926" w:rsidRPr="00AC5926" w:rsidTr="0070066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67" w:type="dxa"/>
            <w:noWrap/>
            <w:hideMark/>
          </w:tcPr>
          <w:p w:rsidR="00AC5926" w:rsidRPr="00AC5926" w:rsidRDefault="00AC5926" w:rsidP="00AC5926">
            <w:pPr>
              <w:spacing w:line="240" w:lineRule="auto"/>
              <w:jc w:val="left"/>
              <w:rPr>
                <w:rFonts w:ascii="Arial" w:eastAsia="Times New Roman" w:hAnsi="Arial" w:cs="Arial"/>
                <w:sz w:val="20"/>
                <w:szCs w:val="20"/>
                <w:lang w:eastAsia="pl-PL"/>
              </w:rPr>
            </w:pPr>
            <w:r w:rsidRPr="00AC5926">
              <w:rPr>
                <w:rFonts w:ascii="Arial" w:eastAsia="Times New Roman" w:hAnsi="Arial" w:cs="Arial"/>
                <w:sz w:val="20"/>
                <w:szCs w:val="20"/>
                <w:lang w:eastAsia="pl-PL"/>
              </w:rPr>
              <w:t>Rowy</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34</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37</w:t>
            </w:r>
          </w:p>
        </w:tc>
        <w:tc>
          <w:tcPr>
            <w:tcW w:w="987"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35</w:t>
            </w:r>
          </w:p>
        </w:tc>
        <w:tc>
          <w:tcPr>
            <w:tcW w:w="1255" w:type="dxa"/>
            <w:noWrap/>
            <w:vAlign w:val="center"/>
            <w:hideMark/>
          </w:tcPr>
          <w:p w:rsidR="00AC5926" w:rsidRPr="00AC5926" w:rsidRDefault="00AC5926" w:rsidP="00F435C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AC5926">
              <w:rPr>
                <w:rFonts w:ascii="Arial" w:eastAsia="Times New Roman" w:hAnsi="Arial" w:cs="Arial"/>
                <w:sz w:val="20"/>
                <w:szCs w:val="20"/>
                <w:lang w:eastAsia="pl-PL"/>
              </w:rPr>
              <w:t>1,58%</w:t>
            </w:r>
          </w:p>
        </w:tc>
      </w:tr>
    </w:tbl>
    <w:p w:rsidR="00AC5926" w:rsidRPr="00700661" w:rsidRDefault="00E63FE8" w:rsidP="00AC5926">
      <w:pPr>
        <w:pStyle w:val="Tekstprzypisudolnego"/>
      </w:pPr>
      <w:r w:rsidRPr="00700661">
        <w:rPr>
          <w:rFonts w:asciiTheme="minorHAnsi" w:hAnsiTheme="minorHAnsi"/>
        </w:rPr>
        <w:t>Źródło</w:t>
      </w:r>
      <w:r w:rsidRPr="00700661">
        <w:rPr>
          <w:rFonts w:asciiTheme="minorHAnsi" w:hAnsiTheme="minorHAnsi"/>
          <w:sz w:val="22"/>
        </w:rPr>
        <w:t>:</w:t>
      </w:r>
      <w:r w:rsidRPr="00700661">
        <w:rPr>
          <w:rFonts w:asciiTheme="minorHAnsi" w:hAnsiTheme="minorHAnsi"/>
          <w:b/>
          <w:sz w:val="22"/>
        </w:rPr>
        <w:t xml:space="preserve"> </w:t>
      </w:r>
      <w:r w:rsidR="00AC5926" w:rsidRPr="00700661">
        <w:rPr>
          <w:rFonts w:asciiTheme="minorHAnsi" w:hAnsiTheme="minorHAnsi"/>
          <w:i/>
        </w:rPr>
        <w:t xml:space="preserve">Raport z wykonania Programu Ochrony Środowiska dla Miasta Legnicy za lata 2008-2011, </w:t>
      </w:r>
      <w:r w:rsidR="00AC5926" w:rsidRPr="00700661">
        <w:rPr>
          <w:rFonts w:asciiTheme="minorHAnsi" w:hAnsiTheme="minorHAnsi"/>
        </w:rPr>
        <w:t>Urząd Miasta Legnicy, 2012 r.</w:t>
      </w:r>
    </w:p>
    <w:p w:rsidR="00AF56F3" w:rsidRDefault="00AF56F3" w:rsidP="00FD7676">
      <w:pPr>
        <w:rPr>
          <w:rFonts w:asciiTheme="minorHAnsi" w:hAnsiTheme="minorHAnsi"/>
          <w:sz w:val="22"/>
        </w:rPr>
      </w:pPr>
    </w:p>
    <w:p w:rsidR="007252F2" w:rsidRPr="007252F2" w:rsidRDefault="007252F2" w:rsidP="007252F2">
      <w:pPr>
        <w:rPr>
          <w:rFonts w:asciiTheme="minorHAnsi" w:hAnsiTheme="minorHAnsi"/>
          <w:sz w:val="22"/>
        </w:rPr>
      </w:pPr>
      <w:r>
        <w:rPr>
          <w:rFonts w:asciiTheme="minorHAnsi" w:hAnsiTheme="minorHAnsi"/>
          <w:sz w:val="22"/>
        </w:rPr>
        <w:t>Zakwaszenie gleb jest</w:t>
      </w:r>
      <w:r w:rsidR="00BB20CB">
        <w:rPr>
          <w:rFonts w:asciiTheme="minorHAnsi" w:hAnsiTheme="minorHAnsi"/>
          <w:sz w:val="22"/>
        </w:rPr>
        <w:t xml:space="preserve"> </w:t>
      </w:r>
      <w:r>
        <w:rPr>
          <w:rFonts w:asciiTheme="minorHAnsi" w:hAnsiTheme="minorHAnsi"/>
          <w:sz w:val="22"/>
        </w:rPr>
        <w:t>powszechnym</w:t>
      </w:r>
      <w:r w:rsidR="00BB20CB">
        <w:rPr>
          <w:rFonts w:asciiTheme="minorHAnsi" w:hAnsiTheme="minorHAnsi"/>
          <w:sz w:val="22"/>
        </w:rPr>
        <w:t xml:space="preserve"> </w:t>
      </w:r>
      <w:r>
        <w:rPr>
          <w:rFonts w:asciiTheme="minorHAnsi" w:hAnsiTheme="minorHAnsi"/>
          <w:sz w:val="22"/>
        </w:rPr>
        <w:t xml:space="preserve">procesem </w:t>
      </w:r>
      <w:r w:rsidRPr="007252F2">
        <w:rPr>
          <w:rFonts w:asciiTheme="minorHAnsi" w:hAnsiTheme="minorHAnsi"/>
          <w:sz w:val="22"/>
        </w:rPr>
        <w:t>natural</w:t>
      </w:r>
      <w:r>
        <w:rPr>
          <w:rFonts w:asciiTheme="minorHAnsi" w:hAnsiTheme="minorHAnsi"/>
          <w:sz w:val="22"/>
        </w:rPr>
        <w:t>nym</w:t>
      </w:r>
      <w:r w:rsidR="000838E0">
        <w:rPr>
          <w:rFonts w:asciiTheme="minorHAnsi" w:hAnsiTheme="minorHAnsi"/>
          <w:sz w:val="22"/>
        </w:rPr>
        <w:t>,</w:t>
      </w:r>
      <w:r>
        <w:rPr>
          <w:rFonts w:asciiTheme="minorHAnsi" w:hAnsiTheme="minorHAnsi"/>
          <w:sz w:val="22"/>
        </w:rPr>
        <w:t xml:space="preserve"> potęgowanym przez czynniki antropogeniczne.</w:t>
      </w:r>
      <w:r w:rsidR="004E1079">
        <w:rPr>
          <w:rFonts w:asciiTheme="minorHAnsi" w:hAnsiTheme="minorHAnsi"/>
          <w:sz w:val="22"/>
        </w:rPr>
        <w:t xml:space="preserve"> Powodem zakwaszenia </w:t>
      </w:r>
      <w:r w:rsidRPr="007252F2">
        <w:rPr>
          <w:rFonts w:asciiTheme="minorHAnsi" w:hAnsiTheme="minorHAnsi"/>
          <w:sz w:val="22"/>
        </w:rPr>
        <w:t>gleby</w:t>
      </w:r>
      <w:r w:rsidR="004E1079">
        <w:rPr>
          <w:rFonts w:asciiTheme="minorHAnsi" w:hAnsiTheme="minorHAnsi"/>
          <w:sz w:val="22"/>
        </w:rPr>
        <w:t xml:space="preserve"> są:</w:t>
      </w:r>
      <w:r w:rsidR="00BB20CB">
        <w:rPr>
          <w:rFonts w:asciiTheme="minorHAnsi" w:hAnsiTheme="minorHAnsi"/>
          <w:sz w:val="22"/>
        </w:rPr>
        <w:t xml:space="preserve"> </w:t>
      </w:r>
      <w:r w:rsidR="004E1079">
        <w:rPr>
          <w:rFonts w:asciiTheme="minorHAnsi" w:hAnsiTheme="minorHAnsi"/>
          <w:sz w:val="22"/>
        </w:rPr>
        <w:t>procesy geologiczne</w:t>
      </w:r>
      <w:r>
        <w:rPr>
          <w:rFonts w:asciiTheme="minorHAnsi" w:hAnsiTheme="minorHAnsi"/>
          <w:sz w:val="22"/>
        </w:rPr>
        <w:t xml:space="preserve"> </w:t>
      </w:r>
      <w:r w:rsidR="004E1079">
        <w:rPr>
          <w:rFonts w:asciiTheme="minorHAnsi" w:hAnsiTheme="minorHAnsi"/>
          <w:sz w:val="22"/>
        </w:rPr>
        <w:t xml:space="preserve">i </w:t>
      </w:r>
      <w:r>
        <w:rPr>
          <w:rFonts w:asciiTheme="minorHAnsi" w:hAnsiTheme="minorHAnsi"/>
          <w:sz w:val="22"/>
        </w:rPr>
        <w:t xml:space="preserve">glebotwórcze </w:t>
      </w:r>
      <w:r w:rsidRPr="007252F2">
        <w:rPr>
          <w:rFonts w:asciiTheme="minorHAnsi" w:hAnsiTheme="minorHAnsi"/>
          <w:sz w:val="22"/>
        </w:rPr>
        <w:t>zachodzą</w:t>
      </w:r>
      <w:r w:rsidR="00B73014">
        <w:rPr>
          <w:rFonts w:asciiTheme="minorHAnsi" w:hAnsiTheme="minorHAnsi"/>
          <w:sz w:val="22"/>
        </w:rPr>
        <w:t>ce w </w:t>
      </w:r>
      <w:r>
        <w:rPr>
          <w:rFonts w:asciiTheme="minorHAnsi" w:hAnsiTheme="minorHAnsi"/>
          <w:sz w:val="22"/>
        </w:rPr>
        <w:t>glebie, ubytki</w:t>
      </w:r>
      <w:r w:rsidR="00BB20CB">
        <w:rPr>
          <w:rFonts w:asciiTheme="minorHAnsi" w:hAnsiTheme="minorHAnsi"/>
          <w:sz w:val="22"/>
        </w:rPr>
        <w:t xml:space="preserve"> </w:t>
      </w:r>
      <w:r>
        <w:rPr>
          <w:rFonts w:asciiTheme="minorHAnsi" w:hAnsiTheme="minorHAnsi"/>
          <w:sz w:val="22"/>
        </w:rPr>
        <w:t xml:space="preserve">wapnia </w:t>
      </w:r>
      <w:r w:rsidRPr="007252F2">
        <w:rPr>
          <w:rFonts w:asciiTheme="minorHAnsi" w:hAnsiTheme="minorHAnsi"/>
          <w:sz w:val="22"/>
        </w:rPr>
        <w:t>i</w:t>
      </w:r>
      <w:r>
        <w:rPr>
          <w:rFonts w:asciiTheme="minorHAnsi" w:hAnsiTheme="minorHAnsi"/>
          <w:sz w:val="22"/>
        </w:rPr>
        <w:t xml:space="preserve"> innych</w:t>
      </w:r>
      <w:r w:rsidR="00BB20CB">
        <w:rPr>
          <w:rFonts w:asciiTheme="minorHAnsi" w:hAnsiTheme="minorHAnsi"/>
          <w:sz w:val="22"/>
        </w:rPr>
        <w:t xml:space="preserve"> </w:t>
      </w:r>
      <w:r>
        <w:rPr>
          <w:rFonts w:asciiTheme="minorHAnsi" w:hAnsiTheme="minorHAnsi"/>
          <w:sz w:val="22"/>
        </w:rPr>
        <w:t>jonów</w:t>
      </w:r>
      <w:r w:rsidR="00BB20CB">
        <w:rPr>
          <w:rFonts w:asciiTheme="minorHAnsi" w:hAnsiTheme="minorHAnsi"/>
          <w:sz w:val="22"/>
        </w:rPr>
        <w:t xml:space="preserve"> </w:t>
      </w:r>
      <w:r>
        <w:rPr>
          <w:rFonts w:asciiTheme="minorHAnsi" w:hAnsiTheme="minorHAnsi"/>
          <w:sz w:val="22"/>
        </w:rPr>
        <w:t xml:space="preserve">zasadowych z </w:t>
      </w:r>
      <w:r w:rsidRPr="007252F2">
        <w:rPr>
          <w:rFonts w:asciiTheme="minorHAnsi" w:hAnsiTheme="minorHAnsi"/>
          <w:sz w:val="22"/>
        </w:rPr>
        <w:t>gleby</w:t>
      </w:r>
      <w:r w:rsidR="000838E0">
        <w:rPr>
          <w:rFonts w:asciiTheme="minorHAnsi" w:hAnsiTheme="minorHAnsi"/>
          <w:sz w:val="22"/>
        </w:rPr>
        <w:t>,</w:t>
      </w:r>
      <w:r>
        <w:rPr>
          <w:rFonts w:asciiTheme="minorHAnsi" w:hAnsiTheme="minorHAnsi"/>
          <w:sz w:val="22"/>
        </w:rPr>
        <w:t xml:space="preserve"> wskutek ich </w:t>
      </w:r>
      <w:r w:rsidRPr="007252F2">
        <w:rPr>
          <w:rFonts w:asciiTheme="minorHAnsi" w:hAnsiTheme="minorHAnsi"/>
          <w:sz w:val="22"/>
        </w:rPr>
        <w:t>wymywania,</w:t>
      </w:r>
      <w:r w:rsidR="004E1079">
        <w:rPr>
          <w:rFonts w:asciiTheme="minorHAnsi" w:hAnsiTheme="minorHAnsi"/>
          <w:sz w:val="22"/>
        </w:rPr>
        <w:t xml:space="preserve"> pobieranie wapnia</w:t>
      </w:r>
      <w:r w:rsidR="000838E0">
        <w:rPr>
          <w:rFonts w:asciiTheme="minorHAnsi" w:hAnsiTheme="minorHAnsi"/>
          <w:sz w:val="22"/>
        </w:rPr>
        <w:t xml:space="preserve"> </w:t>
      </w:r>
      <w:r w:rsidR="004E1079">
        <w:rPr>
          <w:rFonts w:asciiTheme="minorHAnsi" w:hAnsiTheme="minorHAnsi"/>
          <w:sz w:val="22"/>
        </w:rPr>
        <w:t>przez </w:t>
      </w:r>
      <w:r w:rsidRPr="007252F2">
        <w:rPr>
          <w:rFonts w:asciiTheme="minorHAnsi" w:hAnsiTheme="minorHAnsi"/>
          <w:sz w:val="22"/>
        </w:rPr>
        <w:t>rośl</w:t>
      </w:r>
      <w:r w:rsidR="004E1079">
        <w:rPr>
          <w:rFonts w:asciiTheme="minorHAnsi" w:hAnsiTheme="minorHAnsi"/>
          <w:sz w:val="22"/>
        </w:rPr>
        <w:t>iny, działanie</w:t>
      </w:r>
      <w:r w:rsidR="000838E0">
        <w:rPr>
          <w:rFonts w:asciiTheme="minorHAnsi" w:hAnsiTheme="minorHAnsi"/>
          <w:sz w:val="22"/>
        </w:rPr>
        <w:t xml:space="preserve"> </w:t>
      </w:r>
      <w:r w:rsidR="004E1079">
        <w:rPr>
          <w:rFonts w:asciiTheme="minorHAnsi" w:hAnsiTheme="minorHAnsi"/>
          <w:sz w:val="22"/>
        </w:rPr>
        <w:t>nawozów</w:t>
      </w:r>
      <w:r w:rsidR="000838E0">
        <w:rPr>
          <w:rFonts w:asciiTheme="minorHAnsi" w:hAnsiTheme="minorHAnsi"/>
          <w:sz w:val="22"/>
        </w:rPr>
        <w:t xml:space="preserve"> </w:t>
      </w:r>
      <w:r w:rsidRPr="007252F2">
        <w:rPr>
          <w:rFonts w:asciiTheme="minorHAnsi" w:hAnsiTheme="minorHAnsi"/>
          <w:sz w:val="22"/>
        </w:rPr>
        <w:t>fizjologicznie</w:t>
      </w:r>
      <w:r w:rsidR="000838E0">
        <w:rPr>
          <w:rFonts w:asciiTheme="minorHAnsi" w:hAnsiTheme="minorHAnsi"/>
          <w:sz w:val="22"/>
        </w:rPr>
        <w:t xml:space="preserve"> </w:t>
      </w:r>
      <w:r>
        <w:rPr>
          <w:rFonts w:asciiTheme="minorHAnsi" w:hAnsiTheme="minorHAnsi"/>
          <w:sz w:val="22"/>
        </w:rPr>
        <w:t>kwaśnych,</w:t>
      </w:r>
      <w:r w:rsidR="004E1079">
        <w:rPr>
          <w:rFonts w:asciiTheme="minorHAnsi" w:hAnsiTheme="minorHAnsi"/>
          <w:sz w:val="22"/>
        </w:rPr>
        <w:t> </w:t>
      </w:r>
      <w:r>
        <w:rPr>
          <w:rFonts w:asciiTheme="minorHAnsi" w:hAnsiTheme="minorHAnsi"/>
          <w:sz w:val="22"/>
        </w:rPr>
        <w:t>działanie</w:t>
      </w:r>
      <w:r w:rsidR="004E1079">
        <w:rPr>
          <w:rFonts w:asciiTheme="minorHAnsi" w:hAnsiTheme="minorHAnsi"/>
          <w:sz w:val="22"/>
        </w:rPr>
        <w:t> </w:t>
      </w:r>
      <w:r>
        <w:rPr>
          <w:rFonts w:asciiTheme="minorHAnsi" w:hAnsiTheme="minorHAnsi"/>
          <w:sz w:val="22"/>
        </w:rPr>
        <w:t>różnego</w:t>
      </w:r>
      <w:r w:rsidR="000838E0">
        <w:rPr>
          <w:rFonts w:asciiTheme="minorHAnsi" w:hAnsiTheme="minorHAnsi"/>
          <w:sz w:val="22"/>
        </w:rPr>
        <w:t xml:space="preserve"> </w:t>
      </w:r>
      <w:r>
        <w:rPr>
          <w:rFonts w:asciiTheme="minorHAnsi" w:hAnsiTheme="minorHAnsi"/>
          <w:sz w:val="22"/>
        </w:rPr>
        <w:t>rodzaju</w:t>
      </w:r>
      <w:r w:rsidR="000838E0">
        <w:rPr>
          <w:rFonts w:asciiTheme="minorHAnsi" w:hAnsiTheme="minorHAnsi"/>
          <w:sz w:val="22"/>
        </w:rPr>
        <w:t xml:space="preserve"> </w:t>
      </w:r>
      <w:r w:rsidR="004E1079">
        <w:rPr>
          <w:rFonts w:asciiTheme="minorHAnsi" w:hAnsiTheme="minorHAnsi"/>
          <w:sz w:val="22"/>
        </w:rPr>
        <w:t>kwaśny</w:t>
      </w:r>
      <w:r w:rsidR="00AC3F48">
        <w:rPr>
          <w:rFonts w:asciiTheme="minorHAnsi" w:hAnsiTheme="minorHAnsi"/>
          <w:sz w:val="22"/>
        </w:rPr>
        <w:t xml:space="preserve">ch </w:t>
      </w:r>
      <w:r w:rsidRPr="007252F2">
        <w:rPr>
          <w:rFonts w:asciiTheme="minorHAnsi" w:hAnsiTheme="minorHAnsi"/>
          <w:sz w:val="22"/>
        </w:rPr>
        <w:t>opadów</w:t>
      </w:r>
      <w:r w:rsidR="000838E0">
        <w:rPr>
          <w:rFonts w:asciiTheme="minorHAnsi" w:hAnsiTheme="minorHAnsi"/>
          <w:sz w:val="22"/>
        </w:rPr>
        <w:t xml:space="preserve"> przemysłowych,</w:t>
      </w:r>
      <w:r w:rsidRPr="007252F2">
        <w:rPr>
          <w:rFonts w:asciiTheme="minorHAnsi" w:hAnsiTheme="minorHAnsi"/>
          <w:sz w:val="22"/>
        </w:rPr>
        <w:t xml:space="preserve"> niektóre procesy</w:t>
      </w:r>
      <w:r>
        <w:rPr>
          <w:rFonts w:asciiTheme="minorHAnsi" w:hAnsiTheme="minorHAnsi"/>
          <w:sz w:val="22"/>
        </w:rPr>
        <w:t xml:space="preserve"> naturalne</w:t>
      </w:r>
      <w:r w:rsidRPr="007252F2">
        <w:rPr>
          <w:rFonts w:asciiTheme="minorHAnsi" w:hAnsiTheme="minorHAnsi"/>
          <w:sz w:val="22"/>
        </w:rPr>
        <w:t xml:space="preserve"> z</w:t>
      </w:r>
      <w:r>
        <w:rPr>
          <w:rFonts w:asciiTheme="minorHAnsi" w:hAnsiTheme="minorHAnsi"/>
          <w:sz w:val="22"/>
        </w:rPr>
        <w:t>achodzące</w:t>
      </w:r>
      <w:r w:rsidR="00BB20CB">
        <w:rPr>
          <w:rFonts w:asciiTheme="minorHAnsi" w:hAnsiTheme="minorHAnsi"/>
          <w:sz w:val="22"/>
        </w:rPr>
        <w:t xml:space="preserve"> </w:t>
      </w:r>
      <w:r>
        <w:rPr>
          <w:rFonts w:asciiTheme="minorHAnsi" w:hAnsiTheme="minorHAnsi"/>
          <w:sz w:val="22"/>
        </w:rPr>
        <w:t>w</w:t>
      </w:r>
      <w:r w:rsidR="00BB20CB">
        <w:rPr>
          <w:rFonts w:asciiTheme="minorHAnsi" w:hAnsiTheme="minorHAnsi"/>
          <w:sz w:val="22"/>
        </w:rPr>
        <w:t xml:space="preserve"> </w:t>
      </w:r>
      <w:r>
        <w:rPr>
          <w:rFonts w:asciiTheme="minorHAnsi" w:hAnsiTheme="minorHAnsi"/>
          <w:sz w:val="22"/>
        </w:rPr>
        <w:t>glebie.</w:t>
      </w:r>
      <w:r w:rsidR="00AC3F48">
        <w:rPr>
          <w:rFonts w:asciiTheme="minorHAnsi" w:hAnsiTheme="minorHAnsi"/>
          <w:sz w:val="22"/>
        </w:rPr>
        <w:t xml:space="preserve"> Znaczny wp</w:t>
      </w:r>
      <w:r>
        <w:rPr>
          <w:rFonts w:asciiTheme="minorHAnsi" w:hAnsiTheme="minorHAnsi"/>
          <w:sz w:val="22"/>
        </w:rPr>
        <w:t>ływ</w:t>
      </w:r>
      <w:r w:rsidR="004E1079">
        <w:rPr>
          <w:rFonts w:asciiTheme="minorHAnsi" w:hAnsiTheme="minorHAnsi"/>
          <w:sz w:val="22"/>
        </w:rPr>
        <w:t> na zakwaszenie ma </w:t>
      </w:r>
      <w:r>
        <w:rPr>
          <w:rFonts w:asciiTheme="minorHAnsi" w:hAnsiTheme="minorHAnsi"/>
          <w:sz w:val="22"/>
        </w:rPr>
        <w:t>działanie</w:t>
      </w:r>
      <w:r w:rsidR="004E1079">
        <w:rPr>
          <w:rFonts w:asciiTheme="minorHAnsi" w:hAnsiTheme="minorHAnsi"/>
          <w:sz w:val="22"/>
        </w:rPr>
        <w:t> </w:t>
      </w:r>
      <w:r>
        <w:rPr>
          <w:rFonts w:asciiTheme="minorHAnsi" w:hAnsiTheme="minorHAnsi"/>
          <w:sz w:val="22"/>
        </w:rPr>
        <w:t>człowieka</w:t>
      </w:r>
      <w:r w:rsidR="00AC3F48">
        <w:rPr>
          <w:rFonts w:asciiTheme="minorHAnsi" w:hAnsiTheme="minorHAnsi"/>
          <w:sz w:val="22"/>
        </w:rPr>
        <w:t xml:space="preserve"> </w:t>
      </w:r>
      <w:r w:rsidRPr="007252F2">
        <w:rPr>
          <w:rFonts w:asciiTheme="minorHAnsi" w:hAnsiTheme="minorHAnsi"/>
          <w:sz w:val="22"/>
        </w:rPr>
        <w:t>i</w:t>
      </w:r>
      <w:r w:rsidR="00AC3F48">
        <w:rPr>
          <w:rFonts w:asciiTheme="minorHAnsi" w:hAnsiTheme="minorHAnsi"/>
          <w:sz w:val="22"/>
        </w:rPr>
        <w:t xml:space="preserve"> </w:t>
      </w:r>
      <w:r w:rsidRPr="007252F2">
        <w:rPr>
          <w:rFonts w:asciiTheme="minorHAnsi" w:hAnsiTheme="minorHAnsi"/>
          <w:sz w:val="22"/>
        </w:rPr>
        <w:t>to</w:t>
      </w:r>
      <w:r w:rsidR="00AC3F48">
        <w:rPr>
          <w:rFonts w:asciiTheme="minorHAnsi" w:hAnsiTheme="minorHAnsi"/>
          <w:sz w:val="22"/>
        </w:rPr>
        <w:t xml:space="preserve"> </w:t>
      </w:r>
      <w:r w:rsidRPr="007252F2">
        <w:rPr>
          <w:rFonts w:asciiTheme="minorHAnsi" w:hAnsiTheme="minorHAnsi"/>
          <w:sz w:val="22"/>
        </w:rPr>
        <w:t>zarówno</w:t>
      </w:r>
      <w:r w:rsidR="00AC3F48">
        <w:rPr>
          <w:rFonts w:asciiTheme="minorHAnsi" w:hAnsiTheme="minorHAnsi"/>
          <w:sz w:val="22"/>
        </w:rPr>
        <w:t xml:space="preserve"> </w:t>
      </w:r>
      <w:r w:rsidRPr="007252F2">
        <w:rPr>
          <w:rFonts w:asciiTheme="minorHAnsi" w:hAnsiTheme="minorHAnsi"/>
          <w:sz w:val="22"/>
        </w:rPr>
        <w:t>w</w:t>
      </w:r>
      <w:r w:rsidR="00AC3F48">
        <w:rPr>
          <w:rFonts w:asciiTheme="minorHAnsi" w:hAnsiTheme="minorHAnsi"/>
          <w:sz w:val="22"/>
        </w:rPr>
        <w:t xml:space="preserve"> </w:t>
      </w:r>
      <w:r w:rsidRPr="007252F2">
        <w:rPr>
          <w:rFonts w:asciiTheme="minorHAnsi" w:hAnsiTheme="minorHAnsi"/>
          <w:sz w:val="22"/>
        </w:rPr>
        <w:t>aspekcie</w:t>
      </w:r>
      <w:r w:rsidR="00AC3F48">
        <w:rPr>
          <w:rFonts w:asciiTheme="minorHAnsi" w:hAnsiTheme="minorHAnsi"/>
          <w:sz w:val="22"/>
        </w:rPr>
        <w:t xml:space="preserve"> </w:t>
      </w:r>
      <w:r w:rsidRPr="007252F2">
        <w:rPr>
          <w:rFonts w:asciiTheme="minorHAnsi" w:hAnsiTheme="minorHAnsi"/>
          <w:sz w:val="22"/>
        </w:rPr>
        <w:t>działania</w:t>
      </w:r>
      <w:r w:rsidR="00AC3F48">
        <w:rPr>
          <w:rFonts w:asciiTheme="minorHAnsi" w:hAnsiTheme="minorHAnsi"/>
          <w:sz w:val="22"/>
        </w:rPr>
        <w:t xml:space="preserve"> </w:t>
      </w:r>
      <w:r w:rsidRPr="007252F2">
        <w:rPr>
          <w:rFonts w:asciiTheme="minorHAnsi" w:hAnsiTheme="minorHAnsi"/>
          <w:sz w:val="22"/>
        </w:rPr>
        <w:t>„pozyty</w:t>
      </w:r>
      <w:r w:rsidR="004E1079">
        <w:rPr>
          <w:rFonts w:asciiTheme="minorHAnsi" w:hAnsiTheme="minorHAnsi"/>
          <w:sz w:val="22"/>
        </w:rPr>
        <w:t>wnego”</w:t>
      </w:r>
      <w:r w:rsidR="00AC3F48">
        <w:rPr>
          <w:rFonts w:asciiTheme="minorHAnsi" w:hAnsiTheme="minorHAnsi"/>
          <w:sz w:val="22"/>
        </w:rPr>
        <w:t xml:space="preserve"> </w:t>
      </w:r>
      <w:r w:rsidRPr="007252F2">
        <w:rPr>
          <w:rFonts w:asciiTheme="minorHAnsi" w:hAnsiTheme="minorHAnsi"/>
          <w:sz w:val="22"/>
        </w:rPr>
        <w:t>poprzez</w:t>
      </w:r>
      <w:r w:rsidR="00AC3F48">
        <w:rPr>
          <w:rFonts w:asciiTheme="minorHAnsi" w:hAnsiTheme="minorHAnsi"/>
          <w:sz w:val="22"/>
        </w:rPr>
        <w:t xml:space="preserve"> </w:t>
      </w:r>
      <w:r w:rsidRPr="007252F2">
        <w:rPr>
          <w:rFonts w:asciiTheme="minorHAnsi" w:hAnsiTheme="minorHAnsi"/>
          <w:sz w:val="22"/>
        </w:rPr>
        <w:t>regulowanie</w:t>
      </w:r>
      <w:r w:rsidR="00AC3F48">
        <w:rPr>
          <w:rFonts w:asciiTheme="minorHAnsi" w:hAnsiTheme="minorHAnsi"/>
          <w:sz w:val="22"/>
        </w:rPr>
        <w:t xml:space="preserve"> </w:t>
      </w:r>
      <w:r w:rsidRPr="007252F2">
        <w:rPr>
          <w:rFonts w:asciiTheme="minorHAnsi" w:hAnsiTheme="minorHAnsi"/>
          <w:sz w:val="22"/>
        </w:rPr>
        <w:t>odczynu</w:t>
      </w:r>
      <w:r w:rsidR="00AC3F48">
        <w:rPr>
          <w:rFonts w:asciiTheme="minorHAnsi" w:hAnsiTheme="minorHAnsi"/>
          <w:sz w:val="22"/>
        </w:rPr>
        <w:t xml:space="preserve"> </w:t>
      </w:r>
      <w:r w:rsidRPr="007252F2">
        <w:rPr>
          <w:rFonts w:asciiTheme="minorHAnsi" w:hAnsiTheme="minorHAnsi"/>
          <w:sz w:val="22"/>
        </w:rPr>
        <w:t>n</w:t>
      </w:r>
      <w:r>
        <w:rPr>
          <w:rFonts w:asciiTheme="minorHAnsi" w:hAnsiTheme="minorHAnsi"/>
          <w:sz w:val="22"/>
        </w:rPr>
        <w:t xml:space="preserve">a drodze </w:t>
      </w:r>
      <w:r w:rsidRPr="007252F2">
        <w:rPr>
          <w:rFonts w:asciiTheme="minorHAnsi" w:hAnsiTheme="minorHAnsi"/>
          <w:sz w:val="22"/>
        </w:rPr>
        <w:t>wapnowania</w:t>
      </w:r>
      <w:r>
        <w:rPr>
          <w:rFonts w:asciiTheme="minorHAnsi" w:hAnsiTheme="minorHAnsi"/>
          <w:sz w:val="22"/>
        </w:rPr>
        <w:t xml:space="preserve"> gleb</w:t>
      </w:r>
      <w:r w:rsidR="00AC3F48">
        <w:rPr>
          <w:rFonts w:asciiTheme="minorHAnsi" w:hAnsiTheme="minorHAnsi"/>
          <w:sz w:val="22"/>
        </w:rPr>
        <w:t xml:space="preserve"> </w:t>
      </w:r>
      <w:r>
        <w:rPr>
          <w:rFonts w:asciiTheme="minorHAnsi" w:hAnsiTheme="minorHAnsi"/>
          <w:sz w:val="22"/>
        </w:rPr>
        <w:t>jak i</w:t>
      </w:r>
      <w:r w:rsidR="00BB20CB">
        <w:rPr>
          <w:rFonts w:asciiTheme="minorHAnsi" w:hAnsiTheme="minorHAnsi"/>
          <w:sz w:val="22"/>
        </w:rPr>
        <w:t xml:space="preserve"> </w:t>
      </w:r>
      <w:r>
        <w:rPr>
          <w:rFonts w:asciiTheme="minorHAnsi" w:hAnsiTheme="minorHAnsi"/>
          <w:sz w:val="22"/>
        </w:rPr>
        <w:t xml:space="preserve">„negatywnego”, </w:t>
      </w:r>
      <w:r w:rsidRPr="007252F2">
        <w:rPr>
          <w:rFonts w:asciiTheme="minorHAnsi" w:hAnsiTheme="minorHAnsi"/>
          <w:sz w:val="22"/>
        </w:rPr>
        <w:t>poprzez</w:t>
      </w:r>
      <w:r>
        <w:rPr>
          <w:rFonts w:asciiTheme="minorHAnsi" w:hAnsiTheme="minorHAnsi"/>
          <w:sz w:val="22"/>
        </w:rPr>
        <w:t xml:space="preserve"> zwiększanie kwasowości. </w:t>
      </w:r>
      <w:r w:rsidRPr="007252F2">
        <w:rPr>
          <w:rFonts w:asciiTheme="minorHAnsi" w:hAnsiTheme="minorHAnsi"/>
          <w:sz w:val="22"/>
        </w:rPr>
        <w:t>Odczyn</w:t>
      </w:r>
      <w:r>
        <w:rPr>
          <w:rFonts w:asciiTheme="minorHAnsi" w:hAnsiTheme="minorHAnsi"/>
          <w:sz w:val="22"/>
        </w:rPr>
        <w:t xml:space="preserve"> gleb</w:t>
      </w:r>
      <w:r w:rsidR="00BB20CB">
        <w:rPr>
          <w:rFonts w:asciiTheme="minorHAnsi" w:hAnsiTheme="minorHAnsi"/>
          <w:sz w:val="22"/>
        </w:rPr>
        <w:t xml:space="preserve"> </w:t>
      </w:r>
      <w:r>
        <w:rPr>
          <w:rFonts w:asciiTheme="minorHAnsi" w:hAnsiTheme="minorHAnsi"/>
          <w:sz w:val="22"/>
        </w:rPr>
        <w:t>wyrażany</w:t>
      </w:r>
      <w:r w:rsidR="00BB20CB">
        <w:rPr>
          <w:rFonts w:asciiTheme="minorHAnsi" w:hAnsiTheme="minorHAnsi"/>
          <w:sz w:val="22"/>
        </w:rPr>
        <w:t xml:space="preserve"> j</w:t>
      </w:r>
      <w:r>
        <w:rPr>
          <w:rFonts w:asciiTheme="minorHAnsi" w:hAnsiTheme="minorHAnsi"/>
          <w:sz w:val="22"/>
        </w:rPr>
        <w:t>est</w:t>
      </w:r>
      <w:r w:rsidR="00BB20CB">
        <w:rPr>
          <w:rFonts w:asciiTheme="minorHAnsi" w:hAnsiTheme="minorHAnsi"/>
          <w:sz w:val="22"/>
        </w:rPr>
        <w:t xml:space="preserve"> </w:t>
      </w:r>
      <w:r w:rsidRPr="007252F2">
        <w:rPr>
          <w:rFonts w:asciiTheme="minorHAnsi" w:hAnsiTheme="minorHAnsi"/>
          <w:sz w:val="22"/>
        </w:rPr>
        <w:t>w</w:t>
      </w:r>
      <w:r w:rsidR="00BB20CB">
        <w:rPr>
          <w:rFonts w:asciiTheme="minorHAnsi" w:hAnsiTheme="minorHAnsi"/>
          <w:sz w:val="22"/>
        </w:rPr>
        <w:t xml:space="preserve"> </w:t>
      </w:r>
      <w:r>
        <w:rPr>
          <w:rFonts w:asciiTheme="minorHAnsi" w:hAnsiTheme="minorHAnsi"/>
          <w:sz w:val="22"/>
        </w:rPr>
        <w:t>jednostkach</w:t>
      </w:r>
      <w:r w:rsidR="00BB20CB">
        <w:rPr>
          <w:rFonts w:asciiTheme="minorHAnsi" w:hAnsiTheme="minorHAnsi"/>
          <w:sz w:val="22"/>
        </w:rPr>
        <w:t xml:space="preserve"> </w:t>
      </w:r>
      <w:r>
        <w:rPr>
          <w:rFonts w:asciiTheme="minorHAnsi" w:hAnsiTheme="minorHAnsi"/>
          <w:sz w:val="22"/>
        </w:rPr>
        <w:t>pH. Zgodnie</w:t>
      </w:r>
      <w:r w:rsidR="00BB20CB">
        <w:rPr>
          <w:rFonts w:asciiTheme="minorHAnsi" w:hAnsiTheme="minorHAnsi"/>
          <w:sz w:val="22"/>
        </w:rPr>
        <w:t xml:space="preserve"> </w:t>
      </w:r>
      <w:r>
        <w:rPr>
          <w:rFonts w:asciiTheme="minorHAnsi" w:hAnsiTheme="minorHAnsi"/>
          <w:sz w:val="22"/>
        </w:rPr>
        <w:t>z</w:t>
      </w:r>
      <w:r w:rsidR="00BB20CB">
        <w:rPr>
          <w:rFonts w:asciiTheme="minorHAnsi" w:hAnsiTheme="minorHAnsi"/>
          <w:sz w:val="22"/>
        </w:rPr>
        <w:t xml:space="preserve"> </w:t>
      </w:r>
      <w:r w:rsidRPr="007252F2">
        <w:rPr>
          <w:rFonts w:asciiTheme="minorHAnsi" w:hAnsiTheme="minorHAnsi"/>
          <w:sz w:val="22"/>
        </w:rPr>
        <w:t>Pols</w:t>
      </w:r>
      <w:r>
        <w:rPr>
          <w:rFonts w:asciiTheme="minorHAnsi" w:hAnsiTheme="minorHAnsi"/>
          <w:sz w:val="22"/>
        </w:rPr>
        <w:t>ką</w:t>
      </w:r>
      <w:r w:rsidR="00BB20CB">
        <w:rPr>
          <w:rFonts w:asciiTheme="minorHAnsi" w:hAnsiTheme="minorHAnsi"/>
          <w:sz w:val="22"/>
        </w:rPr>
        <w:t xml:space="preserve"> </w:t>
      </w:r>
      <w:r>
        <w:rPr>
          <w:rFonts w:asciiTheme="minorHAnsi" w:hAnsiTheme="minorHAnsi"/>
          <w:sz w:val="22"/>
        </w:rPr>
        <w:t>Normą wyróżnia się</w:t>
      </w:r>
      <w:r w:rsidRPr="007252F2">
        <w:rPr>
          <w:rFonts w:asciiTheme="minorHAnsi" w:hAnsiTheme="minorHAnsi"/>
          <w:sz w:val="22"/>
        </w:rPr>
        <w:t xml:space="preserve"> pięć</w:t>
      </w:r>
      <w:r>
        <w:rPr>
          <w:rFonts w:asciiTheme="minorHAnsi" w:hAnsiTheme="minorHAnsi"/>
          <w:sz w:val="22"/>
        </w:rPr>
        <w:t xml:space="preserve"> </w:t>
      </w:r>
      <w:r w:rsidRPr="007252F2">
        <w:rPr>
          <w:rFonts w:asciiTheme="minorHAnsi" w:hAnsiTheme="minorHAnsi"/>
          <w:sz w:val="22"/>
        </w:rPr>
        <w:t>przedziałów</w:t>
      </w:r>
      <w:r w:rsidR="00BB20CB">
        <w:rPr>
          <w:rFonts w:asciiTheme="minorHAnsi" w:hAnsiTheme="minorHAnsi"/>
          <w:sz w:val="22"/>
        </w:rPr>
        <w:t xml:space="preserve"> </w:t>
      </w:r>
      <w:r w:rsidRPr="007252F2">
        <w:rPr>
          <w:rFonts w:asciiTheme="minorHAnsi" w:hAnsiTheme="minorHAnsi"/>
          <w:sz w:val="22"/>
        </w:rPr>
        <w:t>odczynu:</w:t>
      </w:r>
    </w:p>
    <w:p w:rsidR="007252F2" w:rsidRPr="007252F2" w:rsidRDefault="007252F2" w:rsidP="00E6635A">
      <w:pPr>
        <w:pStyle w:val="Akapitzlist"/>
        <w:numPr>
          <w:ilvl w:val="0"/>
          <w:numId w:val="42"/>
        </w:numPr>
        <w:rPr>
          <w:rFonts w:asciiTheme="minorHAnsi" w:hAnsiTheme="minorHAnsi"/>
          <w:sz w:val="22"/>
        </w:rPr>
      </w:pPr>
      <w:r w:rsidRPr="007252F2">
        <w:rPr>
          <w:rFonts w:asciiTheme="minorHAnsi" w:hAnsiTheme="minorHAnsi"/>
          <w:sz w:val="22"/>
        </w:rPr>
        <w:t>bardzo</w:t>
      </w:r>
      <w:r w:rsidR="00AC3F48">
        <w:rPr>
          <w:rFonts w:asciiTheme="minorHAnsi" w:hAnsiTheme="minorHAnsi"/>
          <w:sz w:val="22"/>
        </w:rPr>
        <w:t xml:space="preserve"> </w:t>
      </w:r>
      <w:r w:rsidRPr="007252F2">
        <w:rPr>
          <w:rFonts w:asciiTheme="minorHAnsi" w:hAnsiTheme="minorHAnsi"/>
          <w:sz w:val="22"/>
        </w:rPr>
        <w:t>kwaśny &lt;4,5</w:t>
      </w:r>
    </w:p>
    <w:p w:rsidR="007252F2" w:rsidRPr="007252F2" w:rsidRDefault="007252F2" w:rsidP="00E6635A">
      <w:pPr>
        <w:pStyle w:val="Akapitzlist"/>
        <w:numPr>
          <w:ilvl w:val="0"/>
          <w:numId w:val="42"/>
        </w:numPr>
        <w:rPr>
          <w:rFonts w:asciiTheme="minorHAnsi" w:hAnsiTheme="minorHAnsi"/>
          <w:sz w:val="22"/>
        </w:rPr>
      </w:pPr>
      <w:r w:rsidRPr="007252F2">
        <w:rPr>
          <w:rFonts w:asciiTheme="minorHAnsi" w:hAnsiTheme="minorHAnsi"/>
          <w:sz w:val="22"/>
        </w:rPr>
        <w:t>kwaśny 4,6–5,5</w:t>
      </w:r>
    </w:p>
    <w:p w:rsidR="007252F2" w:rsidRPr="007252F2" w:rsidRDefault="007252F2" w:rsidP="00E6635A">
      <w:pPr>
        <w:pStyle w:val="Akapitzlist"/>
        <w:numPr>
          <w:ilvl w:val="0"/>
          <w:numId w:val="42"/>
        </w:numPr>
        <w:rPr>
          <w:rFonts w:asciiTheme="minorHAnsi" w:hAnsiTheme="minorHAnsi"/>
          <w:sz w:val="22"/>
        </w:rPr>
      </w:pPr>
      <w:r w:rsidRPr="007252F2">
        <w:rPr>
          <w:rFonts w:asciiTheme="minorHAnsi" w:hAnsiTheme="minorHAnsi"/>
          <w:sz w:val="22"/>
        </w:rPr>
        <w:t>lekko</w:t>
      </w:r>
      <w:r w:rsidR="00AC3F48">
        <w:rPr>
          <w:rFonts w:asciiTheme="minorHAnsi" w:hAnsiTheme="minorHAnsi"/>
          <w:sz w:val="22"/>
        </w:rPr>
        <w:t xml:space="preserve"> </w:t>
      </w:r>
      <w:r w:rsidRPr="007252F2">
        <w:rPr>
          <w:rFonts w:asciiTheme="minorHAnsi" w:hAnsiTheme="minorHAnsi"/>
          <w:sz w:val="22"/>
        </w:rPr>
        <w:t>kwaśny 5,6–6,5</w:t>
      </w:r>
    </w:p>
    <w:p w:rsidR="007252F2" w:rsidRPr="007252F2" w:rsidRDefault="007252F2" w:rsidP="00E6635A">
      <w:pPr>
        <w:pStyle w:val="Akapitzlist"/>
        <w:numPr>
          <w:ilvl w:val="0"/>
          <w:numId w:val="42"/>
        </w:numPr>
        <w:rPr>
          <w:rFonts w:asciiTheme="minorHAnsi" w:hAnsiTheme="minorHAnsi"/>
          <w:sz w:val="22"/>
        </w:rPr>
      </w:pPr>
      <w:r w:rsidRPr="007252F2">
        <w:rPr>
          <w:rFonts w:asciiTheme="minorHAnsi" w:hAnsiTheme="minorHAnsi"/>
          <w:sz w:val="22"/>
        </w:rPr>
        <w:t>obojętny 6,6–7,2</w:t>
      </w:r>
    </w:p>
    <w:p w:rsidR="007252F2" w:rsidRPr="007252F2" w:rsidRDefault="007252F2" w:rsidP="00E6635A">
      <w:pPr>
        <w:pStyle w:val="Akapitzlist"/>
        <w:numPr>
          <w:ilvl w:val="0"/>
          <w:numId w:val="42"/>
        </w:numPr>
        <w:rPr>
          <w:rFonts w:asciiTheme="minorHAnsi" w:hAnsiTheme="minorHAnsi"/>
          <w:sz w:val="22"/>
        </w:rPr>
      </w:pPr>
      <w:r w:rsidRPr="007252F2">
        <w:rPr>
          <w:rFonts w:asciiTheme="minorHAnsi" w:hAnsiTheme="minorHAnsi"/>
          <w:sz w:val="22"/>
        </w:rPr>
        <w:t>zasadowy &gt;7,3</w:t>
      </w:r>
    </w:p>
    <w:p w:rsidR="007252F2" w:rsidRDefault="007252F2" w:rsidP="007252F2">
      <w:pPr>
        <w:rPr>
          <w:rFonts w:asciiTheme="minorHAnsi" w:hAnsiTheme="minorHAnsi"/>
          <w:sz w:val="22"/>
        </w:rPr>
      </w:pPr>
      <w:r w:rsidRPr="007252F2">
        <w:rPr>
          <w:rFonts w:asciiTheme="minorHAnsi" w:hAnsiTheme="minorHAnsi"/>
          <w:sz w:val="22"/>
        </w:rPr>
        <w:t>Procentowy udział poszczególnych klas odczynu informuje o stanie zakwaszenia gle</w:t>
      </w:r>
      <w:r>
        <w:rPr>
          <w:rFonts w:asciiTheme="minorHAnsi" w:hAnsiTheme="minorHAnsi"/>
          <w:sz w:val="22"/>
        </w:rPr>
        <w:t>b.</w:t>
      </w:r>
      <w:r w:rsidR="004E1079">
        <w:rPr>
          <w:rStyle w:val="Odwoanieprzypisudolnego"/>
          <w:rFonts w:asciiTheme="minorHAnsi" w:hAnsiTheme="minorHAnsi"/>
          <w:sz w:val="22"/>
        </w:rPr>
        <w:footnoteReference w:id="38"/>
      </w:r>
    </w:p>
    <w:p w:rsidR="007252F2" w:rsidRPr="007252F2" w:rsidRDefault="007252F2" w:rsidP="007252F2">
      <w:pPr>
        <w:spacing w:line="240" w:lineRule="auto"/>
        <w:jc w:val="left"/>
        <w:rPr>
          <w:rFonts w:asciiTheme="minorHAnsi" w:hAnsiTheme="minorHAnsi"/>
          <w:sz w:val="22"/>
        </w:rPr>
      </w:pPr>
    </w:p>
    <w:p w:rsidR="00A7518C" w:rsidRDefault="00A7518C" w:rsidP="00A7518C">
      <w:pPr>
        <w:rPr>
          <w:rFonts w:asciiTheme="minorHAnsi" w:hAnsiTheme="minorHAnsi"/>
          <w:sz w:val="22"/>
        </w:rPr>
      </w:pPr>
      <w:r w:rsidRPr="00A7518C">
        <w:rPr>
          <w:rFonts w:asciiTheme="minorHAnsi" w:hAnsiTheme="minorHAnsi"/>
          <w:sz w:val="22"/>
        </w:rPr>
        <w:t xml:space="preserve">Zgodnie z danymi publikowanymi przez WIOŚ we Wrocławiu w Raporcie o stanie środowiska w woj. dolnośląskim w 2011 r., od 21 do 40% gleb użytkowanych rolniczo w granicach miasta Legnicy w latach 2008–2011 miało odczyn kwaśny i bardzo kwaśny. Procentowy udział gleb o potrzebach wapnowania koniecznych i potrzebnych kształtował się w granicach 41 – 60 %. </w:t>
      </w:r>
    </w:p>
    <w:p w:rsidR="00F435C9" w:rsidRPr="00A7518C" w:rsidRDefault="00F435C9" w:rsidP="00A7518C">
      <w:pPr>
        <w:rPr>
          <w:rFonts w:asciiTheme="minorHAnsi" w:hAnsiTheme="minorHAnsi"/>
          <w:sz w:val="22"/>
        </w:rPr>
      </w:pPr>
    </w:p>
    <w:p w:rsidR="00A7518C" w:rsidRDefault="00A7518C" w:rsidP="00EC5484">
      <w:pPr>
        <w:rPr>
          <w:rFonts w:asciiTheme="minorHAnsi" w:hAnsiTheme="minorHAnsi"/>
          <w:sz w:val="22"/>
        </w:rPr>
      </w:pPr>
      <w:r w:rsidRPr="00A7518C">
        <w:rPr>
          <w:rFonts w:asciiTheme="minorHAnsi" w:hAnsiTheme="minorHAnsi"/>
          <w:sz w:val="22"/>
        </w:rPr>
        <w:t>O kondycji i potrzebach nawożenia gleb użytkowanych rolniczo świadczy również zawartość podstawowych związków mineralnych: fosforu, potasu i magnezu</w:t>
      </w:r>
      <w:r w:rsidR="00B73014">
        <w:rPr>
          <w:rFonts w:asciiTheme="minorHAnsi" w:hAnsiTheme="minorHAnsi"/>
          <w:sz w:val="22"/>
        </w:rPr>
        <w:t>. Zawartość fosforu i magnezu w </w:t>
      </w:r>
      <w:r w:rsidRPr="00A7518C">
        <w:rPr>
          <w:rFonts w:asciiTheme="minorHAnsi" w:hAnsiTheme="minorHAnsi"/>
          <w:sz w:val="22"/>
        </w:rPr>
        <w:t>przebadanych glebach na terenie miasta kształtuje się na poziomie zawartości bardzo wysokiej. Gleby ubogie w fosfor i magnez (zawartość bardzo niska i niska) obejmują do 20% gleb przebadanych w latach 2008 – 2011. Z kolei w przypadku potasu niską i bardzo niską zawartością tego pierwiastka charakteryzuje się od 41 do 60% gleb. Są to gleby wymagające uzupełnienia potasu poprzez odpowiednie nawożenie.</w:t>
      </w:r>
      <w:r>
        <w:rPr>
          <w:rStyle w:val="Odwoanieprzypisudolnego"/>
          <w:rFonts w:asciiTheme="minorHAnsi" w:hAnsiTheme="minorHAnsi"/>
          <w:sz w:val="22"/>
        </w:rPr>
        <w:footnoteReference w:id="39"/>
      </w:r>
    </w:p>
    <w:p w:rsidR="004E1079" w:rsidRDefault="004E1079" w:rsidP="00EC5484">
      <w:pPr>
        <w:rPr>
          <w:rFonts w:asciiTheme="minorHAnsi" w:hAnsiTheme="minorHAnsi"/>
          <w:sz w:val="22"/>
        </w:rPr>
      </w:pPr>
    </w:p>
    <w:p w:rsidR="00E63FE8" w:rsidRDefault="00D05F91" w:rsidP="00EC5484">
      <w:pPr>
        <w:rPr>
          <w:rFonts w:asciiTheme="minorHAnsi" w:hAnsiTheme="minorHAnsi"/>
          <w:sz w:val="22"/>
        </w:rPr>
      </w:pPr>
      <w:r w:rsidRPr="00563EF2">
        <w:rPr>
          <w:rFonts w:asciiTheme="minorHAnsi" w:hAnsiTheme="minorHAnsi"/>
          <w:sz w:val="22"/>
        </w:rPr>
        <w:t>Oprócz cennych rolniczo gleb okolice Legnicy charakteryzują się wyją</w:t>
      </w:r>
      <w:r w:rsidR="00B73014">
        <w:rPr>
          <w:rFonts w:asciiTheme="minorHAnsi" w:hAnsiTheme="minorHAnsi"/>
          <w:sz w:val="22"/>
        </w:rPr>
        <w:t>tkowym w skali kraju</w:t>
      </w:r>
      <w:r w:rsidR="00AC3F48">
        <w:rPr>
          <w:rFonts w:asciiTheme="minorHAnsi" w:hAnsiTheme="minorHAnsi"/>
          <w:sz w:val="22"/>
        </w:rPr>
        <w:t>,</w:t>
      </w:r>
      <w:r w:rsidR="00B73014">
        <w:rPr>
          <w:rFonts w:asciiTheme="minorHAnsi" w:hAnsiTheme="minorHAnsi"/>
          <w:sz w:val="22"/>
        </w:rPr>
        <w:t xml:space="preserve"> łagodnym i </w:t>
      </w:r>
      <w:r w:rsidRPr="00563EF2">
        <w:rPr>
          <w:rFonts w:asciiTheme="minorHAnsi" w:hAnsiTheme="minorHAnsi"/>
          <w:sz w:val="22"/>
        </w:rPr>
        <w:t>ciepłym klimatem, którego średnia temperatura roczna wynosi 8,5 C</w:t>
      </w:r>
      <w:r w:rsidR="00AC3F48">
        <w:rPr>
          <w:rFonts w:asciiTheme="minorHAnsi" w:hAnsiTheme="minorHAnsi"/>
          <w:sz w:val="22"/>
          <w:vertAlign w:val="superscript"/>
        </w:rPr>
        <w:t>o</w:t>
      </w:r>
      <w:r w:rsidRPr="00563EF2">
        <w:rPr>
          <w:rFonts w:asciiTheme="minorHAnsi" w:hAnsiTheme="minorHAnsi"/>
          <w:sz w:val="22"/>
        </w:rPr>
        <w:t>, a liczba dni z pokrywą śnieżną nie przekracza 60. Opady atmosferyczne cechuje spore zróżnicowanie</w:t>
      </w:r>
      <w:r w:rsidR="00AC3F48">
        <w:rPr>
          <w:rFonts w:asciiTheme="minorHAnsi" w:hAnsiTheme="minorHAnsi"/>
          <w:sz w:val="22"/>
        </w:rPr>
        <w:t>,</w:t>
      </w:r>
      <w:r w:rsidRPr="00563EF2">
        <w:rPr>
          <w:rFonts w:asciiTheme="minorHAnsi" w:hAnsiTheme="minorHAnsi"/>
          <w:sz w:val="22"/>
        </w:rPr>
        <w:t xml:space="preserve"> przejawiające się </w:t>
      </w:r>
      <w:r w:rsidR="00AC3F48">
        <w:rPr>
          <w:rFonts w:asciiTheme="minorHAnsi" w:hAnsiTheme="minorHAnsi"/>
          <w:sz w:val="22"/>
        </w:rPr>
        <w:t>po</w:t>
      </w:r>
      <w:r w:rsidRPr="00563EF2">
        <w:rPr>
          <w:rFonts w:asciiTheme="minorHAnsi" w:hAnsiTheme="minorHAnsi"/>
          <w:sz w:val="22"/>
        </w:rPr>
        <w:t>przez występowanie zarówno okresów powodzi</w:t>
      </w:r>
      <w:r w:rsidR="00AC3F48">
        <w:rPr>
          <w:rFonts w:asciiTheme="minorHAnsi" w:hAnsiTheme="minorHAnsi"/>
          <w:sz w:val="22"/>
        </w:rPr>
        <w:t>,</w:t>
      </w:r>
      <w:r w:rsidRPr="00563EF2">
        <w:rPr>
          <w:rFonts w:asciiTheme="minorHAnsi" w:hAnsiTheme="minorHAnsi"/>
          <w:sz w:val="22"/>
        </w:rPr>
        <w:t xml:space="preserve"> jak i susz. Okres wegetacyjny rozpoczyna się wcześnie i trwa dłużej</w:t>
      </w:r>
      <w:r w:rsidR="00AC3F48">
        <w:rPr>
          <w:rFonts w:asciiTheme="minorHAnsi" w:hAnsiTheme="minorHAnsi"/>
          <w:sz w:val="22"/>
        </w:rPr>
        <w:t>,</w:t>
      </w:r>
      <w:r w:rsidRPr="00563EF2">
        <w:rPr>
          <w:rFonts w:asciiTheme="minorHAnsi" w:hAnsiTheme="minorHAnsi"/>
          <w:sz w:val="22"/>
        </w:rPr>
        <w:t xml:space="preserve"> niż w innych obszarach kraju. Powyższe uwarunkowania mają wpływ na ocenę warunków agroklimatyczn</w:t>
      </w:r>
      <w:r w:rsidR="0075212D">
        <w:rPr>
          <w:rFonts w:asciiTheme="minorHAnsi" w:hAnsiTheme="minorHAnsi"/>
          <w:sz w:val="22"/>
        </w:rPr>
        <w:t>ych w rejonie Legnicy</w:t>
      </w:r>
      <w:r w:rsidR="00AC3F48">
        <w:rPr>
          <w:rFonts w:asciiTheme="minorHAnsi" w:hAnsiTheme="minorHAnsi"/>
          <w:sz w:val="22"/>
        </w:rPr>
        <w:t>,</w:t>
      </w:r>
      <w:r w:rsidR="0075212D">
        <w:rPr>
          <w:rFonts w:asciiTheme="minorHAnsi" w:hAnsiTheme="minorHAnsi"/>
          <w:sz w:val="22"/>
        </w:rPr>
        <w:t xml:space="preserve"> jako jednych</w:t>
      </w:r>
      <w:r w:rsidRPr="00563EF2">
        <w:rPr>
          <w:rFonts w:asciiTheme="minorHAnsi" w:hAnsiTheme="minorHAnsi"/>
          <w:sz w:val="22"/>
        </w:rPr>
        <w:t xml:space="preserve"> z najkorzystniejszych w Polsce (96 punktów na 100), co sprzyja produkcji rolnej, a zwłaszcza uprawie warzyw</w:t>
      </w:r>
      <w:r w:rsidRPr="00563EF2">
        <w:rPr>
          <w:rStyle w:val="Odwoanieprzypisudolnego"/>
          <w:rFonts w:asciiTheme="minorHAnsi" w:hAnsiTheme="minorHAnsi"/>
          <w:sz w:val="22"/>
        </w:rPr>
        <w:footnoteReference w:id="40"/>
      </w:r>
      <w:r w:rsidR="002B2D51">
        <w:rPr>
          <w:rFonts w:asciiTheme="minorHAnsi" w:hAnsiTheme="minorHAnsi"/>
          <w:sz w:val="22"/>
        </w:rPr>
        <w:t>.</w:t>
      </w:r>
    </w:p>
    <w:p w:rsidR="0069309B" w:rsidRPr="00563EF2" w:rsidRDefault="0069309B" w:rsidP="00EC5484">
      <w:pPr>
        <w:rPr>
          <w:rFonts w:asciiTheme="minorHAnsi" w:hAnsiTheme="minorHAnsi"/>
          <w:sz w:val="22"/>
        </w:rPr>
      </w:pPr>
    </w:p>
    <w:p w:rsidR="00E63FE8" w:rsidRPr="00563EF2" w:rsidRDefault="00E63FE8" w:rsidP="00EC5484">
      <w:pPr>
        <w:pStyle w:val="Nagwek3"/>
      </w:pPr>
      <w:bookmarkStart w:id="59" w:name="_Toc399756345"/>
      <w:r w:rsidRPr="00563EF2">
        <w:t>Zanieczyszczenie powietrza</w:t>
      </w:r>
      <w:bookmarkEnd w:id="59"/>
    </w:p>
    <w:p w:rsidR="00DA45BE" w:rsidRPr="00563EF2" w:rsidRDefault="00DA45BE" w:rsidP="00FD7676">
      <w:pPr>
        <w:rPr>
          <w:rFonts w:asciiTheme="minorHAnsi" w:hAnsiTheme="minorHAnsi"/>
          <w:b/>
          <w:sz w:val="22"/>
        </w:rPr>
      </w:pPr>
    </w:p>
    <w:p w:rsidR="00E63FE8" w:rsidRPr="00563EF2" w:rsidRDefault="00E63FE8" w:rsidP="00FD7676">
      <w:pPr>
        <w:rPr>
          <w:rFonts w:asciiTheme="minorHAnsi" w:hAnsiTheme="minorHAnsi"/>
          <w:sz w:val="22"/>
        </w:rPr>
      </w:pPr>
      <w:r w:rsidRPr="00563EF2">
        <w:rPr>
          <w:rFonts w:asciiTheme="minorHAnsi" w:hAnsiTheme="minorHAnsi"/>
          <w:sz w:val="22"/>
        </w:rPr>
        <w:t xml:space="preserve">Na podstawie klasyfikacji strefowej województwa dolnośląskiego dla miasta Legnicy stwierdzono potrzebę opracowania programów ochrony powietrza (klasa C) ze względu na ochronę zdrowia ludzi (tab.). Dotyczyło to przekroczenia poziomów normatywnych następujących zanieczyszczeń: PM10, benzo(a)piren, PM2,5 i arsen. </w:t>
      </w:r>
    </w:p>
    <w:p w:rsidR="00E63FE8" w:rsidRPr="00563EF2" w:rsidRDefault="00E63FE8" w:rsidP="00FD7676">
      <w:pPr>
        <w:rPr>
          <w:rFonts w:asciiTheme="minorHAnsi" w:hAnsiTheme="minorHAnsi"/>
          <w:sz w:val="22"/>
        </w:rPr>
      </w:pPr>
    </w:p>
    <w:p w:rsidR="00E63FE8" w:rsidRPr="00C640C5" w:rsidRDefault="00E63FE8" w:rsidP="00FD7676">
      <w:pPr>
        <w:pStyle w:val="Legenda"/>
        <w:keepNext/>
        <w:spacing w:line="276" w:lineRule="auto"/>
        <w:rPr>
          <w:rFonts w:asciiTheme="minorHAnsi" w:hAnsiTheme="minorHAnsi"/>
          <w:sz w:val="20"/>
        </w:rPr>
      </w:pPr>
      <w:r w:rsidRPr="00C640C5">
        <w:rPr>
          <w:rFonts w:asciiTheme="minorHAnsi" w:hAnsiTheme="minorHAnsi"/>
          <w:sz w:val="20"/>
        </w:rPr>
        <w:t xml:space="preserve">Tabela </w:t>
      </w:r>
      <w:r w:rsidR="00017794" w:rsidRPr="00C640C5">
        <w:rPr>
          <w:rFonts w:asciiTheme="minorHAnsi" w:hAnsiTheme="minorHAnsi"/>
          <w:sz w:val="20"/>
        </w:rPr>
        <w:fldChar w:fldCharType="begin"/>
      </w:r>
      <w:r w:rsidRPr="00C640C5">
        <w:rPr>
          <w:rFonts w:asciiTheme="minorHAnsi" w:hAnsiTheme="minorHAnsi"/>
          <w:sz w:val="20"/>
        </w:rPr>
        <w:instrText xml:space="preserve"> SEQ Tabela \* ARABIC </w:instrText>
      </w:r>
      <w:r w:rsidR="00017794" w:rsidRPr="00C640C5">
        <w:rPr>
          <w:rFonts w:asciiTheme="minorHAnsi" w:hAnsiTheme="minorHAnsi"/>
          <w:sz w:val="20"/>
        </w:rPr>
        <w:fldChar w:fldCharType="separate"/>
      </w:r>
      <w:r w:rsidR="007B2916">
        <w:rPr>
          <w:rFonts w:asciiTheme="minorHAnsi" w:hAnsiTheme="minorHAnsi"/>
          <w:noProof/>
          <w:sz w:val="20"/>
        </w:rPr>
        <w:t>42</w:t>
      </w:r>
      <w:r w:rsidR="00017794" w:rsidRPr="00C640C5">
        <w:rPr>
          <w:rFonts w:asciiTheme="minorHAnsi" w:hAnsiTheme="minorHAnsi"/>
          <w:sz w:val="20"/>
        </w:rPr>
        <w:fldChar w:fldCharType="end"/>
      </w:r>
      <w:r w:rsidRPr="00C640C5">
        <w:rPr>
          <w:rFonts w:asciiTheme="minorHAnsi" w:hAnsiTheme="minorHAnsi"/>
          <w:sz w:val="20"/>
        </w:rPr>
        <w:t>. Wynikowe klasy stref dla poszczególnych zanieczyszczeń w 2011 r., uzyskane w ocenie rocznej dokonanej z uwzględnieniem kryteriów ustanowionych w celu ochrony zdrowia ludzi.</w:t>
      </w:r>
    </w:p>
    <w:tbl>
      <w:tblPr>
        <w:tblW w:w="10580" w:type="dxa"/>
        <w:tblInd w:w="-752" w:type="dxa"/>
        <w:tblCellMar>
          <w:left w:w="0" w:type="dxa"/>
          <w:right w:w="0" w:type="dxa"/>
        </w:tblCellMar>
        <w:tblLook w:val="04A0" w:firstRow="1" w:lastRow="0" w:firstColumn="1" w:lastColumn="0" w:noHBand="0" w:noVBand="1"/>
      </w:tblPr>
      <w:tblGrid>
        <w:gridCol w:w="2702"/>
        <w:gridCol w:w="657"/>
        <w:gridCol w:w="657"/>
        <w:gridCol w:w="659"/>
        <w:gridCol w:w="655"/>
        <w:gridCol w:w="658"/>
        <w:gridCol w:w="655"/>
        <w:gridCol w:w="655"/>
        <w:gridCol w:w="655"/>
        <w:gridCol w:w="655"/>
        <w:gridCol w:w="655"/>
        <w:gridCol w:w="658"/>
        <w:gridCol w:w="659"/>
      </w:tblGrid>
      <w:tr w:rsidR="00E63FE8" w:rsidRPr="00563EF2" w:rsidTr="00E63FE8">
        <w:trPr>
          <w:trHeight w:val="563"/>
        </w:trPr>
        <w:tc>
          <w:tcPr>
            <w:tcW w:w="2702" w:type="dxa"/>
            <w:vMerge w:val="restar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63FE8" w:rsidRPr="00563EF2" w:rsidRDefault="00E63FE8" w:rsidP="00FD7676">
            <w:pPr>
              <w:rPr>
                <w:rFonts w:asciiTheme="minorHAnsi" w:hAnsiTheme="minorHAnsi"/>
              </w:rPr>
            </w:pPr>
            <w:r w:rsidRPr="00563EF2">
              <w:rPr>
                <w:rFonts w:asciiTheme="minorHAnsi" w:hAnsiTheme="minorHAnsi"/>
                <w:b/>
                <w:bCs/>
                <w:sz w:val="22"/>
              </w:rPr>
              <w:t> </w:t>
            </w:r>
          </w:p>
          <w:p w:rsidR="001C6624" w:rsidRPr="00563EF2" w:rsidRDefault="00E63FE8" w:rsidP="00FD7676">
            <w:pPr>
              <w:rPr>
                <w:rFonts w:asciiTheme="minorHAnsi" w:hAnsiTheme="minorHAnsi"/>
              </w:rPr>
            </w:pPr>
            <w:r w:rsidRPr="00563EF2">
              <w:rPr>
                <w:rFonts w:asciiTheme="minorHAnsi" w:hAnsiTheme="minorHAnsi"/>
                <w:b/>
                <w:bCs/>
                <w:sz w:val="22"/>
              </w:rPr>
              <w:t>Nazwa strefy</w:t>
            </w:r>
          </w:p>
        </w:tc>
        <w:tc>
          <w:tcPr>
            <w:tcW w:w="7878" w:type="dxa"/>
            <w:gridSpan w:val="1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 xml:space="preserve">Symbol klasy wynikowej dla poszczególnych zanieczyszczeń dla obszaru całej strefy </w:t>
            </w:r>
          </w:p>
        </w:tc>
      </w:tr>
      <w:tr w:rsidR="00E63FE8" w:rsidRPr="00563EF2" w:rsidTr="00E63FE8">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3FE8" w:rsidRPr="00563EF2" w:rsidRDefault="00E63FE8" w:rsidP="00FD7676">
            <w:pPr>
              <w:rPr>
                <w:rFonts w:asciiTheme="minorHAnsi" w:hAnsiTheme="minorHAnsi"/>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SO2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NO2</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Pm10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Pb</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C6H6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CO</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O3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AS</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Cd</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Ni</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B(a)P</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PM2,5</w:t>
            </w:r>
          </w:p>
        </w:tc>
      </w:tr>
      <w:tr w:rsidR="00E63FE8" w:rsidRPr="00563EF2" w:rsidTr="00E63FE8">
        <w:trPr>
          <w:trHeight w:val="142"/>
        </w:trPr>
        <w:tc>
          <w:tcPr>
            <w:tcW w:w="2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Aglomeracja wrocławska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r>
      <w:tr w:rsidR="00E63FE8" w:rsidRPr="00563EF2" w:rsidTr="00E63FE8">
        <w:trPr>
          <w:trHeight w:val="142"/>
        </w:trPr>
        <w:tc>
          <w:tcPr>
            <w:tcW w:w="2702" w:type="dxa"/>
            <w:tcBorders>
              <w:top w:val="single" w:sz="4" w:space="0" w:color="000000"/>
              <w:left w:val="single" w:sz="4" w:space="0" w:color="000000"/>
              <w:bottom w:val="single" w:sz="4" w:space="0" w:color="000000"/>
              <w:right w:val="single" w:sz="4" w:space="0" w:color="000000"/>
            </w:tcBorders>
            <w:shd w:val="clear" w:color="auto" w:fill="E46C0A"/>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Legnica</w:t>
            </w:r>
          </w:p>
        </w:tc>
        <w:tc>
          <w:tcPr>
            <w:tcW w:w="657"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7"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9"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9" w:type="dxa"/>
            <w:tcBorders>
              <w:top w:val="single" w:sz="4" w:space="0" w:color="000000"/>
              <w:left w:val="single" w:sz="4" w:space="0" w:color="000000"/>
              <w:bottom w:val="single" w:sz="4" w:space="0" w:color="000000"/>
              <w:right w:val="single" w:sz="4" w:space="0" w:color="000000"/>
            </w:tcBorders>
            <w:shd w:val="clear" w:color="auto" w:fill="FCD5B5"/>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r>
      <w:tr w:rsidR="00E63FE8" w:rsidRPr="00563EF2" w:rsidTr="00E63FE8">
        <w:trPr>
          <w:trHeight w:val="142"/>
        </w:trPr>
        <w:tc>
          <w:tcPr>
            <w:tcW w:w="2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 xml:space="preserve">Wałbrzych </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r>
      <w:tr w:rsidR="00E63FE8" w:rsidRPr="00563EF2" w:rsidTr="00E63FE8">
        <w:trPr>
          <w:trHeight w:val="142"/>
        </w:trPr>
        <w:tc>
          <w:tcPr>
            <w:tcW w:w="2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b/>
                <w:bCs/>
                <w:sz w:val="22"/>
              </w:rPr>
              <w:t>Strefa dolnośląska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C</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A</w:t>
            </w:r>
          </w:p>
        </w:tc>
      </w:tr>
      <w:tr w:rsidR="00E63FE8" w:rsidRPr="00563EF2" w:rsidTr="00E63FE8">
        <w:trPr>
          <w:trHeight w:val="280"/>
        </w:trPr>
        <w:tc>
          <w:tcPr>
            <w:tcW w:w="10580" w:type="dxa"/>
            <w:gridSpan w:val="13"/>
            <w:tcBorders>
              <w:top w:val="single" w:sz="4" w:space="0" w:color="000000"/>
              <w:left w:val="nil"/>
              <w:bottom w:val="nil"/>
              <w:right w:val="nil"/>
            </w:tcBorders>
            <w:shd w:val="clear" w:color="auto" w:fill="auto"/>
            <w:tcMar>
              <w:top w:w="9" w:type="dxa"/>
              <w:left w:w="9" w:type="dxa"/>
              <w:bottom w:w="0" w:type="dxa"/>
              <w:right w:w="9" w:type="dxa"/>
            </w:tcMar>
            <w:vAlign w:val="bottom"/>
            <w:hideMark/>
          </w:tcPr>
          <w:p w:rsidR="001C6624" w:rsidRPr="00563EF2" w:rsidRDefault="00E63FE8" w:rsidP="00FD7676">
            <w:pPr>
              <w:rPr>
                <w:rFonts w:asciiTheme="minorHAnsi" w:hAnsiTheme="minorHAnsi"/>
              </w:rPr>
            </w:pPr>
            <w:r w:rsidRPr="00563EF2">
              <w:rPr>
                <w:rFonts w:asciiTheme="minorHAnsi" w:hAnsiTheme="minorHAnsi"/>
                <w:sz w:val="22"/>
              </w:rPr>
              <w:t>Skróty: C- przekroczenie poziomów normatywnych; A - brak przekroczeń</w:t>
            </w:r>
          </w:p>
        </w:tc>
      </w:tr>
    </w:tbl>
    <w:p w:rsidR="00E63FE8" w:rsidRPr="00700661" w:rsidRDefault="00E63FE8" w:rsidP="00FD7676">
      <w:pPr>
        <w:rPr>
          <w:rFonts w:asciiTheme="minorHAnsi" w:hAnsiTheme="minorHAnsi"/>
          <w:sz w:val="20"/>
        </w:rPr>
      </w:pPr>
      <w:r w:rsidRPr="00700661">
        <w:rPr>
          <w:rFonts w:asciiTheme="minorHAnsi" w:hAnsiTheme="minorHAnsi"/>
          <w:sz w:val="20"/>
        </w:rPr>
        <w:t xml:space="preserve">Źródło: </w:t>
      </w:r>
      <w:r w:rsidRPr="00700661">
        <w:rPr>
          <w:rFonts w:asciiTheme="minorHAnsi" w:hAnsiTheme="minorHAnsi"/>
          <w:i/>
          <w:sz w:val="20"/>
        </w:rPr>
        <w:t>Studium uwarunkowań i kierunków zagospodarowania przestrzennego Miasta Legnicy.</w:t>
      </w:r>
      <w:r w:rsidRPr="00700661">
        <w:rPr>
          <w:rFonts w:asciiTheme="minorHAnsi" w:hAnsiTheme="minorHAnsi"/>
          <w:sz w:val="20"/>
        </w:rPr>
        <w:t xml:space="preserve"> </w:t>
      </w:r>
    </w:p>
    <w:p w:rsidR="00E63FE8" w:rsidRPr="00563EF2" w:rsidRDefault="00E63FE8" w:rsidP="00FD7676">
      <w:pPr>
        <w:rPr>
          <w:rFonts w:asciiTheme="minorHAnsi" w:hAnsiTheme="minorHAnsi"/>
          <w:sz w:val="22"/>
        </w:rPr>
      </w:pPr>
    </w:p>
    <w:p w:rsidR="00E63FE8" w:rsidRPr="00563EF2" w:rsidRDefault="00E63FE8" w:rsidP="00FD7676">
      <w:pPr>
        <w:rPr>
          <w:rFonts w:asciiTheme="minorHAnsi" w:hAnsiTheme="minorHAnsi"/>
          <w:sz w:val="22"/>
        </w:rPr>
      </w:pPr>
      <w:r w:rsidRPr="00563EF2">
        <w:rPr>
          <w:rFonts w:asciiTheme="minorHAnsi" w:hAnsiTheme="minorHAnsi"/>
          <w:i/>
          <w:iCs/>
          <w:sz w:val="22"/>
        </w:rPr>
        <w:t xml:space="preserve">Program ochrony powietrza dla województwa dolnośląskiego </w:t>
      </w:r>
      <w:r w:rsidRPr="00563EF2">
        <w:rPr>
          <w:rFonts w:asciiTheme="minorHAnsi" w:hAnsiTheme="minorHAnsi"/>
          <w:iCs/>
          <w:sz w:val="22"/>
        </w:rPr>
        <w:t>z 2010</w:t>
      </w:r>
      <w:r w:rsidRPr="00563EF2">
        <w:rPr>
          <w:rFonts w:asciiTheme="minorHAnsi" w:hAnsiTheme="minorHAnsi"/>
          <w:sz w:val="22"/>
        </w:rPr>
        <w:t xml:space="preserve"> r.za jeden z głównych celów strategiczny</w:t>
      </w:r>
      <w:r w:rsidR="00AC3F48">
        <w:rPr>
          <w:rFonts w:asciiTheme="minorHAnsi" w:hAnsiTheme="minorHAnsi"/>
          <w:sz w:val="22"/>
        </w:rPr>
        <w:t>ch</w:t>
      </w:r>
      <w:r w:rsidRPr="00563EF2">
        <w:rPr>
          <w:rFonts w:asciiTheme="minorHAnsi" w:hAnsiTheme="minorHAnsi"/>
          <w:sz w:val="22"/>
        </w:rPr>
        <w:t xml:space="preserve"> wskazał: „</w:t>
      </w:r>
      <w:r w:rsidRPr="00563EF2">
        <w:rPr>
          <w:rFonts w:asciiTheme="minorHAnsi" w:hAnsiTheme="minorHAnsi"/>
          <w:bCs/>
          <w:sz w:val="22"/>
        </w:rPr>
        <w:t>osiągnięcie zgodności z poziomem docel</w:t>
      </w:r>
      <w:r w:rsidR="00B73014">
        <w:rPr>
          <w:rFonts w:asciiTheme="minorHAnsi" w:hAnsiTheme="minorHAnsi"/>
          <w:bCs/>
          <w:sz w:val="22"/>
        </w:rPr>
        <w:t>owym dla arsenu do roku 2012, w </w:t>
      </w:r>
      <w:r w:rsidRPr="00563EF2">
        <w:rPr>
          <w:rFonts w:asciiTheme="minorHAnsi" w:hAnsiTheme="minorHAnsi"/>
          <w:bCs/>
          <w:sz w:val="22"/>
        </w:rPr>
        <w:t xml:space="preserve">mieście Legnica (na ile jest to możliwe, za pomocą ekonomicznie uzasadnionych działań technicznych i technologicznych)” </w:t>
      </w:r>
      <w:r w:rsidR="009C2839" w:rsidRPr="00563EF2">
        <w:rPr>
          <w:rFonts w:asciiTheme="minorHAnsi" w:hAnsiTheme="minorHAnsi"/>
          <w:sz w:val="22"/>
        </w:rPr>
        <w:t xml:space="preserve">. Dokument ten </w:t>
      </w:r>
      <w:r w:rsidR="00BE3F1A" w:rsidRPr="00563EF2">
        <w:rPr>
          <w:rFonts w:asciiTheme="minorHAnsi" w:hAnsiTheme="minorHAnsi"/>
          <w:sz w:val="22"/>
        </w:rPr>
        <w:t>wskazał na konieczność ograniczenia emisji arsenu ze źródeł przemysłowych, a w szcze</w:t>
      </w:r>
      <w:r w:rsidR="00563EF2" w:rsidRPr="00563EF2">
        <w:rPr>
          <w:rFonts w:asciiTheme="minorHAnsi" w:hAnsiTheme="minorHAnsi"/>
          <w:sz w:val="22"/>
        </w:rPr>
        <w:t>gólności z Huty Miedzi Le</w:t>
      </w:r>
      <w:r w:rsidR="00BE3F1A" w:rsidRPr="00563EF2">
        <w:rPr>
          <w:rFonts w:asciiTheme="minorHAnsi" w:hAnsiTheme="minorHAnsi"/>
          <w:sz w:val="22"/>
        </w:rPr>
        <w:t>gnica oraz wyznaczył wartość docelową efektu ekologicznego z indywidualnych źródeł grzewczych na poziomie 0,0127 Mg/rok. Dla pyłu PM10 wartość docelowa efektu ekologicznego została określo</w:t>
      </w:r>
      <w:r w:rsidR="00B73014">
        <w:rPr>
          <w:rFonts w:asciiTheme="minorHAnsi" w:hAnsiTheme="minorHAnsi"/>
          <w:sz w:val="22"/>
        </w:rPr>
        <w:t>na na poziomie 104,23 Mg/rok, a </w:t>
      </w:r>
      <w:r w:rsidR="00BE3F1A" w:rsidRPr="00563EF2">
        <w:rPr>
          <w:rFonts w:asciiTheme="minorHAnsi" w:hAnsiTheme="minorHAnsi"/>
          <w:sz w:val="22"/>
        </w:rPr>
        <w:t xml:space="preserve">benzo(a)pirenu na 0,0631 Mg/rok. </w:t>
      </w:r>
    </w:p>
    <w:p w:rsidR="00BE3F1A" w:rsidRPr="00563EF2" w:rsidRDefault="00BE3F1A" w:rsidP="00FD7676">
      <w:pPr>
        <w:rPr>
          <w:rFonts w:asciiTheme="minorHAnsi" w:hAnsiTheme="minorHAnsi"/>
          <w:sz w:val="22"/>
        </w:rPr>
      </w:pPr>
    </w:p>
    <w:p w:rsidR="00DA45BE" w:rsidRPr="00563EF2" w:rsidRDefault="00DA45BE" w:rsidP="00FD7676">
      <w:pPr>
        <w:rPr>
          <w:rFonts w:asciiTheme="minorHAnsi" w:hAnsiTheme="minorHAnsi"/>
          <w:sz w:val="22"/>
        </w:rPr>
      </w:pPr>
      <w:r w:rsidRPr="00563EF2">
        <w:rPr>
          <w:rFonts w:asciiTheme="minorHAnsi" w:hAnsiTheme="minorHAnsi"/>
          <w:sz w:val="22"/>
        </w:rPr>
        <w:t>Kluczowym problemem dla</w:t>
      </w:r>
      <w:r w:rsidR="00BE3F1A" w:rsidRPr="00563EF2">
        <w:rPr>
          <w:rFonts w:asciiTheme="minorHAnsi" w:hAnsiTheme="minorHAnsi"/>
          <w:sz w:val="22"/>
        </w:rPr>
        <w:t xml:space="preserve"> poprawy</w:t>
      </w:r>
      <w:r w:rsidRPr="00563EF2">
        <w:rPr>
          <w:rFonts w:asciiTheme="minorHAnsi" w:hAnsiTheme="minorHAnsi"/>
          <w:sz w:val="22"/>
        </w:rPr>
        <w:t xml:space="preserve"> jakości powietrza miasta jest</w:t>
      </w:r>
      <w:r w:rsidR="00BE3F1A" w:rsidRPr="00563EF2">
        <w:rPr>
          <w:rFonts w:asciiTheme="minorHAnsi" w:hAnsiTheme="minorHAnsi"/>
          <w:sz w:val="22"/>
        </w:rPr>
        <w:t xml:space="preserve"> zmniejszenie  zjawiska</w:t>
      </w:r>
      <w:r w:rsidRPr="00563EF2">
        <w:rPr>
          <w:rFonts w:asciiTheme="minorHAnsi" w:hAnsiTheme="minorHAnsi"/>
          <w:sz w:val="22"/>
        </w:rPr>
        <w:t xml:space="preserve"> tzw. niskiej emisji. </w:t>
      </w:r>
      <w:r w:rsidR="00BE3F1A" w:rsidRPr="00563EF2">
        <w:rPr>
          <w:rFonts w:asciiTheme="minorHAnsi" w:hAnsiTheme="minorHAnsi"/>
          <w:sz w:val="22"/>
        </w:rPr>
        <w:t xml:space="preserve">Władze miasta świadome tego wyzwania przyjęły na początku 2014 r. </w:t>
      </w:r>
      <w:r w:rsidR="00BE3F1A" w:rsidRPr="00563EF2">
        <w:rPr>
          <w:rFonts w:asciiTheme="minorHAnsi" w:hAnsiTheme="minorHAnsi"/>
          <w:i/>
          <w:sz w:val="22"/>
        </w:rPr>
        <w:t>Program ograniczenia niskiej emisji dla Miasta Legnicy</w:t>
      </w:r>
      <w:r w:rsidR="008D0B72">
        <w:rPr>
          <w:rFonts w:asciiTheme="minorHAnsi" w:hAnsiTheme="minorHAnsi"/>
          <w:sz w:val="22"/>
        </w:rPr>
        <w:t>. Celem dokumentu b</w:t>
      </w:r>
      <w:r w:rsidR="00BE3F1A" w:rsidRPr="00563EF2">
        <w:rPr>
          <w:rFonts w:asciiTheme="minorHAnsi" w:hAnsiTheme="minorHAnsi"/>
          <w:sz w:val="22"/>
        </w:rPr>
        <w:t xml:space="preserve">yło określenie planu działań w zakresie obniżenia poziomu niskiej emisji spowodowanej spalaniem paliw w indywidualnych źródłach ciepła. </w:t>
      </w:r>
    </w:p>
    <w:p w:rsidR="00052DC4" w:rsidRPr="00563EF2" w:rsidRDefault="00BE3F1A" w:rsidP="00FD7676">
      <w:pPr>
        <w:rPr>
          <w:rFonts w:asciiTheme="minorHAnsi" w:hAnsiTheme="minorHAnsi"/>
          <w:sz w:val="22"/>
        </w:rPr>
      </w:pPr>
      <w:r w:rsidRPr="00563EF2">
        <w:rPr>
          <w:rFonts w:asciiTheme="minorHAnsi" w:hAnsiTheme="minorHAnsi"/>
          <w:sz w:val="22"/>
        </w:rPr>
        <w:t xml:space="preserve">Program ten, podobnie jak inne dokumenty wykazał konieczność </w:t>
      </w:r>
      <w:r w:rsidR="00374A1D" w:rsidRPr="00563EF2">
        <w:rPr>
          <w:rFonts w:asciiTheme="minorHAnsi" w:hAnsiTheme="minorHAnsi"/>
          <w:sz w:val="22"/>
        </w:rPr>
        <w:t>redukcji pyłu zawieszonego PM10, benzo(a)piranu oraz arsenu. W ramach prac nad dokumentem wykonano inwentaryzacje 957 bu</w:t>
      </w:r>
      <w:r w:rsidR="008D0B72">
        <w:rPr>
          <w:rFonts w:asciiTheme="minorHAnsi" w:hAnsiTheme="minorHAnsi"/>
          <w:sz w:val="22"/>
        </w:rPr>
        <w:t>dynków, celem identyfikacji lok</w:t>
      </w:r>
      <w:r w:rsidR="00374A1D" w:rsidRPr="00563EF2">
        <w:rPr>
          <w:rFonts w:asciiTheme="minorHAnsi" w:hAnsiTheme="minorHAnsi"/>
          <w:sz w:val="22"/>
        </w:rPr>
        <w:t>a</w:t>
      </w:r>
      <w:r w:rsidR="008D0B72">
        <w:rPr>
          <w:rFonts w:asciiTheme="minorHAnsi" w:hAnsiTheme="minorHAnsi"/>
          <w:sz w:val="22"/>
        </w:rPr>
        <w:t>l</w:t>
      </w:r>
      <w:r w:rsidR="00374A1D" w:rsidRPr="00563EF2">
        <w:rPr>
          <w:rFonts w:asciiTheme="minorHAnsi" w:hAnsiTheme="minorHAnsi"/>
          <w:sz w:val="22"/>
        </w:rPr>
        <w:t>nych węglowych źródeł ogrzewania, które mogą mieć wpływ na wielkość niskiej emisji.</w:t>
      </w:r>
    </w:p>
    <w:p w:rsidR="00374A1D" w:rsidRPr="00563EF2" w:rsidRDefault="00374A1D" w:rsidP="00FD7676">
      <w:pPr>
        <w:rPr>
          <w:rFonts w:asciiTheme="minorHAnsi" w:hAnsiTheme="minorHAnsi"/>
          <w:sz w:val="22"/>
        </w:rPr>
      </w:pPr>
      <w:r w:rsidRPr="00563EF2">
        <w:rPr>
          <w:rFonts w:asciiTheme="minorHAnsi" w:hAnsiTheme="minorHAnsi"/>
          <w:sz w:val="22"/>
        </w:rPr>
        <w:t>W wyniku analiz kosztów inwestycyjnych i eksploatacyjnych przyjęto możliwe dwa warianty ograniczenia niskiej emisji:</w:t>
      </w:r>
    </w:p>
    <w:p w:rsidR="00374A1D" w:rsidRPr="00563EF2" w:rsidRDefault="00374A1D" w:rsidP="00E6635A">
      <w:pPr>
        <w:pStyle w:val="Akapitzlist"/>
        <w:numPr>
          <w:ilvl w:val="0"/>
          <w:numId w:val="34"/>
        </w:numPr>
        <w:rPr>
          <w:rFonts w:asciiTheme="minorHAnsi" w:hAnsiTheme="minorHAnsi"/>
          <w:sz w:val="22"/>
        </w:rPr>
      </w:pPr>
      <w:r w:rsidRPr="00563EF2">
        <w:rPr>
          <w:rFonts w:asciiTheme="minorHAnsi" w:hAnsiTheme="minorHAnsi"/>
          <w:sz w:val="22"/>
        </w:rPr>
        <w:t>poprzez przyłączenie budynków do miejskiej sieci ciepłowniczej</w:t>
      </w:r>
      <w:r w:rsidR="00AC3F48">
        <w:rPr>
          <w:rFonts w:asciiTheme="minorHAnsi" w:hAnsiTheme="minorHAnsi"/>
          <w:sz w:val="22"/>
        </w:rPr>
        <w:t>,</w:t>
      </w:r>
      <w:r w:rsidRPr="00563EF2">
        <w:rPr>
          <w:rFonts w:asciiTheme="minorHAnsi" w:hAnsiTheme="minorHAnsi"/>
          <w:sz w:val="22"/>
        </w:rPr>
        <w:t xml:space="preserve"> wraz z budową węzła cieplnego</w:t>
      </w:r>
      <w:r w:rsidR="00AC3F48">
        <w:rPr>
          <w:rFonts w:asciiTheme="minorHAnsi" w:hAnsiTheme="minorHAnsi"/>
          <w:sz w:val="22"/>
        </w:rPr>
        <w:t>,</w:t>
      </w:r>
      <w:r w:rsidRPr="00563EF2">
        <w:rPr>
          <w:rFonts w:asciiTheme="minorHAnsi" w:hAnsiTheme="minorHAnsi"/>
          <w:sz w:val="22"/>
        </w:rPr>
        <w:t xml:space="preserve"> wraz z instalacją wewnętrzną,</w:t>
      </w:r>
    </w:p>
    <w:p w:rsidR="00374A1D" w:rsidRPr="00052DC4" w:rsidRDefault="00374A1D" w:rsidP="00E6635A">
      <w:pPr>
        <w:pStyle w:val="Akapitzlist"/>
        <w:numPr>
          <w:ilvl w:val="0"/>
          <w:numId w:val="34"/>
        </w:numPr>
        <w:rPr>
          <w:rFonts w:asciiTheme="minorHAnsi" w:hAnsiTheme="minorHAnsi"/>
          <w:sz w:val="22"/>
        </w:rPr>
      </w:pPr>
      <w:r w:rsidRPr="00563EF2">
        <w:rPr>
          <w:rFonts w:asciiTheme="minorHAnsi" w:hAnsiTheme="minorHAnsi"/>
          <w:sz w:val="22"/>
        </w:rPr>
        <w:t>poprzez przyłączenie budynków do sieci gazowniczej</w:t>
      </w:r>
      <w:r w:rsidR="00AC3F48">
        <w:rPr>
          <w:rFonts w:asciiTheme="minorHAnsi" w:hAnsiTheme="minorHAnsi"/>
          <w:sz w:val="22"/>
        </w:rPr>
        <w:t>,</w:t>
      </w:r>
      <w:r w:rsidRPr="00563EF2">
        <w:rPr>
          <w:rFonts w:asciiTheme="minorHAnsi" w:hAnsiTheme="minorHAnsi"/>
          <w:sz w:val="22"/>
        </w:rPr>
        <w:t xml:space="preserve"> wraz z montażem kotła gazowego oraz instalacją </w:t>
      </w:r>
      <w:r w:rsidR="00052DC4">
        <w:rPr>
          <w:rFonts w:asciiTheme="minorHAnsi" w:hAnsiTheme="minorHAnsi"/>
          <w:sz w:val="22"/>
        </w:rPr>
        <w:t>wewnętrzną</w:t>
      </w:r>
      <w:r w:rsidR="00AC3F48">
        <w:rPr>
          <w:rFonts w:asciiTheme="minorHAnsi" w:hAnsiTheme="minorHAnsi"/>
          <w:sz w:val="22"/>
        </w:rPr>
        <w:t>,</w:t>
      </w:r>
      <w:r w:rsidR="00052DC4">
        <w:rPr>
          <w:rFonts w:asciiTheme="minorHAnsi" w:hAnsiTheme="minorHAnsi"/>
          <w:sz w:val="22"/>
        </w:rPr>
        <w:t xml:space="preserve"> </w:t>
      </w:r>
      <w:r w:rsidRPr="00052DC4">
        <w:rPr>
          <w:rFonts w:asciiTheme="minorHAnsi" w:hAnsiTheme="minorHAnsi"/>
          <w:sz w:val="22"/>
        </w:rPr>
        <w:t>przy jednoczesnej termomodernizacji budynków. Oba warianty charakteryzuje podobna skuteczność, zakłada się, iż działania te mogą wytworzyć efekt ekologiczny w następujących wartościach:</w:t>
      </w:r>
    </w:p>
    <w:p w:rsidR="00374A1D" w:rsidRPr="00563EF2" w:rsidRDefault="00374A1D" w:rsidP="00E6635A">
      <w:pPr>
        <w:pStyle w:val="Akapitzlist"/>
        <w:numPr>
          <w:ilvl w:val="0"/>
          <w:numId w:val="35"/>
        </w:numPr>
        <w:rPr>
          <w:rFonts w:asciiTheme="minorHAnsi" w:hAnsiTheme="minorHAnsi"/>
          <w:sz w:val="22"/>
        </w:rPr>
      </w:pPr>
      <w:r w:rsidRPr="00563EF2">
        <w:rPr>
          <w:rFonts w:asciiTheme="minorHAnsi" w:hAnsiTheme="minorHAnsi"/>
          <w:sz w:val="22"/>
        </w:rPr>
        <w:t>PM10 – 87,67 Mg/rok,</w:t>
      </w:r>
    </w:p>
    <w:p w:rsidR="00374A1D" w:rsidRPr="00563EF2" w:rsidRDefault="00374A1D" w:rsidP="00E6635A">
      <w:pPr>
        <w:pStyle w:val="Akapitzlist"/>
        <w:numPr>
          <w:ilvl w:val="0"/>
          <w:numId w:val="35"/>
        </w:numPr>
        <w:rPr>
          <w:rFonts w:asciiTheme="minorHAnsi" w:hAnsiTheme="minorHAnsi"/>
          <w:sz w:val="22"/>
        </w:rPr>
      </w:pPr>
      <w:r w:rsidRPr="00563EF2">
        <w:rPr>
          <w:rFonts w:asciiTheme="minorHAnsi" w:hAnsiTheme="minorHAnsi"/>
          <w:sz w:val="22"/>
        </w:rPr>
        <w:t>B-a-P -54,32 Mg/rok,</w:t>
      </w:r>
    </w:p>
    <w:p w:rsidR="00700661" w:rsidRPr="00700661" w:rsidRDefault="00374A1D" w:rsidP="00700661">
      <w:pPr>
        <w:pStyle w:val="Akapitzlist"/>
        <w:numPr>
          <w:ilvl w:val="0"/>
          <w:numId w:val="35"/>
        </w:numPr>
        <w:rPr>
          <w:rFonts w:asciiTheme="minorHAnsi" w:hAnsiTheme="minorHAnsi"/>
          <w:sz w:val="22"/>
        </w:rPr>
      </w:pPr>
      <w:r w:rsidRPr="00563EF2">
        <w:rPr>
          <w:rFonts w:asciiTheme="minorHAnsi" w:hAnsiTheme="minorHAnsi"/>
          <w:sz w:val="22"/>
        </w:rPr>
        <w:t>Arsen – 10,47 Mg/rok</w:t>
      </w:r>
      <w:r w:rsidR="00D60066" w:rsidRPr="00563EF2">
        <w:rPr>
          <w:rStyle w:val="Odwoanieprzypisudolnego"/>
          <w:rFonts w:asciiTheme="minorHAnsi" w:hAnsiTheme="minorHAnsi"/>
          <w:sz w:val="22"/>
        </w:rPr>
        <w:footnoteReference w:id="41"/>
      </w:r>
    </w:p>
    <w:p w:rsidR="00563EF2" w:rsidRPr="00563EF2" w:rsidRDefault="00563EF2" w:rsidP="00FD7676">
      <w:pPr>
        <w:rPr>
          <w:rFonts w:asciiTheme="minorHAnsi" w:hAnsiTheme="minorHAnsi"/>
          <w:sz w:val="22"/>
        </w:rPr>
      </w:pPr>
      <w:r>
        <w:rPr>
          <w:rFonts w:asciiTheme="minorHAnsi" w:hAnsiTheme="minorHAnsi"/>
          <w:sz w:val="22"/>
        </w:rPr>
        <w:t>Obok programu modernizacji konieczna jest polityka edukacyjna skierowana do mieszkańców w celu zwiększenia świadomości dotyczącej skutków palenia w piecach węglowych niewłaściwym opałem, który prowadzi do uwalniania się substancji wysoce szkodliwych dla zdrowia i życia mieszkańców.</w:t>
      </w:r>
    </w:p>
    <w:p w:rsidR="00C26DD7" w:rsidRPr="00563EF2" w:rsidRDefault="00C26DD7" w:rsidP="00EC5484">
      <w:pPr>
        <w:pStyle w:val="Nagwek3"/>
      </w:pPr>
      <w:bookmarkStart w:id="60" w:name="_Toc399756346"/>
      <w:r w:rsidRPr="00563EF2">
        <w:t>Klimat akustyczny</w:t>
      </w:r>
      <w:bookmarkEnd w:id="60"/>
    </w:p>
    <w:p w:rsidR="00563EF2" w:rsidRPr="00563EF2" w:rsidRDefault="00563EF2" w:rsidP="00FD7676">
      <w:pPr>
        <w:rPr>
          <w:rFonts w:asciiTheme="minorHAnsi" w:hAnsiTheme="minorHAnsi"/>
          <w:b/>
          <w:sz w:val="22"/>
        </w:rPr>
      </w:pPr>
    </w:p>
    <w:p w:rsidR="00950AA7" w:rsidRDefault="001E20B0" w:rsidP="00950AA7">
      <w:pPr>
        <w:rPr>
          <w:rFonts w:asciiTheme="minorHAnsi" w:eastAsia="Times New Roman" w:hAnsiTheme="minorHAnsi" w:cs="Arial"/>
          <w:sz w:val="22"/>
          <w:lang w:eastAsia="pl-PL"/>
        </w:rPr>
      </w:pPr>
      <w:r>
        <w:rPr>
          <w:rFonts w:asciiTheme="minorHAnsi" w:eastAsia="Times New Roman" w:hAnsiTheme="minorHAnsi" w:cs="Arial"/>
          <w:sz w:val="22"/>
          <w:lang w:eastAsia="pl-PL"/>
        </w:rPr>
        <w:t>W 2012 r. opracowana</w:t>
      </w:r>
      <w:r w:rsidR="00C26DD7" w:rsidRPr="00563EF2">
        <w:rPr>
          <w:rFonts w:asciiTheme="minorHAnsi" w:eastAsia="Times New Roman" w:hAnsiTheme="minorHAnsi" w:cs="Arial"/>
          <w:sz w:val="22"/>
          <w:lang w:eastAsia="pl-PL"/>
        </w:rPr>
        <w:t xml:space="preserve"> został</w:t>
      </w:r>
      <w:r>
        <w:rPr>
          <w:rFonts w:asciiTheme="minorHAnsi" w:eastAsia="Times New Roman" w:hAnsiTheme="minorHAnsi" w:cs="Arial"/>
          <w:sz w:val="22"/>
          <w:lang w:eastAsia="pl-PL"/>
        </w:rPr>
        <w:t xml:space="preserve">a  </w:t>
      </w:r>
      <w:r w:rsidRPr="001E20B0">
        <w:rPr>
          <w:rFonts w:asciiTheme="minorHAnsi" w:eastAsia="Times New Roman" w:hAnsiTheme="minorHAnsi" w:cs="Arial"/>
          <w:i/>
          <w:sz w:val="22"/>
          <w:lang w:eastAsia="pl-PL"/>
        </w:rPr>
        <w:t>Mapa akustyczna</w:t>
      </w:r>
      <w:r w:rsidR="00C26DD7" w:rsidRPr="001E20B0">
        <w:rPr>
          <w:rFonts w:asciiTheme="minorHAnsi" w:eastAsia="Times New Roman" w:hAnsiTheme="minorHAnsi" w:cs="Arial"/>
          <w:i/>
          <w:sz w:val="22"/>
          <w:lang w:eastAsia="pl-PL"/>
        </w:rPr>
        <w:t xml:space="preserve"> Legnicy</w:t>
      </w:r>
      <w:r>
        <w:rPr>
          <w:rFonts w:asciiTheme="minorHAnsi" w:eastAsia="Times New Roman" w:hAnsiTheme="minorHAnsi" w:cs="Arial"/>
          <w:sz w:val="22"/>
          <w:lang w:eastAsia="pl-PL"/>
        </w:rPr>
        <w:t xml:space="preserve">, która stanowiła podstawę do sporządzenia </w:t>
      </w:r>
      <w:r w:rsidRPr="001E20B0">
        <w:rPr>
          <w:rFonts w:asciiTheme="minorHAnsi" w:eastAsia="Times New Roman" w:hAnsiTheme="minorHAnsi" w:cs="Arial"/>
          <w:i/>
          <w:sz w:val="22"/>
          <w:lang w:eastAsia="pl-PL"/>
        </w:rPr>
        <w:t>Programu ochrony środowiska przed hałasem dla miasta Legnicy na lata 2012-2017</w:t>
      </w:r>
      <w:r>
        <w:rPr>
          <w:rFonts w:asciiTheme="minorHAnsi" w:eastAsia="Times New Roman" w:hAnsiTheme="minorHAnsi" w:cs="Arial"/>
          <w:i/>
          <w:sz w:val="22"/>
          <w:lang w:eastAsia="pl-PL"/>
        </w:rPr>
        <w:t>.</w:t>
      </w:r>
      <w:r>
        <w:rPr>
          <w:rFonts w:asciiTheme="minorHAnsi" w:eastAsia="Times New Roman" w:hAnsiTheme="minorHAnsi" w:cs="Arial"/>
          <w:sz w:val="22"/>
          <w:lang w:eastAsia="pl-PL"/>
        </w:rPr>
        <w:t xml:space="preserve"> Mapa akustyczna w</w:t>
      </w:r>
      <w:r w:rsidR="00C26DD7" w:rsidRPr="00563EF2">
        <w:rPr>
          <w:rFonts w:asciiTheme="minorHAnsi" w:eastAsia="Times New Roman" w:hAnsiTheme="minorHAnsi" w:cs="Arial"/>
          <w:sz w:val="22"/>
          <w:lang w:eastAsia="pl-PL"/>
        </w:rPr>
        <w:t>ykazał</w:t>
      </w:r>
      <w:r>
        <w:rPr>
          <w:rFonts w:asciiTheme="minorHAnsi" w:eastAsia="Times New Roman" w:hAnsiTheme="minorHAnsi" w:cs="Arial"/>
          <w:sz w:val="22"/>
          <w:lang w:eastAsia="pl-PL"/>
        </w:rPr>
        <w:t>a</w:t>
      </w:r>
      <w:r w:rsidR="00C26DD7" w:rsidRPr="00563EF2">
        <w:rPr>
          <w:rFonts w:asciiTheme="minorHAnsi" w:eastAsia="Times New Roman" w:hAnsiTheme="minorHAnsi" w:cs="Arial"/>
          <w:sz w:val="22"/>
          <w:lang w:eastAsia="pl-PL"/>
        </w:rPr>
        <w:t>, iż</w:t>
      </w:r>
      <w:r w:rsidR="00950AA7">
        <w:rPr>
          <w:rFonts w:asciiTheme="minorHAnsi" w:eastAsia="Times New Roman" w:hAnsiTheme="minorHAnsi" w:cs="Arial"/>
          <w:sz w:val="22"/>
          <w:lang w:eastAsia="pl-PL"/>
        </w:rPr>
        <w:t xml:space="preserve"> klimat akustyczny Legnicy od roku 2007 uległ zdecydowanej poprawie, a</w:t>
      </w:r>
      <w:r w:rsidR="00C26DD7" w:rsidRPr="00563EF2">
        <w:rPr>
          <w:rFonts w:asciiTheme="minorHAnsi" w:eastAsia="Times New Roman" w:hAnsiTheme="minorHAnsi" w:cs="Arial"/>
          <w:sz w:val="22"/>
          <w:lang w:eastAsia="pl-PL"/>
        </w:rPr>
        <w:t xml:space="preserve"> przekroczenia </w:t>
      </w:r>
      <w:r w:rsidR="00C26DD7" w:rsidRPr="00C26DD7">
        <w:rPr>
          <w:rFonts w:asciiTheme="minorHAnsi" w:eastAsia="Times New Roman" w:hAnsiTheme="minorHAnsi" w:cs="Arial"/>
          <w:sz w:val="22"/>
          <w:lang w:eastAsia="pl-PL"/>
        </w:rPr>
        <w:t>wystę</w:t>
      </w:r>
      <w:r w:rsidR="00C26DD7" w:rsidRPr="00563EF2">
        <w:rPr>
          <w:rFonts w:asciiTheme="minorHAnsi" w:eastAsia="Times New Roman" w:hAnsiTheme="minorHAnsi" w:cs="Arial"/>
          <w:sz w:val="22"/>
          <w:lang w:eastAsia="pl-PL"/>
        </w:rPr>
        <w:t>pują tylko dla hałasu drogowego.</w:t>
      </w:r>
      <w:r w:rsidR="00950AA7">
        <w:rPr>
          <w:rFonts w:asciiTheme="minorHAnsi" w:eastAsia="Times New Roman" w:hAnsiTheme="minorHAnsi" w:cs="Arial"/>
          <w:sz w:val="22"/>
          <w:lang w:eastAsia="pl-PL"/>
        </w:rPr>
        <w:t xml:space="preserve"> </w:t>
      </w:r>
      <w:r w:rsidR="00950AA7" w:rsidRPr="00563EF2">
        <w:rPr>
          <w:rFonts w:asciiTheme="minorHAnsi" w:eastAsia="Times New Roman" w:hAnsiTheme="minorHAnsi" w:cs="Arial"/>
          <w:sz w:val="22"/>
          <w:lang w:eastAsia="pl-PL"/>
        </w:rPr>
        <w:t>W</w:t>
      </w:r>
      <w:r w:rsidR="00950AA7" w:rsidRPr="00C26DD7">
        <w:rPr>
          <w:rFonts w:asciiTheme="minorHAnsi" w:eastAsia="Times New Roman" w:hAnsiTheme="minorHAnsi" w:cs="Arial"/>
          <w:sz w:val="22"/>
          <w:lang w:eastAsia="pl-PL"/>
        </w:rPr>
        <w:t xml:space="preserve"> przypadku analiz hałasu kolejowego</w:t>
      </w:r>
      <w:r w:rsidR="00AC3F48">
        <w:rPr>
          <w:rFonts w:asciiTheme="minorHAnsi" w:eastAsia="Times New Roman" w:hAnsiTheme="minorHAnsi" w:cs="Arial"/>
          <w:sz w:val="22"/>
          <w:lang w:eastAsia="pl-PL"/>
        </w:rPr>
        <w:t>, nie</w:t>
      </w:r>
      <w:r w:rsidR="00950AA7" w:rsidRPr="00563EF2">
        <w:rPr>
          <w:rFonts w:asciiTheme="minorHAnsi" w:eastAsia="Times New Roman" w:hAnsiTheme="minorHAnsi" w:cs="Arial"/>
          <w:sz w:val="22"/>
          <w:lang w:eastAsia="pl-PL"/>
        </w:rPr>
        <w:t xml:space="preserve"> stwierdzono przekroczenia</w:t>
      </w:r>
      <w:r w:rsidR="00950AA7" w:rsidRPr="00C26DD7">
        <w:rPr>
          <w:rFonts w:asciiTheme="minorHAnsi" w:eastAsia="Times New Roman" w:hAnsiTheme="minorHAnsi" w:cs="Arial"/>
          <w:sz w:val="22"/>
          <w:lang w:eastAsia="pl-PL"/>
        </w:rPr>
        <w:t xml:space="preserve"> poziomów dopuszczalnych. </w:t>
      </w:r>
      <w:r w:rsidR="00950AA7" w:rsidRPr="00563EF2">
        <w:rPr>
          <w:rFonts w:asciiTheme="minorHAnsi" w:eastAsia="Times New Roman" w:hAnsiTheme="minorHAnsi" w:cs="Arial"/>
          <w:sz w:val="22"/>
          <w:lang w:eastAsia="pl-PL"/>
        </w:rPr>
        <w:t>Wykazano także, iż h</w:t>
      </w:r>
      <w:r w:rsidR="00950AA7" w:rsidRPr="00C26DD7">
        <w:rPr>
          <w:rFonts w:asciiTheme="minorHAnsi" w:eastAsia="Times New Roman" w:hAnsiTheme="minorHAnsi" w:cs="Arial"/>
          <w:sz w:val="22"/>
          <w:lang w:eastAsia="pl-PL"/>
        </w:rPr>
        <w:t>ałas</w:t>
      </w:r>
      <w:r w:rsidR="00950AA7" w:rsidRPr="00563EF2">
        <w:rPr>
          <w:rFonts w:asciiTheme="minorHAnsi" w:eastAsia="Times New Roman" w:hAnsiTheme="minorHAnsi" w:cs="Arial"/>
          <w:sz w:val="22"/>
          <w:lang w:eastAsia="pl-PL"/>
        </w:rPr>
        <w:t xml:space="preserve"> ze</w:t>
      </w:r>
      <w:r w:rsidR="00950AA7" w:rsidRPr="00C26DD7">
        <w:rPr>
          <w:rFonts w:asciiTheme="minorHAnsi" w:eastAsia="Times New Roman" w:hAnsiTheme="minorHAnsi" w:cs="Arial"/>
          <w:sz w:val="22"/>
          <w:lang w:eastAsia="pl-PL"/>
        </w:rPr>
        <w:t xml:space="preserve"> źródeł przemysłowych</w:t>
      </w:r>
      <w:r w:rsidR="00AC3F48">
        <w:rPr>
          <w:rFonts w:asciiTheme="minorHAnsi" w:eastAsia="Times New Roman" w:hAnsiTheme="minorHAnsi" w:cs="Arial"/>
          <w:sz w:val="22"/>
          <w:lang w:eastAsia="pl-PL"/>
        </w:rPr>
        <w:t>,</w:t>
      </w:r>
      <w:r w:rsidR="00950AA7" w:rsidRPr="00C26DD7">
        <w:rPr>
          <w:rFonts w:asciiTheme="minorHAnsi" w:eastAsia="Times New Roman" w:hAnsiTheme="minorHAnsi" w:cs="Arial"/>
          <w:sz w:val="22"/>
          <w:lang w:eastAsia="pl-PL"/>
        </w:rPr>
        <w:t xml:space="preserve"> objętych mapą akustyczną</w:t>
      </w:r>
      <w:r w:rsidR="00AC3F48">
        <w:rPr>
          <w:rFonts w:asciiTheme="minorHAnsi" w:eastAsia="Times New Roman" w:hAnsiTheme="minorHAnsi" w:cs="Arial"/>
          <w:sz w:val="22"/>
          <w:lang w:eastAsia="pl-PL"/>
        </w:rPr>
        <w:t>,</w:t>
      </w:r>
      <w:r w:rsidR="00950AA7" w:rsidRPr="00C26DD7">
        <w:rPr>
          <w:rFonts w:asciiTheme="minorHAnsi" w:eastAsia="Times New Roman" w:hAnsiTheme="minorHAnsi" w:cs="Arial"/>
          <w:sz w:val="22"/>
          <w:lang w:eastAsia="pl-PL"/>
        </w:rPr>
        <w:t xml:space="preserve"> w porównaniu z innymi źródłami hałasu ma </w:t>
      </w:r>
      <w:r w:rsidR="00950AA7" w:rsidRPr="00563EF2">
        <w:rPr>
          <w:rFonts w:asciiTheme="minorHAnsi" w:eastAsia="Times New Roman" w:hAnsiTheme="minorHAnsi" w:cs="Arial"/>
          <w:sz w:val="22"/>
          <w:lang w:eastAsia="pl-PL"/>
        </w:rPr>
        <w:t xml:space="preserve"> </w:t>
      </w:r>
      <w:r w:rsidR="00950AA7" w:rsidRPr="00C26DD7">
        <w:rPr>
          <w:rFonts w:asciiTheme="minorHAnsi" w:eastAsia="Times New Roman" w:hAnsiTheme="minorHAnsi" w:cs="Arial"/>
          <w:sz w:val="22"/>
          <w:lang w:eastAsia="pl-PL"/>
        </w:rPr>
        <w:t>bardzo ograniczony zasięg i nie stanowi zagrożenia warunków akustycznych w środowisku.</w:t>
      </w:r>
      <w:r w:rsidR="00950AA7" w:rsidRPr="00563EF2">
        <w:rPr>
          <w:rStyle w:val="Odwoanieprzypisudolnego"/>
          <w:rFonts w:asciiTheme="minorHAnsi" w:eastAsia="Times New Roman" w:hAnsiTheme="minorHAnsi" w:cs="Arial"/>
          <w:sz w:val="22"/>
          <w:lang w:eastAsia="pl-PL"/>
        </w:rPr>
        <w:footnoteReference w:id="42"/>
      </w:r>
      <w:r w:rsidR="00950AA7">
        <w:rPr>
          <w:rFonts w:asciiTheme="minorHAnsi" w:eastAsia="Times New Roman" w:hAnsiTheme="minorHAnsi" w:cs="Arial"/>
          <w:sz w:val="22"/>
          <w:lang w:eastAsia="pl-PL"/>
        </w:rPr>
        <w:t xml:space="preserve"> </w:t>
      </w:r>
    </w:p>
    <w:p w:rsidR="00950AA7" w:rsidRDefault="00950AA7" w:rsidP="00950AA7">
      <w:pPr>
        <w:rPr>
          <w:rFonts w:asciiTheme="minorHAnsi" w:eastAsia="Times New Roman" w:hAnsiTheme="minorHAnsi" w:cs="Arial"/>
          <w:sz w:val="22"/>
          <w:lang w:eastAsia="pl-PL"/>
        </w:rPr>
      </w:pPr>
    </w:p>
    <w:p w:rsidR="00950AA7" w:rsidRDefault="00950AA7" w:rsidP="00950AA7">
      <w:pPr>
        <w:rPr>
          <w:rFonts w:asciiTheme="minorHAnsi" w:eastAsia="Times New Roman" w:hAnsiTheme="minorHAnsi" w:cs="Arial"/>
          <w:sz w:val="22"/>
          <w:lang w:eastAsia="pl-PL"/>
        </w:rPr>
      </w:pPr>
      <w:r w:rsidRPr="00950AA7">
        <w:rPr>
          <w:rFonts w:asciiTheme="minorHAnsi" w:eastAsia="Times New Roman" w:hAnsiTheme="minorHAnsi" w:cs="Arial"/>
          <w:sz w:val="22"/>
          <w:lang w:eastAsia="pl-PL"/>
        </w:rPr>
        <w:t>W wyniku realizacji Mapy akustycznej miasta Legn</w:t>
      </w:r>
      <w:r>
        <w:rPr>
          <w:rFonts w:asciiTheme="minorHAnsi" w:eastAsia="Times New Roman" w:hAnsiTheme="minorHAnsi" w:cs="Arial"/>
          <w:sz w:val="22"/>
          <w:lang w:eastAsia="pl-PL"/>
        </w:rPr>
        <w:t xml:space="preserve">icy stwierdzono, że na hałas o </w:t>
      </w:r>
      <w:r w:rsidRPr="00950AA7">
        <w:rPr>
          <w:rFonts w:asciiTheme="minorHAnsi" w:eastAsia="Times New Roman" w:hAnsiTheme="minorHAnsi" w:cs="Arial"/>
          <w:sz w:val="22"/>
          <w:lang w:eastAsia="pl-PL"/>
        </w:rPr>
        <w:t xml:space="preserve">poziomie przekraczającym wartość dopuszczalną </w:t>
      </w:r>
      <w:r>
        <w:rPr>
          <w:rFonts w:asciiTheme="minorHAnsi" w:eastAsia="Times New Roman" w:hAnsiTheme="minorHAnsi" w:cs="Arial"/>
          <w:sz w:val="22"/>
          <w:lang w:eastAsia="pl-PL"/>
        </w:rPr>
        <w:t xml:space="preserve">LDWN o wartość od 0,01 do 5 dB </w:t>
      </w:r>
      <w:r w:rsidRPr="00950AA7">
        <w:rPr>
          <w:rFonts w:asciiTheme="minorHAnsi" w:eastAsia="Times New Roman" w:hAnsiTheme="minorHAnsi" w:cs="Arial"/>
          <w:sz w:val="22"/>
          <w:lang w:eastAsia="pl-PL"/>
        </w:rPr>
        <w:t xml:space="preserve">narażonych jest 675 osób, natomiast na hałas przekraczający </w:t>
      </w:r>
      <w:r>
        <w:rPr>
          <w:rFonts w:asciiTheme="minorHAnsi" w:eastAsia="Times New Roman" w:hAnsiTheme="minorHAnsi" w:cs="Arial"/>
          <w:sz w:val="22"/>
          <w:lang w:eastAsia="pl-PL"/>
        </w:rPr>
        <w:t xml:space="preserve">wartość dopuszczalną LN – 1174 </w:t>
      </w:r>
      <w:r w:rsidRPr="00950AA7">
        <w:rPr>
          <w:rFonts w:asciiTheme="minorHAnsi" w:eastAsia="Times New Roman" w:hAnsiTheme="minorHAnsi" w:cs="Arial"/>
          <w:sz w:val="22"/>
          <w:lang w:eastAsia="pl-PL"/>
        </w:rPr>
        <w:t xml:space="preserve">osoby. W przypadku wartości LDWN jest to około 0,5% </w:t>
      </w:r>
      <w:r>
        <w:rPr>
          <w:rFonts w:asciiTheme="minorHAnsi" w:eastAsia="Times New Roman" w:hAnsiTheme="minorHAnsi" w:cs="Arial"/>
          <w:sz w:val="22"/>
          <w:lang w:eastAsia="pl-PL"/>
        </w:rPr>
        <w:t>mieszkańców miasta</w:t>
      </w:r>
      <w:r w:rsidR="00AC3F48">
        <w:rPr>
          <w:rFonts w:asciiTheme="minorHAnsi" w:eastAsia="Times New Roman" w:hAnsiTheme="minorHAnsi" w:cs="Arial"/>
          <w:sz w:val="22"/>
          <w:lang w:eastAsia="pl-PL"/>
        </w:rPr>
        <w:t>,</w:t>
      </w:r>
      <w:r>
        <w:rPr>
          <w:rFonts w:asciiTheme="minorHAnsi" w:eastAsia="Times New Roman" w:hAnsiTheme="minorHAnsi" w:cs="Arial"/>
          <w:sz w:val="22"/>
          <w:lang w:eastAsia="pl-PL"/>
        </w:rPr>
        <w:t xml:space="preserve"> natomiast w </w:t>
      </w:r>
      <w:r w:rsidRPr="00950AA7">
        <w:rPr>
          <w:rFonts w:asciiTheme="minorHAnsi" w:eastAsia="Times New Roman" w:hAnsiTheme="minorHAnsi" w:cs="Arial"/>
          <w:sz w:val="22"/>
          <w:lang w:eastAsia="pl-PL"/>
        </w:rPr>
        <w:t>przypadku wartości LN ilość mieszkańców narażonych na pr</w:t>
      </w:r>
      <w:r>
        <w:rPr>
          <w:rFonts w:asciiTheme="minorHAnsi" w:eastAsia="Times New Roman" w:hAnsiTheme="minorHAnsi" w:cs="Arial"/>
          <w:sz w:val="22"/>
          <w:lang w:eastAsia="pl-PL"/>
        </w:rPr>
        <w:t xml:space="preserve">zekroczenie o podanej wartości </w:t>
      </w:r>
      <w:r w:rsidRPr="00950AA7">
        <w:rPr>
          <w:rFonts w:asciiTheme="minorHAnsi" w:eastAsia="Times New Roman" w:hAnsiTheme="minorHAnsi" w:cs="Arial"/>
          <w:sz w:val="22"/>
          <w:lang w:eastAsia="pl-PL"/>
        </w:rPr>
        <w:t>wynosi około 1%</w:t>
      </w:r>
      <w:r w:rsidR="00B73014">
        <w:rPr>
          <w:rFonts w:asciiTheme="minorHAnsi" w:eastAsia="Times New Roman" w:hAnsiTheme="minorHAnsi" w:cs="Arial"/>
          <w:sz w:val="22"/>
          <w:lang w:eastAsia="pl-PL"/>
        </w:rPr>
        <w:t xml:space="preserve"> mieszkańców miasta. Na hałas o </w:t>
      </w:r>
      <w:r w:rsidRPr="00950AA7">
        <w:rPr>
          <w:rFonts w:asciiTheme="minorHAnsi" w:eastAsia="Times New Roman" w:hAnsiTheme="minorHAnsi" w:cs="Arial"/>
          <w:sz w:val="22"/>
          <w:lang w:eastAsia="pl-PL"/>
        </w:rPr>
        <w:t>poziomie przekraczającym wartość dopuszczalną L</w:t>
      </w:r>
      <w:r>
        <w:rPr>
          <w:rFonts w:asciiTheme="minorHAnsi" w:eastAsia="Times New Roman" w:hAnsiTheme="minorHAnsi" w:cs="Arial"/>
          <w:sz w:val="22"/>
          <w:lang w:eastAsia="pl-PL"/>
        </w:rPr>
        <w:t xml:space="preserve">DWN o wartości od 5,1 do 10 dB </w:t>
      </w:r>
      <w:r w:rsidRPr="00950AA7">
        <w:rPr>
          <w:rFonts w:asciiTheme="minorHAnsi" w:eastAsia="Times New Roman" w:hAnsiTheme="minorHAnsi" w:cs="Arial"/>
          <w:sz w:val="22"/>
          <w:lang w:eastAsia="pl-PL"/>
        </w:rPr>
        <w:t xml:space="preserve">narażonych jest według danych pochodzących z Mapy </w:t>
      </w:r>
      <w:r>
        <w:rPr>
          <w:rFonts w:asciiTheme="minorHAnsi" w:eastAsia="Times New Roman" w:hAnsiTheme="minorHAnsi" w:cs="Arial"/>
          <w:sz w:val="22"/>
          <w:lang w:eastAsia="pl-PL"/>
        </w:rPr>
        <w:t xml:space="preserve">akustycznej 20 osób. Brak jest </w:t>
      </w:r>
      <w:r w:rsidRPr="00950AA7">
        <w:rPr>
          <w:rFonts w:asciiTheme="minorHAnsi" w:eastAsia="Times New Roman" w:hAnsiTheme="minorHAnsi" w:cs="Arial"/>
          <w:sz w:val="22"/>
          <w:lang w:eastAsia="pl-PL"/>
        </w:rPr>
        <w:t>natomiast osób narażonych na przekroczenia w tym przedzial</w:t>
      </w:r>
      <w:r>
        <w:rPr>
          <w:rFonts w:asciiTheme="minorHAnsi" w:eastAsia="Times New Roman" w:hAnsiTheme="minorHAnsi" w:cs="Arial"/>
          <w:sz w:val="22"/>
          <w:lang w:eastAsia="pl-PL"/>
        </w:rPr>
        <w:t xml:space="preserve">e dla wartości LN. </w:t>
      </w:r>
      <w:r w:rsidR="00B64958">
        <w:rPr>
          <w:rStyle w:val="Odwoanieprzypisudolnego"/>
          <w:rFonts w:asciiTheme="minorHAnsi" w:eastAsia="Times New Roman" w:hAnsiTheme="minorHAnsi" w:cs="Arial"/>
          <w:sz w:val="22"/>
          <w:lang w:eastAsia="pl-PL"/>
        </w:rPr>
        <w:footnoteReference w:id="43"/>
      </w:r>
    </w:p>
    <w:p w:rsidR="00950AA7" w:rsidRDefault="00950AA7" w:rsidP="00950AA7">
      <w:pPr>
        <w:rPr>
          <w:rFonts w:asciiTheme="minorHAnsi" w:eastAsia="Times New Roman" w:hAnsiTheme="minorHAnsi" w:cs="Arial"/>
          <w:sz w:val="22"/>
          <w:lang w:eastAsia="pl-PL"/>
        </w:rPr>
      </w:pPr>
    </w:p>
    <w:p w:rsidR="00950AA7" w:rsidRPr="00950AA7" w:rsidRDefault="00950AA7" w:rsidP="00B64958">
      <w:pPr>
        <w:rPr>
          <w:rFonts w:asciiTheme="minorHAnsi" w:eastAsia="Times New Roman" w:hAnsiTheme="minorHAnsi" w:cs="Arial"/>
          <w:sz w:val="22"/>
          <w:lang w:eastAsia="pl-PL"/>
        </w:rPr>
      </w:pPr>
      <w:r w:rsidRPr="00950AA7">
        <w:rPr>
          <w:rFonts w:asciiTheme="minorHAnsi" w:eastAsia="Times New Roman" w:hAnsiTheme="minorHAnsi" w:cs="Arial"/>
          <w:sz w:val="22"/>
          <w:lang w:eastAsia="pl-PL"/>
        </w:rPr>
        <w:t>Ograniczenie hałasu do poziomów nieprzekraczaj</w:t>
      </w:r>
      <w:r>
        <w:rPr>
          <w:rFonts w:asciiTheme="minorHAnsi" w:eastAsia="Times New Roman" w:hAnsiTheme="minorHAnsi" w:cs="Arial"/>
          <w:sz w:val="22"/>
          <w:lang w:eastAsia="pl-PL"/>
        </w:rPr>
        <w:t>ących wartości dopuszczalnych</w:t>
      </w:r>
      <w:r w:rsidRPr="00950AA7">
        <w:rPr>
          <w:rFonts w:asciiTheme="minorHAnsi" w:eastAsia="Times New Roman" w:hAnsiTheme="minorHAnsi" w:cs="Arial"/>
          <w:sz w:val="22"/>
          <w:lang w:eastAsia="pl-PL"/>
        </w:rPr>
        <w:t xml:space="preserve"> jest trudne i częst</w:t>
      </w:r>
      <w:r>
        <w:rPr>
          <w:rFonts w:asciiTheme="minorHAnsi" w:eastAsia="Times New Roman" w:hAnsiTheme="minorHAnsi" w:cs="Arial"/>
          <w:sz w:val="22"/>
          <w:lang w:eastAsia="pl-PL"/>
        </w:rPr>
        <w:t xml:space="preserve">o niemożliwe do zrealizowania. </w:t>
      </w:r>
      <w:r w:rsidRPr="00950AA7">
        <w:rPr>
          <w:rFonts w:asciiTheme="minorHAnsi" w:eastAsia="Times New Roman" w:hAnsiTheme="minorHAnsi" w:cs="Arial"/>
          <w:sz w:val="22"/>
          <w:lang w:eastAsia="pl-PL"/>
        </w:rPr>
        <w:t>Koniecznym jest jednak podjęcie wszelkich działań służący</w:t>
      </w:r>
      <w:r>
        <w:rPr>
          <w:rFonts w:asciiTheme="minorHAnsi" w:eastAsia="Times New Roman" w:hAnsiTheme="minorHAnsi" w:cs="Arial"/>
          <w:sz w:val="22"/>
          <w:lang w:eastAsia="pl-PL"/>
        </w:rPr>
        <w:t xml:space="preserve">ch skutecznej poprawie jakości </w:t>
      </w:r>
      <w:r w:rsidRPr="00950AA7">
        <w:rPr>
          <w:rFonts w:asciiTheme="minorHAnsi" w:eastAsia="Times New Roman" w:hAnsiTheme="minorHAnsi" w:cs="Arial"/>
          <w:sz w:val="22"/>
          <w:lang w:eastAsia="pl-PL"/>
        </w:rPr>
        <w:t>klimatu akustycznego na obszarach podlegających ochronie a</w:t>
      </w:r>
      <w:r w:rsidR="00B73014">
        <w:rPr>
          <w:rFonts w:asciiTheme="minorHAnsi" w:eastAsia="Times New Roman" w:hAnsiTheme="minorHAnsi" w:cs="Arial"/>
          <w:sz w:val="22"/>
          <w:lang w:eastAsia="pl-PL"/>
        </w:rPr>
        <w:t>kustycznej, w </w:t>
      </w:r>
      <w:r>
        <w:rPr>
          <w:rFonts w:asciiTheme="minorHAnsi" w:eastAsia="Times New Roman" w:hAnsiTheme="minorHAnsi" w:cs="Arial"/>
          <w:sz w:val="22"/>
          <w:lang w:eastAsia="pl-PL"/>
        </w:rPr>
        <w:t xml:space="preserve">szczególności na </w:t>
      </w:r>
      <w:r w:rsidRPr="00950AA7">
        <w:rPr>
          <w:rFonts w:asciiTheme="minorHAnsi" w:eastAsia="Times New Roman" w:hAnsiTheme="minorHAnsi" w:cs="Arial"/>
          <w:sz w:val="22"/>
          <w:lang w:eastAsia="pl-PL"/>
        </w:rPr>
        <w:t>terenach mieszkaniowych, terenach szpitali i placówek oświat</w:t>
      </w:r>
      <w:r w:rsidR="00B64958">
        <w:rPr>
          <w:rFonts w:asciiTheme="minorHAnsi" w:eastAsia="Times New Roman" w:hAnsiTheme="minorHAnsi" w:cs="Arial"/>
          <w:sz w:val="22"/>
          <w:lang w:eastAsia="pl-PL"/>
        </w:rPr>
        <w:t>owych. Emisja</w:t>
      </w:r>
      <w:r w:rsidR="00B64958" w:rsidRPr="00B64958">
        <w:rPr>
          <w:rFonts w:asciiTheme="minorHAnsi" w:eastAsia="Times New Roman" w:hAnsiTheme="minorHAnsi" w:cs="Arial"/>
          <w:sz w:val="22"/>
          <w:lang w:eastAsia="pl-PL"/>
        </w:rPr>
        <w:t xml:space="preserve"> hałasu samochodowego m</w:t>
      </w:r>
      <w:r w:rsidR="00B64958">
        <w:rPr>
          <w:rFonts w:asciiTheme="minorHAnsi" w:eastAsia="Times New Roman" w:hAnsiTheme="minorHAnsi" w:cs="Arial"/>
          <w:sz w:val="22"/>
          <w:lang w:eastAsia="pl-PL"/>
        </w:rPr>
        <w:t>oże być skutecznie obniżona dzięki: skanalizowaniu</w:t>
      </w:r>
      <w:r w:rsidR="00B64958" w:rsidRPr="00B64958">
        <w:rPr>
          <w:rFonts w:asciiTheme="minorHAnsi" w:eastAsia="Times New Roman" w:hAnsiTheme="minorHAnsi" w:cs="Arial"/>
          <w:sz w:val="22"/>
          <w:lang w:eastAsia="pl-PL"/>
        </w:rPr>
        <w:t xml:space="preserve"> ruchu na wybran</w:t>
      </w:r>
      <w:r w:rsidR="00B64958">
        <w:rPr>
          <w:rFonts w:asciiTheme="minorHAnsi" w:eastAsia="Times New Roman" w:hAnsiTheme="minorHAnsi" w:cs="Arial"/>
          <w:sz w:val="22"/>
          <w:lang w:eastAsia="pl-PL"/>
        </w:rPr>
        <w:t xml:space="preserve">ych trasach miasta, wprowadzeniu </w:t>
      </w:r>
      <w:r w:rsidR="00B64958" w:rsidRPr="00B64958">
        <w:rPr>
          <w:rFonts w:asciiTheme="minorHAnsi" w:eastAsia="Times New Roman" w:hAnsiTheme="minorHAnsi" w:cs="Arial"/>
          <w:sz w:val="22"/>
          <w:lang w:eastAsia="pl-PL"/>
        </w:rPr>
        <w:t>zintegrowanego systemu zarz</w:t>
      </w:r>
      <w:r w:rsidR="00B64958">
        <w:rPr>
          <w:rFonts w:asciiTheme="minorHAnsi" w:eastAsia="Times New Roman" w:hAnsiTheme="minorHAnsi" w:cs="Arial"/>
          <w:sz w:val="22"/>
          <w:lang w:eastAsia="pl-PL"/>
        </w:rPr>
        <w:t>ądzania ruchem oraz wprowadzaniu metod związanych</w:t>
      </w:r>
      <w:r w:rsidR="00AC3F48">
        <w:rPr>
          <w:rFonts w:asciiTheme="minorHAnsi" w:eastAsia="Times New Roman" w:hAnsiTheme="minorHAnsi" w:cs="Arial"/>
          <w:sz w:val="22"/>
          <w:lang w:eastAsia="pl-PL"/>
        </w:rPr>
        <w:t xml:space="preserve"> z uspokojeniem ruchu, regulacji</w:t>
      </w:r>
      <w:r w:rsidR="00B64958">
        <w:rPr>
          <w:rFonts w:asciiTheme="minorHAnsi" w:eastAsia="Times New Roman" w:hAnsiTheme="minorHAnsi" w:cs="Arial"/>
          <w:sz w:val="22"/>
          <w:lang w:eastAsia="pl-PL"/>
        </w:rPr>
        <w:t xml:space="preserve"> w MPZP </w:t>
      </w:r>
      <w:r w:rsidR="00B64958" w:rsidRPr="00B64958">
        <w:rPr>
          <w:rFonts w:asciiTheme="minorHAnsi" w:eastAsia="Times New Roman" w:hAnsiTheme="minorHAnsi" w:cs="Arial"/>
          <w:sz w:val="22"/>
          <w:lang w:eastAsia="pl-PL"/>
        </w:rPr>
        <w:t>maksymalne</w:t>
      </w:r>
      <w:r w:rsidR="00B64958">
        <w:rPr>
          <w:rFonts w:asciiTheme="minorHAnsi" w:eastAsia="Times New Roman" w:hAnsiTheme="minorHAnsi" w:cs="Arial"/>
          <w:sz w:val="22"/>
          <w:lang w:eastAsia="pl-PL"/>
        </w:rPr>
        <w:t xml:space="preserve">go odsunięcia budynków </w:t>
      </w:r>
      <w:r w:rsidR="00B64958" w:rsidRPr="00B64958">
        <w:rPr>
          <w:rFonts w:asciiTheme="minorHAnsi" w:eastAsia="Times New Roman" w:hAnsiTheme="minorHAnsi" w:cs="Arial"/>
          <w:sz w:val="22"/>
          <w:lang w:eastAsia="pl-PL"/>
        </w:rPr>
        <w:t>mieszkalnych od krawędzi dróg (dla zabudowy n</w:t>
      </w:r>
      <w:r w:rsidR="00B64958">
        <w:rPr>
          <w:rFonts w:asciiTheme="minorHAnsi" w:eastAsia="Times New Roman" w:hAnsiTheme="minorHAnsi" w:cs="Arial"/>
          <w:sz w:val="22"/>
          <w:lang w:eastAsia="pl-PL"/>
        </w:rPr>
        <w:t>owo</w:t>
      </w:r>
      <w:r w:rsidR="00AC3F48">
        <w:rPr>
          <w:rFonts w:asciiTheme="minorHAnsi" w:eastAsia="Times New Roman" w:hAnsiTheme="minorHAnsi" w:cs="Arial"/>
          <w:sz w:val="22"/>
          <w:lang w:eastAsia="pl-PL"/>
        </w:rPr>
        <w:t>projektowanej) oraz wprowadzeniu</w:t>
      </w:r>
      <w:r w:rsidR="00B64958">
        <w:rPr>
          <w:rFonts w:asciiTheme="minorHAnsi" w:eastAsia="Times New Roman" w:hAnsiTheme="minorHAnsi" w:cs="Arial"/>
          <w:sz w:val="22"/>
          <w:lang w:eastAsia="pl-PL"/>
        </w:rPr>
        <w:t xml:space="preserve"> rozwiązań</w:t>
      </w:r>
      <w:r w:rsidR="00B64958" w:rsidRPr="00B64958">
        <w:rPr>
          <w:rFonts w:asciiTheme="minorHAnsi" w:eastAsia="Times New Roman" w:hAnsiTheme="minorHAnsi" w:cs="Arial"/>
          <w:sz w:val="22"/>
          <w:lang w:eastAsia="pl-PL"/>
        </w:rPr>
        <w:t xml:space="preserve"> architektoniczn</w:t>
      </w:r>
      <w:r w:rsidR="00B64958">
        <w:rPr>
          <w:rFonts w:asciiTheme="minorHAnsi" w:eastAsia="Times New Roman" w:hAnsiTheme="minorHAnsi" w:cs="Arial"/>
          <w:sz w:val="22"/>
          <w:lang w:eastAsia="pl-PL"/>
        </w:rPr>
        <w:t>o-urbanistycznych lokalizujących</w:t>
      </w:r>
      <w:r w:rsidR="00B64958" w:rsidRPr="00B64958">
        <w:rPr>
          <w:rFonts w:asciiTheme="minorHAnsi" w:eastAsia="Times New Roman" w:hAnsiTheme="minorHAnsi" w:cs="Arial"/>
          <w:sz w:val="22"/>
          <w:lang w:eastAsia="pl-PL"/>
        </w:rPr>
        <w:t xml:space="preserve"> obiekty niepo</w:t>
      </w:r>
      <w:r w:rsidR="00B64958">
        <w:rPr>
          <w:rFonts w:asciiTheme="minorHAnsi" w:eastAsia="Times New Roman" w:hAnsiTheme="minorHAnsi" w:cs="Arial"/>
          <w:sz w:val="22"/>
          <w:lang w:eastAsia="pl-PL"/>
        </w:rPr>
        <w:t xml:space="preserve">dlegające ochronie akustycznej </w:t>
      </w:r>
      <w:r w:rsidR="00B64958" w:rsidRPr="00B64958">
        <w:rPr>
          <w:rFonts w:asciiTheme="minorHAnsi" w:eastAsia="Times New Roman" w:hAnsiTheme="minorHAnsi" w:cs="Arial"/>
          <w:sz w:val="22"/>
          <w:lang w:eastAsia="pl-PL"/>
        </w:rPr>
        <w:t>(garaże, budynki usługowe) pomiędzy linią zabudowy mieszkalnej a ulicą. W przypadku ciągów nowoprojektowanych zast</w:t>
      </w:r>
      <w:r w:rsidR="00B64958">
        <w:rPr>
          <w:rFonts w:asciiTheme="minorHAnsi" w:eastAsia="Times New Roman" w:hAnsiTheme="minorHAnsi" w:cs="Arial"/>
          <w:sz w:val="22"/>
          <w:lang w:eastAsia="pl-PL"/>
        </w:rPr>
        <w:t>osowanie dodatkowych rozwiązań</w:t>
      </w:r>
      <w:r w:rsidR="00AC3F48">
        <w:rPr>
          <w:rFonts w:asciiTheme="minorHAnsi" w:eastAsia="Times New Roman" w:hAnsiTheme="minorHAnsi" w:cs="Arial"/>
          <w:sz w:val="22"/>
          <w:lang w:eastAsia="pl-PL"/>
        </w:rPr>
        <w:t>,</w:t>
      </w:r>
      <w:r w:rsidR="00B64958">
        <w:rPr>
          <w:rFonts w:asciiTheme="minorHAnsi" w:eastAsia="Times New Roman" w:hAnsiTheme="minorHAnsi" w:cs="Arial"/>
          <w:sz w:val="22"/>
          <w:lang w:eastAsia="pl-PL"/>
        </w:rPr>
        <w:t xml:space="preserve"> </w:t>
      </w:r>
      <w:r w:rsidR="00B64958" w:rsidRPr="00B64958">
        <w:rPr>
          <w:rFonts w:asciiTheme="minorHAnsi" w:eastAsia="Times New Roman" w:hAnsiTheme="minorHAnsi" w:cs="Arial"/>
          <w:sz w:val="22"/>
          <w:lang w:eastAsia="pl-PL"/>
        </w:rPr>
        <w:t>mających na celu ograniczenie emisji hałasu samocho</w:t>
      </w:r>
      <w:r w:rsidR="00B64958">
        <w:rPr>
          <w:rFonts w:asciiTheme="minorHAnsi" w:eastAsia="Times New Roman" w:hAnsiTheme="minorHAnsi" w:cs="Arial"/>
          <w:sz w:val="22"/>
          <w:lang w:eastAsia="pl-PL"/>
        </w:rPr>
        <w:t xml:space="preserve">dowego do miejsc podlegających </w:t>
      </w:r>
      <w:r w:rsidR="00B64958" w:rsidRPr="00B64958">
        <w:rPr>
          <w:rFonts w:asciiTheme="minorHAnsi" w:eastAsia="Times New Roman" w:hAnsiTheme="minorHAnsi" w:cs="Arial"/>
          <w:sz w:val="22"/>
          <w:lang w:eastAsia="pl-PL"/>
        </w:rPr>
        <w:t xml:space="preserve">ochronie akustycznej (ekrany akustyczne, projektowanie skoordynowanych sygnalizacji świetlnych) przyczyni się do redukcji hałasu oraz znacząco podniesie bezpieczeństwo ruchu. </w:t>
      </w:r>
      <w:r w:rsidR="00B64958" w:rsidRPr="00B64958">
        <w:rPr>
          <w:rFonts w:asciiTheme="minorHAnsi" w:eastAsia="Times New Roman" w:hAnsiTheme="minorHAnsi" w:cs="Arial"/>
          <w:sz w:val="22"/>
          <w:lang w:eastAsia="pl-PL"/>
        </w:rPr>
        <w:cr/>
      </w:r>
      <w:r w:rsidR="00B64958">
        <w:rPr>
          <w:rFonts w:asciiTheme="minorHAnsi" w:eastAsia="Times New Roman" w:hAnsiTheme="minorHAnsi" w:cs="Arial"/>
          <w:sz w:val="22"/>
          <w:lang w:eastAsia="pl-PL"/>
        </w:rPr>
        <w:t xml:space="preserve"> </w:t>
      </w:r>
      <w:r w:rsidRPr="00950AA7">
        <w:rPr>
          <w:rFonts w:asciiTheme="minorHAnsi" w:eastAsia="Times New Roman" w:hAnsiTheme="minorHAnsi" w:cs="Arial"/>
          <w:sz w:val="22"/>
          <w:lang w:eastAsia="pl-PL"/>
        </w:rPr>
        <w:t xml:space="preserve">Działania zaprezentowane w </w:t>
      </w:r>
      <w:r w:rsidR="00B64958" w:rsidRPr="00B64958">
        <w:rPr>
          <w:rFonts w:asciiTheme="minorHAnsi" w:hAnsiTheme="minorHAnsi"/>
          <w:i/>
          <w:sz w:val="22"/>
          <w:szCs w:val="18"/>
        </w:rPr>
        <w:t>Program</w:t>
      </w:r>
      <w:r w:rsidR="00B64958">
        <w:rPr>
          <w:rFonts w:asciiTheme="minorHAnsi" w:hAnsiTheme="minorHAnsi"/>
          <w:i/>
          <w:sz w:val="22"/>
          <w:szCs w:val="18"/>
        </w:rPr>
        <w:t>ie</w:t>
      </w:r>
      <w:r w:rsidR="00B64958" w:rsidRPr="00B64958">
        <w:rPr>
          <w:rFonts w:asciiTheme="minorHAnsi" w:hAnsiTheme="minorHAnsi"/>
          <w:i/>
          <w:sz w:val="22"/>
          <w:szCs w:val="18"/>
        </w:rPr>
        <w:t xml:space="preserve"> Ochrony Środowiska Przed Hałasem Dla Miasta Legnicy Na Lata 2012 – 2017</w:t>
      </w:r>
      <w:r w:rsidRPr="00B64958">
        <w:rPr>
          <w:rFonts w:asciiTheme="minorHAnsi" w:eastAsia="Times New Roman" w:hAnsiTheme="minorHAnsi" w:cs="Arial"/>
          <w:sz w:val="28"/>
          <w:lang w:eastAsia="pl-PL"/>
        </w:rPr>
        <w:t xml:space="preserve"> </w:t>
      </w:r>
      <w:r w:rsidRPr="00950AA7">
        <w:rPr>
          <w:rFonts w:asciiTheme="minorHAnsi" w:eastAsia="Times New Roman" w:hAnsiTheme="minorHAnsi" w:cs="Arial"/>
          <w:sz w:val="22"/>
          <w:lang w:eastAsia="pl-PL"/>
        </w:rPr>
        <w:t>podzielono na następujące grupy</w:t>
      </w:r>
      <w:r w:rsidR="00B64958">
        <w:rPr>
          <w:rFonts w:asciiTheme="minorHAnsi" w:eastAsia="Times New Roman" w:hAnsiTheme="minorHAnsi" w:cs="Arial"/>
          <w:sz w:val="22"/>
          <w:lang w:eastAsia="pl-PL"/>
        </w:rPr>
        <w:t xml:space="preserve"> </w:t>
      </w:r>
      <w:r w:rsidR="00B64958" w:rsidRPr="00563EF2">
        <w:rPr>
          <w:rStyle w:val="Odwoanieprzypisudolnego"/>
          <w:rFonts w:asciiTheme="minorHAnsi" w:hAnsiTheme="minorHAnsi"/>
          <w:sz w:val="22"/>
          <w:lang w:eastAsia="pl-PL"/>
        </w:rPr>
        <w:footnoteReference w:id="44"/>
      </w:r>
      <w:r w:rsidRPr="00950AA7">
        <w:rPr>
          <w:rFonts w:asciiTheme="minorHAnsi" w:eastAsia="Times New Roman" w:hAnsiTheme="minorHAnsi" w:cs="Arial"/>
          <w:sz w:val="22"/>
          <w:lang w:eastAsia="pl-PL"/>
        </w:rPr>
        <w:t xml:space="preserve">: </w:t>
      </w:r>
    </w:p>
    <w:p w:rsidR="00950AA7" w:rsidRPr="00B64958" w:rsidRDefault="00950AA7" w:rsidP="00E6635A">
      <w:pPr>
        <w:pStyle w:val="Akapitzlist"/>
        <w:numPr>
          <w:ilvl w:val="0"/>
          <w:numId w:val="47"/>
        </w:numPr>
        <w:rPr>
          <w:rFonts w:asciiTheme="minorHAnsi" w:eastAsia="Times New Roman" w:hAnsiTheme="minorHAnsi" w:cs="Arial"/>
          <w:sz w:val="22"/>
          <w:lang w:eastAsia="pl-PL"/>
        </w:rPr>
      </w:pPr>
      <w:r w:rsidRPr="00950AA7">
        <w:rPr>
          <w:rFonts w:asciiTheme="minorHAnsi" w:eastAsia="Times New Roman" w:hAnsiTheme="minorHAnsi" w:cs="Arial"/>
          <w:sz w:val="22"/>
          <w:lang w:eastAsia="pl-PL"/>
        </w:rPr>
        <w:t xml:space="preserve">Działania monitoringowe, mające na celu bardzo precyzyjną identyfikację </w:t>
      </w:r>
      <w:r w:rsidRPr="00B64958">
        <w:rPr>
          <w:rFonts w:asciiTheme="minorHAnsi" w:eastAsia="Times New Roman" w:hAnsiTheme="minorHAnsi" w:cs="Arial"/>
          <w:sz w:val="22"/>
          <w:lang w:eastAsia="pl-PL"/>
        </w:rPr>
        <w:t xml:space="preserve">obiektów narażonych na ponadnormatywny hałas komunikacyjny. </w:t>
      </w:r>
    </w:p>
    <w:p w:rsidR="00950AA7" w:rsidRDefault="00950AA7" w:rsidP="00E6635A">
      <w:pPr>
        <w:pStyle w:val="Akapitzlist"/>
        <w:numPr>
          <w:ilvl w:val="0"/>
          <w:numId w:val="47"/>
        </w:numPr>
        <w:rPr>
          <w:rFonts w:asciiTheme="minorHAnsi" w:eastAsia="Times New Roman" w:hAnsiTheme="minorHAnsi" w:cs="Arial"/>
          <w:sz w:val="22"/>
          <w:lang w:eastAsia="pl-PL"/>
        </w:rPr>
      </w:pPr>
      <w:r w:rsidRPr="00B64958">
        <w:rPr>
          <w:rFonts w:asciiTheme="minorHAnsi" w:eastAsia="Times New Roman" w:hAnsiTheme="minorHAnsi" w:cs="Arial"/>
          <w:sz w:val="22"/>
          <w:lang w:eastAsia="pl-PL"/>
        </w:rPr>
        <w:t xml:space="preserve">Działania programowe, </w:t>
      </w:r>
      <w:r w:rsidR="00B64958">
        <w:rPr>
          <w:rFonts w:asciiTheme="minorHAnsi" w:eastAsia="Times New Roman" w:hAnsiTheme="minorHAnsi" w:cs="Arial"/>
          <w:sz w:val="22"/>
          <w:lang w:eastAsia="pl-PL"/>
        </w:rPr>
        <w:t xml:space="preserve">czyli </w:t>
      </w:r>
      <w:r w:rsidRPr="00B64958">
        <w:rPr>
          <w:rFonts w:asciiTheme="minorHAnsi" w:eastAsia="Times New Roman" w:hAnsiTheme="minorHAnsi" w:cs="Arial"/>
          <w:sz w:val="22"/>
          <w:lang w:eastAsia="pl-PL"/>
        </w:rPr>
        <w:t xml:space="preserve">wszelkie działania związane z ograniczeniem poziomu </w:t>
      </w:r>
      <w:r w:rsidR="00B64958">
        <w:rPr>
          <w:rFonts w:asciiTheme="minorHAnsi" w:eastAsia="Times New Roman" w:hAnsiTheme="minorHAnsi" w:cs="Arial"/>
          <w:sz w:val="22"/>
          <w:lang w:eastAsia="pl-PL"/>
        </w:rPr>
        <w:t xml:space="preserve"> </w:t>
      </w:r>
      <w:r w:rsidRPr="00B64958">
        <w:rPr>
          <w:rFonts w:asciiTheme="minorHAnsi" w:eastAsia="Times New Roman" w:hAnsiTheme="minorHAnsi" w:cs="Arial"/>
          <w:sz w:val="22"/>
          <w:lang w:eastAsia="pl-PL"/>
        </w:rPr>
        <w:t xml:space="preserve">hałasu na terenach, na których stwierdzono występowanie potencjalnych przekroczeń obowiązujących wartości dopuszczalnych oraz wszelkie działania mające na celu ochronę przed akustyczną degradacją terenów, na których obecnie jakość klimatu akustycznego można uznać jako dobrą. </w:t>
      </w:r>
    </w:p>
    <w:p w:rsidR="00B64958" w:rsidRPr="00B64958" w:rsidRDefault="00B64958" w:rsidP="00E6635A">
      <w:pPr>
        <w:pStyle w:val="Akapitzlist"/>
        <w:numPr>
          <w:ilvl w:val="0"/>
          <w:numId w:val="47"/>
        </w:numPr>
        <w:rPr>
          <w:rFonts w:asciiTheme="minorHAnsi" w:eastAsia="Times New Roman" w:hAnsiTheme="minorHAnsi" w:cs="Arial"/>
          <w:sz w:val="22"/>
          <w:lang w:eastAsia="pl-PL"/>
        </w:rPr>
      </w:pPr>
      <w:r>
        <w:rPr>
          <w:rFonts w:asciiTheme="minorHAnsi" w:eastAsia="Times New Roman" w:hAnsiTheme="minorHAnsi" w:cs="Arial"/>
          <w:sz w:val="22"/>
          <w:lang w:eastAsia="pl-PL"/>
        </w:rPr>
        <w:t>Działania długoterminowe, wykraczające poza okres obowiązywania programu.</w:t>
      </w:r>
    </w:p>
    <w:p w:rsidR="00950AA7" w:rsidRPr="00B64958" w:rsidRDefault="00950AA7" w:rsidP="00E6635A">
      <w:pPr>
        <w:pStyle w:val="Akapitzlist"/>
        <w:numPr>
          <w:ilvl w:val="0"/>
          <w:numId w:val="47"/>
        </w:numPr>
        <w:rPr>
          <w:rFonts w:asciiTheme="minorHAnsi" w:eastAsia="Times New Roman" w:hAnsiTheme="minorHAnsi" w:cs="Arial"/>
          <w:sz w:val="22"/>
          <w:lang w:eastAsia="pl-PL"/>
        </w:rPr>
      </w:pPr>
      <w:r w:rsidRPr="00B64958">
        <w:rPr>
          <w:rFonts w:asciiTheme="minorHAnsi" w:eastAsia="Times New Roman" w:hAnsiTheme="minorHAnsi" w:cs="Arial"/>
          <w:sz w:val="22"/>
          <w:lang w:eastAsia="pl-PL"/>
        </w:rPr>
        <w:t>Działania edukacyjne, związane z edukacją społeczeństwa, które należy prowadzić w sposób ciągły i systematyczny, zarówno podczas realizacji działań programowych</w:t>
      </w:r>
      <w:r w:rsidR="00AC3F48">
        <w:rPr>
          <w:rFonts w:asciiTheme="minorHAnsi" w:eastAsia="Times New Roman" w:hAnsiTheme="minorHAnsi" w:cs="Arial"/>
          <w:sz w:val="22"/>
          <w:lang w:eastAsia="pl-PL"/>
        </w:rPr>
        <w:t>,</w:t>
      </w:r>
      <w:r w:rsidRPr="00B64958">
        <w:rPr>
          <w:rFonts w:asciiTheme="minorHAnsi" w:eastAsia="Times New Roman" w:hAnsiTheme="minorHAnsi" w:cs="Arial"/>
          <w:sz w:val="22"/>
          <w:lang w:eastAsia="pl-PL"/>
        </w:rPr>
        <w:t xml:space="preserve"> jak i działań długoterminowych.</w:t>
      </w:r>
    </w:p>
    <w:p w:rsidR="008E5F4F" w:rsidRPr="00563EF2" w:rsidRDefault="008E5F4F" w:rsidP="008E5F4F">
      <w:pPr>
        <w:autoSpaceDE w:val="0"/>
        <w:autoSpaceDN w:val="0"/>
        <w:adjustRightInd w:val="0"/>
        <w:rPr>
          <w:rFonts w:asciiTheme="minorHAnsi" w:eastAsia="Calibri" w:hAnsiTheme="minorHAnsi" w:cs="Times New Roman"/>
          <w:sz w:val="22"/>
        </w:rPr>
      </w:pPr>
    </w:p>
    <w:p w:rsidR="001A123D" w:rsidRDefault="001A123D" w:rsidP="003948A4">
      <w:pPr>
        <w:rPr>
          <w:rFonts w:asciiTheme="minorHAnsi" w:hAnsiTheme="minorHAnsi"/>
          <w:sz w:val="22"/>
        </w:rPr>
        <w:sectPr w:rsidR="001A123D" w:rsidSect="000535DD">
          <w:footerReference w:type="default" r:id="rId70"/>
          <w:headerReference w:type="first" r:id="rId71"/>
          <w:footerReference w:type="first" r:id="rId72"/>
          <w:pgSz w:w="11906" w:h="16838"/>
          <w:pgMar w:top="1417" w:right="1417" w:bottom="1417" w:left="1417" w:header="708" w:footer="708" w:gutter="0"/>
          <w:cols w:space="708"/>
          <w:docGrid w:linePitch="360"/>
        </w:sectPr>
      </w:pPr>
    </w:p>
    <w:p w:rsidR="001A123D" w:rsidRDefault="001A123D" w:rsidP="001A123D">
      <w:pPr>
        <w:pStyle w:val="Nagwek1"/>
      </w:pPr>
      <w:bookmarkStart w:id="61" w:name="_Toc399756347"/>
      <w:r>
        <w:t>Analiza SWOT</w:t>
      </w:r>
      <w:bookmarkEnd w:id="61"/>
    </w:p>
    <w:p w:rsidR="001A123D" w:rsidRPr="00F53197" w:rsidRDefault="001A123D" w:rsidP="001A123D"/>
    <w:p w:rsidR="001A123D" w:rsidRPr="00EA21E6" w:rsidRDefault="001A123D" w:rsidP="001A123D">
      <w:pPr>
        <w:rPr>
          <w:rFonts w:asciiTheme="minorHAnsi" w:hAnsiTheme="minorHAnsi"/>
          <w:sz w:val="22"/>
        </w:rPr>
      </w:pPr>
      <w:r w:rsidRPr="00EA21E6">
        <w:rPr>
          <w:rFonts w:asciiTheme="minorHAnsi" w:hAnsiTheme="minorHAnsi"/>
          <w:sz w:val="22"/>
        </w:rPr>
        <w:t>Klasycznym narzędziem, stosowanym od wielu lat w analizie strategicznej, jest z</w:t>
      </w:r>
      <w:r w:rsidR="00B73014">
        <w:rPr>
          <w:rFonts w:asciiTheme="minorHAnsi" w:hAnsiTheme="minorHAnsi"/>
          <w:sz w:val="22"/>
        </w:rPr>
        <w:t>estawienie mocnych i </w:t>
      </w:r>
      <w:r w:rsidRPr="00EA21E6">
        <w:rPr>
          <w:rFonts w:asciiTheme="minorHAnsi" w:hAnsiTheme="minorHAnsi"/>
          <w:sz w:val="22"/>
        </w:rPr>
        <w:t>słabych stron analizowanego podmiotu (w tym przypadku gminy miejskiej) oraz określenie jego szans i zagrożeń rozwojowych. Nazwa SWOT pochodzi z języka angielskiego i oznacza:</w:t>
      </w:r>
    </w:p>
    <w:p w:rsidR="001A123D" w:rsidRPr="00B73014" w:rsidRDefault="001A123D" w:rsidP="00E6635A">
      <w:pPr>
        <w:pStyle w:val="Akapitzlist"/>
        <w:numPr>
          <w:ilvl w:val="0"/>
          <w:numId w:val="49"/>
        </w:numPr>
        <w:spacing w:after="120"/>
        <w:rPr>
          <w:rFonts w:asciiTheme="minorHAnsi" w:hAnsiTheme="minorHAnsi"/>
          <w:sz w:val="22"/>
        </w:rPr>
      </w:pPr>
      <w:r w:rsidRPr="00B73014">
        <w:rPr>
          <w:rFonts w:asciiTheme="minorHAnsi" w:hAnsiTheme="minorHAnsi"/>
          <w:sz w:val="22"/>
        </w:rPr>
        <w:t xml:space="preserve">S – </w:t>
      </w:r>
      <w:r w:rsidRPr="00B73014">
        <w:rPr>
          <w:rFonts w:asciiTheme="minorHAnsi" w:hAnsiTheme="minorHAnsi"/>
          <w:i/>
          <w:sz w:val="22"/>
        </w:rPr>
        <w:t>Strengths</w:t>
      </w:r>
      <w:r w:rsidRPr="00B73014">
        <w:rPr>
          <w:rFonts w:asciiTheme="minorHAnsi" w:hAnsiTheme="minorHAnsi"/>
          <w:sz w:val="22"/>
        </w:rPr>
        <w:t xml:space="preserve"> (silne strony), wszystko to</w:t>
      </w:r>
      <w:r w:rsidR="00192EC9">
        <w:rPr>
          <w:rFonts w:asciiTheme="minorHAnsi" w:hAnsiTheme="minorHAnsi"/>
          <w:sz w:val="22"/>
        </w:rPr>
        <w:t>,</w:t>
      </w:r>
      <w:r w:rsidRPr="00B73014">
        <w:rPr>
          <w:rFonts w:asciiTheme="minorHAnsi" w:hAnsiTheme="minorHAnsi"/>
          <w:sz w:val="22"/>
        </w:rPr>
        <w:t xml:space="preserve"> co stanowi atut, przewagę, zaletę analizowanego podmiotu,</w:t>
      </w:r>
    </w:p>
    <w:p w:rsidR="001A123D" w:rsidRPr="00B73014" w:rsidRDefault="001A123D" w:rsidP="00E6635A">
      <w:pPr>
        <w:pStyle w:val="Akapitzlist"/>
        <w:numPr>
          <w:ilvl w:val="0"/>
          <w:numId w:val="49"/>
        </w:numPr>
        <w:spacing w:after="120"/>
        <w:rPr>
          <w:rFonts w:asciiTheme="minorHAnsi" w:hAnsiTheme="minorHAnsi"/>
          <w:sz w:val="22"/>
        </w:rPr>
      </w:pPr>
      <w:r w:rsidRPr="00B73014">
        <w:rPr>
          <w:rFonts w:asciiTheme="minorHAnsi" w:hAnsiTheme="minorHAnsi"/>
          <w:sz w:val="22"/>
        </w:rPr>
        <w:t xml:space="preserve">W – </w:t>
      </w:r>
      <w:r w:rsidRPr="00B73014">
        <w:rPr>
          <w:rFonts w:asciiTheme="minorHAnsi" w:hAnsiTheme="minorHAnsi"/>
          <w:i/>
          <w:sz w:val="22"/>
        </w:rPr>
        <w:t xml:space="preserve">Weaknesses </w:t>
      </w:r>
      <w:r w:rsidRPr="00B73014">
        <w:rPr>
          <w:rFonts w:asciiTheme="minorHAnsi" w:hAnsiTheme="minorHAnsi"/>
          <w:sz w:val="22"/>
        </w:rPr>
        <w:t>(słabości), wszystko to</w:t>
      </w:r>
      <w:r w:rsidR="00192EC9">
        <w:rPr>
          <w:rFonts w:asciiTheme="minorHAnsi" w:hAnsiTheme="minorHAnsi"/>
          <w:sz w:val="22"/>
        </w:rPr>
        <w:t>,</w:t>
      </w:r>
      <w:r w:rsidRPr="00B73014">
        <w:rPr>
          <w:rFonts w:asciiTheme="minorHAnsi" w:hAnsiTheme="minorHAnsi"/>
          <w:sz w:val="22"/>
        </w:rPr>
        <w:t xml:space="preserve"> co stanowi słabość, barierę, wadę analizowanego podmiotu,</w:t>
      </w:r>
    </w:p>
    <w:p w:rsidR="001A123D" w:rsidRPr="00B73014" w:rsidRDefault="001A123D" w:rsidP="00E6635A">
      <w:pPr>
        <w:pStyle w:val="Akapitzlist"/>
        <w:numPr>
          <w:ilvl w:val="0"/>
          <w:numId w:val="49"/>
        </w:numPr>
        <w:spacing w:after="120"/>
        <w:rPr>
          <w:rFonts w:asciiTheme="minorHAnsi" w:hAnsiTheme="minorHAnsi"/>
          <w:sz w:val="22"/>
        </w:rPr>
      </w:pPr>
      <w:r w:rsidRPr="00B73014">
        <w:rPr>
          <w:rFonts w:asciiTheme="minorHAnsi" w:hAnsiTheme="minorHAnsi"/>
          <w:sz w:val="22"/>
        </w:rPr>
        <w:t xml:space="preserve">O- </w:t>
      </w:r>
      <w:r w:rsidRPr="00B73014">
        <w:rPr>
          <w:rFonts w:asciiTheme="minorHAnsi" w:hAnsiTheme="minorHAnsi"/>
          <w:i/>
          <w:sz w:val="22"/>
        </w:rPr>
        <w:t>Opportunities</w:t>
      </w:r>
      <w:r w:rsidRPr="00B73014">
        <w:rPr>
          <w:rFonts w:asciiTheme="minorHAnsi" w:hAnsiTheme="minorHAnsi"/>
          <w:sz w:val="22"/>
        </w:rPr>
        <w:t xml:space="preserve"> (możliwości), wszystko to</w:t>
      </w:r>
      <w:r w:rsidR="00192EC9">
        <w:rPr>
          <w:rFonts w:asciiTheme="minorHAnsi" w:hAnsiTheme="minorHAnsi"/>
          <w:sz w:val="22"/>
        </w:rPr>
        <w:t>,</w:t>
      </w:r>
      <w:r w:rsidRPr="00B73014">
        <w:rPr>
          <w:rFonts w:asciiTheme="minorHAnsi" w:hAnsiTheme="minorHAnsi"/>
          <w:sz w:val="22"/>
        </w:rPr>
        <w:t xml:space="preserve"> co stwarza dla analizowanego podmiotu szansę korzystnej zmiany,</w:t>
      </w:r>
    </w:p>
    <w:p w:rsidR="001A123D" w:rsidRPr="00B73014" w:rsidRDefault="001A123D" w:rsidP="00E6635A">
      <w:pPr>
        <w:pStyle w:val="Akapitzlist"/>
        <w:numPr>
          <w:ilvl w:val="0"/>
          <w:numId w:val="49"/>
        </w:numPr>
        <w:spacing w:after="120"/>
        <w:rPr>
          <w:rFonts w:asciiTheme="minorHAnsi" w:hAnsiTheme="minorHAnsi"/>
          <w:sz w:val="22"/>
        </w:rPr>
      </w:pPr>
      <w:r w:rsidRPr="00B73014">
        <w:rPr>
          <w:rFonts w:asciiTheme="minorHAnsi" w:hAnsiTheme="minorHAnsi"/>
          <w:sz w:val="22"/>
        </w:rPr>
        <w:t xml:space="preserve">T – </w:t>
      </w:r>
      <w:r w:rsidRPr="00B73014">
        <w:rPr>
          <w:rFonts w:asciiTheme="minorHAnsi" w:hAnsiTheme="minorHAnsi"/>
          <w:i/>
          <w:sz w:val="22"/>
        </w:rPr>
        <w:t>Threats</w:t>
      </w:r>
      <w:r w:rsidRPr="00B73014">
        <w:rPr>
          <w:rFonts w:asciiTheme="minorHAnsi" w:hAnsiTheme="minorHAnsi"/>
          <w:sz w:val="22"/>
        </w:rPr>
        <w:t xml:space="preserve"> (zagrożenia), wszystko to</w:t>
      </w:r>
      <w:r w:rsidR="00192EC9">
        <w:rPr>
          <w:rFonts w:asciiTheme="minorHAnsi" w:hAnsiTheme="minorHAnsi"/>
          <w:sz w:val="22"/>
        </w:rPr>
        <w:t>,</w:t>
      </w:r>
      <w:r w:rsidRPr="00B73014">
        <w:rPr>
          <w:rFonts w:asciiTheme="minorHAnsi" w:hAnsiTheme="minorHAnsi"/>
          <w:sz w:val="22"/>
        </w:rPr>
        <w:t xml:space="preserve"> co stwarza dla analizowanego podmiotu niebezpieczeństwo zmiany niekorzystnej.</w:t>
      </w:r>
    </w:p>
    <w:p w:rsidR="001A123D" w:rsidRPr="00EA21E6" w:rsidRDefault="001A123D" w:rsidP="001A123D">
      <w:pPr>
        <w:spacing w:after="120"/>
        <w:rPr>
          <w:rFonts w:asciiTheme="minorHAnsi" w:hAnsiTheme="minorHAnsi"/>
          <w:sz w:val="22"/>
        </w:rPr>
      </w:pPr>
      <w:r w:rsidRPr="00EA21E6">
        <w:rPr>
          <w:rFonts w:asciiTheme="minorHAnsi" w:hAnsiTheme="minorHAnsi"/>
          <w:sz w:val="22"/>
        </w:rPr>
        <w:t>Przyjęta metoda pozwala na zebranie i uszeregowanie informacji o potencjale rozwojowym miasta oraz o dostrzeganych barierach. Zwraca jednocześnie uwagę na poja</w:t>
      </w:r>
      <w:r w:rsidR="00B73014">
        <w:rPr>
          <w:rFonts w:asciiTheme="minorHAnsi" w:hAnsiTheme="minorHAnsi"/>
          <w:sz w:val="22"/>
        </w:rPr>
        <w:t>wiające się zewnętrzne szanse i </w:t>
      </w:r>
      <w:r w:rsidRPr="00EA21E6">
        <w:rPr>
          <w:rFonts w:asciiTheme="minorHAnsi" w:hAnsiTheme="minorHAnsi"/>
          <w:sz w:val="22"/>
        </w:rPr>
        <w:t xml:space="preserve">zagrożenia. </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sz w:val="22"/>
        </w:rPr>
        <w:t>Na podstawie diagnozy stanu obecnego oraz warsztatów strategicznych zostały wypracowane tezy analizy SWOT.</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sz w:val="22"/>
        </w:rPr>
        <w:t>W prace Komitetu Sterującego udało się zaangażować liderów i jednocześnie ekspertów w zakresie lokalnej gospodarki, rozwoju infrastruktury, społeczności lokalnej, kultury, sportu, itd., którzy wnieśli do dyskusji na etapie analizy strategicznej informacje, których zdiagnozowanie na podstawie danych wtórnych</w:t>
      </w:r>
      <w:r w:rsidR="00192EC9">
        <w:rPr>
          <w:rFonts w:asciiTheme="minorHAnsi" w:hAnsiTheme="minorHAnsi" w:cs="Calibri"/>
          <w:sz w:val="22"/>
        </w:rPr>
        <w:t>,</w:t>
      </w:r>
      <w:r w:rsidRPr="00EA21E6">
        <w:rPr>
          <w:rFonts w:asciiTheme="minorHAnsi" w:hAnsiTheme="minorHAnsi" w:cs="Calibri"/>
          <w:sz w:val="22"/>
        </w:rPr>
        <w:t xml:space="preserve"> czy poprzez badania ankietowe byłoby niemożliwe.</w:t>
      </w:r>
    </w:p>
    <w:p w:rsidR="001A123D" w:rsidRPr="00EA21E6" w:rsidRDefault="001A123D" w:rsidP="001A123D">
      <w:pPr>
        <w:spacing w:before="120"/>
        <w:rPr>
          <w:rFonts w:asciiTheme="minorHAnsi" w:hAnsiTheme="minorHAnsi" w:cs="Calibri"/>
          <w:sz w:val="22"/>
        </w:rPr>
      </w:pPr>
      <w:r w:rsidRPr="00EA21E6">
        <w:rPr>
          <w:rFonts w:asciiTheme="minorHAnsi" w:hAnsiTheme="minorHAnsi" w:cs="Calibri"/>
          <w:sz w:val="22"/>
        </w:rPr>
        <w:t>Warsztaty strategiczne poświęcone analizie SWOT miały na celu zidentyfikowanie mocnych i słabych stron gminy oraz szans i zagrożeń dla jej rozwoju oraz ustalenie:</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mocne strony pozwolą wykorzystać zauważone szanse?</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mocne strony pozwolą zniwelować zauważone zagrożenie?</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słabe strony ograniczą możliwość wykorzystania zidentyfikowanych szans?</w:t>
      </w:r>
    </w:p>
    <w:p w:rsidR="001A123D" w:rsidRPr="00EA21E6" w:rsidRDefault="001A123D" w:rsidP="00E6635A">
      <w:pPr>
        <w:numPr>
          <w:ilvl w:val="0"/>
          <w:numId w:val="48"/>
        </w:numPr>
        <w:spacing w:after="120"/>
        <w:ind w:left="714" w:hanging="357"/>
        <w:rPr>
          <w:rFonts w:asciiTheme="minorHAnsi" w:hAnsiTheme="minorHAnsi" w:cs="Calibri"/>
          <w:sz w:val="22"/>
        </w:rPr>
      </w:pPr>
      <w:r w:rsidRPr="00EA21E6">
        <w:rPr>
          <w:rFonts w:asciiTheme="minorHAnsi" w:hAnsiTheme="minorHAnsi" w:cs="Calibri"/>
          <w:sz w:val="22"/>
        </w:rPr>
        <w:t>Czy słabe strony spotęgują ryzyko związane z wystąpieniem zagrożeń?</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sz w:val="22"/>
        </w:rPr>
        <w:t>(analizę przeprowadzono również w odwrotnym kierunku, tzn. od zewnątrz do wewnątrz)</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szanse wzmocnią silne strony?</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szanse pozwolą zniwelować słabości?</w:t>
      </w:r>
    </w:p>
    <w:p w:rsidR="001A123D" w:rsidRPr="00EA21E6" w:rsidRDefault="001A123D" w:rsidP="00E6635A">
      <w:pPr>
        <w:numPr>
          <w:ilvl w:val="0"/>
          <w:numId w:val="48"/>
        </w:numPr>
        <w:ind w:left="714" w:hanging="357"/>
        <w:rPr>
          <w:rFonts w:asciiTheme="minorHAnsi" w:hAnsiTheme="minorHAnsi" w:cs="Calibri"/>
          <w:sz w:val="22"/>
        </w:rPr>
      </w:pPr>
      <w:r w:rsidRPr="00EA21E6">
        <w:rPr>
          <w:rFonts w:asciiTheme="minorHAnsi" w:hAnsiTheme="minorHAnsi" w:cs="Calibri"/>
          <w:sz w:val="22"/>
        </w:rPr>
        <w:t>Czy zagrożenia zniwelują silne strony?</w:t>
      </w:r>
    </w:p>
    <w:p w:rsidR="001A123D" w:rsidRPr="00EA21E6" w:rsidRDefault="001A123D" w:rsidP="00E6635A">
      <w:pPr>
        <w:numPr>
          <w:ilvl w:val="0"/>
          <w:numId w:val="48"/>
        </w:numPr>
        <w:spacing w:after="120"/>
        <w:ind w:left="714" w:hanging="357"/>
        <w:rPr>
          <w:rFonts w:asciiTheme="minorHAnsi" w:hAnsiTheme="minorHAnsi" w:cs="Calibri"/>
          <w:sz w:val="22"/>
        </w:rPr>
      </w:pPr>
      <w:r w:rsidRPr="00EA21E6">
        <w:rPr>
          <w:rFonts w:asciiTheme="minorHAnsi" w:hAnsiTheme="minorHAnsi" w:cs="Calibri"/>
          <w:sz w:val="22"/>
        </w:rPr>
        <w:t>Czy zagrożenia uwypuklą słabości?</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sz w:val="22"/>
        </w:rPr>
        <w:t>Odpowiedzi na powyższe pytania pozwalają zbudować macierz modeli strategii rozwoju, a ich analiza wskazuje, który model najtrafniej odpowiada na potrzeby gminy. Wyróżnić można cztery główne typy strategii: ofensywną, konkurencyjną, konserwatywną lub defensywną.</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b/>
          <w:sz w:val="22"/>
        </w:rPr>
        <w:t>Strategia ofensywna</w:t>
      </w:r>
      <w:r w:rsidRPr="00EA21E6">
        <w:rPr>
          <w:rFonts w:asciiTheme="minorHAnsi" w:hAnsiTheme="minorHAnsi" w:cs="Calibri"/>
          <w:sz w:val="22"/>
        </w:rPr>
        <w:t xml:space="preserve"> cechuje jednostki, które stawiają przede wszystkim na wykorzystanie mocnych stron i nadarzających się szans. Za pomocą swoich atutów wykorzystują szanse rozwoju, a z kolei nadarzające się okazje przekładają na dalsze wzmocnienie atutów.</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b/>
          <w:sz w:val="22"/>
        </w:rPr>
        <w:t>Strategia</w:t>
      </w:r>
      <w:r w:rsidRPr="00EA21E6">
        <w:rPr>
          <w:rFonts w:asciiTheme="minorHAnsi" w:hAnsiTheme="minorHAnsi" w:cs="Calibri"/>
          <w:sz w:val="22"/>
        </w:rPr>
        <w:t xml:space="preserve"> </w:t>
      </w:r>
      <w:r w:rsidRPr="00EA21E6">
        <w:rPr>
          <w:rFonts w:asciiTheme="minorHAnsi" w:hAnsiTheme="minorHAnsi" w:cs="Calibri"/>
          <w:b/>
          <w:sz w:val="22"/>
        </w:rPr>
        <w:t>konkurencyjna</w:t>
      </w:r>
      <w:r w:rsidRPr="00EA21E6">
        <w:rPr>
          <w:rFonts w:asciiTheme="minorHAnsi" w:hAnsiTheme="minorHAnsi" w:cs="Calibri"/>
          <w:sz w:val="22"/>
        </w:rPr>
        <w:t xml:space="preserve"> cechuje jednostki, które nastawiają się na wykorzystywanie nadarzających się szans do eliminowania słabych stron i zamieniania ich w atuty.</w:t>
      </w:r>
    </w:p>
    <w:p w:rsidR="001A123D" w:rsidRPr="00EA21E6" w:rsidRDefault="001A123D" w:rsidP="001A123D">
      <w:pPr>
        <w:spacing w:before="120" w:after="120"/>
        <w:rPr>
          <w:rFonts w:asciiTheme="minorHAnsi" w:hAnsiTheme="minorHAnsi" w:cs="Calibri"/>
          <w:sz w:val="22"/>
        </w:rPr>
      </w:pPr>
      <w:r w:rsidRPr="00EA21E6">
        <w:rPr>
          <w:rFonts w:asciiTheme="minorHAnsi" w:hAnsiTheme="minorHAnsi" w:cs="Calibri"/>
          <w:b/>
          <w:sz w:val="22"/>
        </w:rPr>
        <w:t>Strategia konserwatywna</w:t>
      </w:r>
      <w:r w:rsidRPr="00EA21E6">
        <w:rPr>
          <w:rFonts w:asciiTheme="minorHAnsi" w:hAnsiTheme="minorHAnsi" w:cs="Calibri"/>
          <w:sz w:val="22"/>
        </w:rPr>
        <w:t xml:space="preserve"> cechuje jednostki, które planują maksymalnie wykorzystać mocne strony przy jednoczesnym zmniejszaniu znaczenia dla rozwoju nadchodzących zagrożeń.</w:t>
      </w:r>
    </w:p>
    <w:p w:rsidR="001A123D" w:rsidRPr="00EA21E6" w:rsidRDefault="001A123D" w:rsidP="00B73014">
      <w:pPr>
        <w:spacing w:before="120" w:after="120"/>
        <w:rPr>
          <w:rFonts w:asciiTheme="minorHAnsi" w:hAnsiTheme="minorHAnsi" w:cs="Calibri"/>
          <w:sz w:val="22"/>
        </w:rPr>
      </w:pPr>
      <w:r w:rsidRPr="00EA21E6">
        <w:rPr>
          <w:rFonts w:asciiTheme="minorHAnsi" w:hAnsiTheme="minorHAnsi" w:cs="Calibri"/>
          <w:b/>
          <w:sz w:val="22"/>
        </w:rPr>
        <w:t>Strategia defensywna</w:t>
      </w:r>
      <w:r w:rsidRPr="00EA21E6">
        <w:rPr>
          <w:rFonts w:asciiTheme="minorHAnsi" w:hAnsiTheme="minorHAnsi" w:cs="Calibri"/>
          <w:sz w:val="22"/>
        </w:rPr>
        <w:t xml:space="preserve"> cechuje jednostki, które bronią się przed kryz</w:t>
      </w:r>
      <w:r w:rsidR="00B73014">
        <w:rPr>
          <w:rFonts w:asciiTheme="minorHAnsi" w:hAnsiTheme="minorHAnsi" w:cs="Calibri"/>
          <w:sz w:val="22"/>
        </w:rPr>
        <w:t>ysem, eliminując słabe strony i </w:t>
      </w:r>
      <w:r w:rsidRPr="00EA21E6">
        <w:rPr>
          <w:rFonts w:asciiTheme="minorHAnsi" w:hAnsiTheme="minorHAnsi" w:cs="Calibri"/>
          <w:sz w:val="22"/>
        </w:rPr>
        <w:t>przeciwstawiając się zagrożeniom.</w:t>
      </w: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43</w:t>
      </w:r>
      <w:r w:rsidRPr="000100D2">
        <w:rPr>
          <w:rFonts w:asciiTheme="minorHAnsi" w:hAnsiTheme="minorHAnsi"/>
          <w:noProof/>
          <w:sz w:val="20"/>
        </w:rPr>
        <w:fldChar w:fldCharType="end"/>
      </w:r>
      <w:r w:rsidRPr="000100D2">
        <w:rPr>
          <w:rFonts w:asciiTheme="minorHAnsi" w:hAnsiTheme="minorHAnsi"/>
          <w:sz w:val="20"/>
        </w:rPr>
        <w:t>. Mocne i słabe strony Legnicy</w:t>
      </w:r>
    </w:p>
    <w:tbl>
      <w:tblPr>
        <w:tblW w:w="9492" w:type="dxa"/>
        <w:tblInd w:w="47" w:type="dxa"/>
        <w:tblLayout w:type="fixed"/>
        <w:tblCellMar>
          <w:left w:w="70" w:type="dxa"/>
          <w:right w:w="70" w:type="dxa"/>
        </w:tblCellMar>
        <w:tblLook w:val="04A0" w:firstRow="1" w:lastRow="0" w:firstColumn="1" w:lastColumn="0" w:noHBand="0" w:noVBand="1"/>
      </w:tblPr>
      <w:tblGrid>
        <w:gridCol w:w="3969"/>
        <w:gridCol w:w="697"/>
        <w:gridCol w:w="160"/>
        <w:gridCol w:w="3969"/>
        <w:gridCol w:w="584"/>
        <w:gridCol w:w="113"/>
      </w:tblGrid>
      <w:tr w:rsidR="001A123D" w:rsidRPr="001A123D" w:rsidTr="00B07575">
        <w:trPr>
          <w:trHeight w:val="93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EDEDED" w:themeFill="accent3" w:themeFillTint="33"/>
            <w:noWrap/>
            <w:vAlign w:val="center"/>
            <w:hideMark/>
          </w:tcPr>
          <w:p w:rsidR="001A123D" w:rsidRPr="001A123D" w:rsidRDefault="001A123D" w:rsidP="00B07575">
            <w:pPr>
              <w:spacing w:line="240" w:lineRule="auto"/>
              <w:jc w:val="center"/>
              <w:rPr>
                <w:rFonts w:asciiTheme="minorHAnsi" w:eastAsia="Times New Roman" w:hAnsiTheme="minorHAnsi" w:cs="Arial"/>
                <w:b/>
                <w:color w:val="525252" w:themeColor="accent3" w:themeShade="80"/>
                <w:sz w:val="32"/>
              </w:rPr>
            </w:pPr>
            <w:r w:rsidRPr="001A123D">
              <w:rPr>
                <w:rFonts w:asciiTheme="minorHAnsi" w:eastAsia="Times New Roman" w:hAnsiTheme="minorHAnsi" w:cs="Arial"/>
                <w:b/>
                <w:color w:val="525252" w:themeColor="accent3" w:themeShade="80"/>
                <w:sz w:val="32"/>
              </w:rPr>
              <w:t>Mocne strony</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FFC000"/>
            <w:vAlign w:val="center"/>
          </w:tcPr>
          <w:p w:rsidR="001A123D" w:rsidRPr="001A123D" w:rsidRDefault="001A123D" w:rsidP="00B07575">
            <w:pPr>
              <w:spacing w:line="240" w:lineRule="auto"/>
              <w:jc w:val="center"/>
              <w:rPr>
                <w:rFonts w:asciiTheme="minorHAnsi" w:eastAsia="Times New Roman" w:hAnsiTheme="minorHAnsi" w:cs="Arial"/>
                <w:color w:val="000000" w:themeColor="text1"/>
                <w:sz w:val="32"/>
              </w:rPr>
            </w:pPr>
            <w:r w:rsidRPr="001A123D">
              <w:rPr>
                <w:rFonts w:asciiTheme="minorHAnsi" w:eastAsia="Times New Roman" w:hAnsiTheme="minorHAnsi" w:cs="Arial"/>
                <w:color w:val="000000" w:themeColor="text1"/>
              </w:rPr>
              <w:t>Waga</w:t>
            </w:r>
          </w:p>
        </w:tc>
        <w:tc>
          <w:tcPr>
            <w:tcW w:w="160" w:type="dxa"/>
            <w:vMerge w:val="restart"/>
            <w:tcBorders>
              <w:left w:val="single" w:sz="12" w:space="0" w:color="7B7B7B" w:themeColor="accent3" w:themeShade="BF"/>
              <w:bottom w:val="nil"/>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32"/>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BE4D5" w:themeFill="accent2" w:themeFillTint="33"/>
            <w:noWrap/>
            <w:vAlign w:val="center"/>
            <w:hideMark/>
          </w:tcPr>
          <w:p w:rsidR="001A123D" w:rsidRPr="001A123D" w:rsidRDefault="001A123D" w:rsidP="00B07575">
            <w:pPr>
              <w:spacing w:line="240" w:lineRule="auto"/>
              <w:jc w:val="center"/>
              <w:rPr>
                <w:rFonts w:asciiTheme="minorHAnsi" w:eastAsia="Times New Roman" w:hAnsiTheme="minorHAnsi" w:cs="Arial"/>
                <w:b/>
                <w:color w:val="FF0000"/>
                <w:sz w:val="32"/>
              </w:rPr>
            </w:pPr>
            <w:r w:rsidRPr="001A123D">
              <w:rPr>
                <w:rFonts w:asciiTheme="minorHAnsi" w:eastAsia="Times New Roman" w:hAnsiTheme="minorHAnsi" w:cs="Arial"/>
                <w:b/>
                <w:color w:val="FF0000"/>
                <w:sz w:val="32"/>
              </w:rPr>
              <w:t>Słabe strony</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FC000"/>
            <w:vAlign w:val="center"/>
          </w:tcPr>
          <w:p w:rsidR="001A123D" w:rsidRPr="001A123D" w:rsidRDefault="001A123D" w:rsidP="00B07575">
            <w:pPr>
              <w:spacing w:line="240" w:lineRule="auto"/>
              <w:jc w:val="center"/>
              <w:rPr>
                <w:rFonts w:asciiTheme="minorHAnsi" w:eastAsia="Times New Roman" w:hAnsiTheme="minorHAnsi" w:cs="Arial"/>
                <w:color w:val="000000" w:themeColor="text1"/>
                <w:sz w:val="32"/>
              </w:rPr>
            </w:pPr>
            <w:r w:rsidRPr="001A123D">
              <w:rPr>
                <w:rFonts w:asciiTheme="minorHAnsi" w:eastAsia="Times New Roman" w:hAnsiTheme="minorHAnsi" w:cs="Arial"/>
                <w:color w:val="000000" w:themeColor="text1"/>
              </w:rPr>
              <w:t>Waga</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Duża liczba szkół wyższych oraz studentów kształcących się w legnickich uczelniach</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0C6F1F">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 xml:space="preserve">Brak hali widowiskowo-sportowej o dużej pojemności </w:t>
            </w:r>
            <w:r w:rsidR="000C6F1F">
              <w:rPr>
                <w:rFonts w:asciiTheme="minorHAnsi" w:eastAsia="Times New Roman" w:hAnsiTheme="minorHAnsi" w:cs="Arial"/>
                <w:color w:val="000000" w:themeColor="text1"/>
                <w:sz w:val="20"/>
                <w:szCs w:val="18"/>
              </w:rPr>
              <w:t>uniemożliwiający</w:t>
            </w:r>
            <w:r w:rsidRPr="001A123D">
              <w:rPr>
                <w:rFonts w:asciiTheme="minorHAnsi" w:eastAsia="Times New Roman" w:hAnsiTheme="minorHAnsi" w:cs="Arial"/>
                <w:color w:val="000000" w:themeColor="text1"/>
                <w:sz w:val="20"/>
                <w:szCs w:val="18"/>
              </w:rPr>
              <w:t xml:space="preserve"> organizac</w:t>
            </w:r>
            <w:r w:rsidR="000C6F1F">
              <w:rPr>
                <w:rFonts w:asciiTheme="minorHAnsi" w:eastAsia="Times New Roman" w:hAnsiTheme="minorHAnsi" w:cs="Arial"/>
                <w:color w:val="000000" w:themeColor="text1"/>
                <w:sz w:val="20"/>
                <w:szCs w:val="18"/>
              </w:rPr>
              <w:t>ję</w:t>
            </w:r>
            <w:r w:rsidR="00D03212">
              <w:rPr>
                <w:rFonts w:asciiTheme="minorHAnsi" w:eastAsia="Times New Roman" w:hAnsiTheme="minorHAnsi" w:cs="Arial"/>
                <w:color w:val="000000" w:themeColor="text1"/>
                <w:sz w:val="20"/>
                <w:szCs w:val="18"/>
              </w:rPr>
              <w:t xml:space="preserve"> dużych wydarzeń sportowych i </w:t>
            </w:r>
            <w:r w:rsidRPr="001A123D">
              <w:rPr>
                <w:rFonts w:asciiTheme="minorHAnsi" w:eastAsia="Times New Roman" w:hAnsiTheme="minorHAnsi" w:cs="Arial"/>
                <w:color w:val="000000" w:themeColor="text1"/>
                <w:sz w:val="20"/>
                <w:szCs w:val="18"/>
              </w:rPr>
              <w:t>kulturowych na terenie Legnicy</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0,13</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D87F42">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 xml:space="preserve">Rozbudowana baza </w:t>
            </w:r>
            <w:r w:rsidR="00D87F42">
              <w:rPr>
                <w:rFonts w:asciiTheme="minorHAnsi" w:eastAsia="Times New Roman" w:hAnsiTheme="minorHAnsi" w:cs="Arial"/>
                <w:color w:val="000000" w:themeColor="text1"/>
                <w:sz w:val="20"/>
                <w:szCs w:val="18"/>
              </w:rPr>
              <w:t>hotelowa</w:t>
            </w:r>
            <w:r w:rsidRPr="001A123D">
              <w:rPr>
                <w:rFonts w:asciiTheme="minorHAnsi" w:eastAsia="Times New Roman" w:hAnsiTheme="minorHAnsi" w:cs="Arial"/>
                <w:color w:val="000000" w:themeColor="text1"/>
                <w:sz w:val="20"/>
                <w:szCs w:val="18"/>
              </w:rPr>
              <w:t xml:space="preserve"> oraz relatywnie wysoka liczba osób korzystających z noclegów</w:t>
            </w:r>
            <w:r w:rsidR="00192EC9">
              <w:rPr>
                <w:rFonts w:asciiTheme="minorHAnsi" w:eastAsia="Times New Roman" w:hAnsiTheme="minorHAnsi" w:cs="Arial"/>
                <w:color w:val="000000" w:themeColor="text1"/>
                <w:sz w:val="20"/>
                <w:szCs w:val="18"/>
              </w:rPr>
              <w:t>,</w:t>
            </w:r>
            <w:r w:rsidRPr="001A123D">
              <w:rPr>
                <w:rFonts w:asciiTheme="minorHAnsi" w:eastAsia="Times New Roman" w:hAnsiTheme="minorHAnsi" w:cs="Arial"/>
                <w:color w:val="000000" w:themeColor="text1"/>
                <w:sz w:val="20"/>
                <w:szCs w:val="18"/>
              </w:rPr>
              <w:t xml:space="preserve"> głównie w celach biznesowych</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Relatywnie niskie średnie dochody mieszkańców</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Rozbudowana baza sportowa i rekreacyjno-wypoczynkowa, szczególnie dla celów lokalnych</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Słabe połą</w:t>
            </w:r>
            <w:r w:rsidR="00D03212">
              <w:rPr>
                <w:rFonts w:asciiTheme="minorHAnsi" w:eastAsia="Times New Roman" w:hAnsiTheme="minorHAnsi" w:cs="Arial"/>
                <w:color w:val="000000" w:themeColor="text1"/>
                <w:sz w:val="20"/>
                <w:szCs w:val="18"/>
              </w:rPr>
              <w:t>czenia komunikacji publicznej z </w:t>
            </w:r>
            <w:r w:rsidRPr="001A123D">
              <w:rPr>
                <w:rFonts w:asciiTheme="minorHAnsi" w:eastAsia="Times New Roman" w:hAnsiTheme="minorHAnsi" w:cs="Arial"/>
                <w:color w:val="000000" w:themeColor="text1"/>
                <w:sz w:val="20"/>
                <w:szCs w:val="18"/>
              </w:rPr>
              <w:t>sąsiednimi obszarami i okalającymi gminami. Oparcie komunikacji na funkcjonowaniu prywatnych busów</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0,13</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Tradycja i doświadczenie w organizacji ważnych wydarzeń kulturalnych - Satyrykon, Legnica Cantat,</w:t>
            </w:r>
            <w:r w:rsidR="00192EC9">
              <w:rPr>
                <w:rFonts w:asciiTheme="minorHAnsi" w:eastAsia="Times New Roman" w:hAnsiTheme="minorHAnsi" w:cs="Arial"/>
                <w:color w:val="000000" w:themeColor="text1"/>
                <w:sz w:val="20"/>
                <w:szCs w:val="18"/>
              </w:rPr>
              <w:t xml:space="preserve"> Festiwal SREBRO, itd.</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Utrzymujące się wysokie wskaźniki przestępczości</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Korzystne położenie komunikacyjne Miasta (A4, S3, dr. Nr 94, E-30)</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0,10</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center"/>
            <w:hideMark/>
          </w:tcPr>
          <w:p w:rsidR="001A123D" w:rsidRPr="001A123D" w:rsidRDefault="001A123D" w:rsidP="002B2D51">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 xml:space="preserve">Brak </w:t>
            </w:r>
            <w:r w:rsidR="002B2D51">
              <w:rPr>
                <w:rFonts w:asciiTheme="minorHAnsi" w:eastAsia="Times New Roman" w:hAnsiTheme="minorHAnsi" w:cs="Arial"/>
                <w:color w:val="000000" w:themeColor="text1"/>
                <w:sz w:val="20"/>
                <w:szCs w:val="18"/>
              </w:rPr>
              <w:t>zaangażowania</w:t>
            </w:r>
            <w:r w:rsidRPr="001A123D">
              <w:rPr>
                <w:rFonts w:asciiTheme="minorHAnsi" w:eastAsia="Times New Roman" w:hAnsiTheme="minorHAnsi" w:cs="Arial"/>
                <w:color w:val="000000" w:themeColor="text1"/>
                <w:sz w:val="20"/>
                <w:szCs w:val="18"/>
              </w:rPr>
              <w:t xml:space="preserve"> zagranicznych firm działających w LSSE</w:t>
            </w:r>
            <w:r w:rsidR="002B2D51">
              <w:rPr>
                <w:rFonts w:asciiTheme="minorHAnsi" w:eastAsia="Times New Roman" w:hAnsiTheme="minorHAnsi" w:cs="Arial"/>
                <w:color w:val="000000" w:themeColor="text1"/>
                <w:sz w:val="20"/>
                <w:szCs w:val="18"/>
              </w:rPr>
              <w:t xml:space="preserve"> w</w:t>
            </w:r>
            <w:r w:rsidRPr="001A123D">
              <w:rPr>
                <w:rFonts w:asciiTheme="minorHAnsi" w:eastAsia="Times New Roman" w:hAnsiTheme="minorHAnsi" w:cs="Arial"/>
                <w:color w:val="000000" w:themeColor="text1"/>
                <w:sz w:val="20"/>
                <w:szCs w:val="18"/>
              </w:rPr>
              <w:t xml:space="preserve"> </w:t>
            </w:r>
            <w:r w:rsidR="002B3340">
              <w:rPr>
                <w:rFonts w:asciiTheme="minorHAnsi" w:eastAsia="Times New Roman" w:hAnsiTheme="minorHAnsi" w:cs="Arial"/>
                <w:color w:val="000000" w:themeColor="text1"/>
                <w:sz w:val="20"/>
                <w:szCs w:val="18"/>
              </w:rPr>
              <w:t>inicjatywy</w:t>
            </w:r>
            <w:r w:rsidR="002B2D51">
              <w:rPr>
                <w:rFonts w:asciiTheme="minorHAnsi" w:eastAsia="Times New Roman" w:hAnsiTheme="minorHAnsi" w:cs="Arial"/>
                <w:color w:val="000000" w:themeColor="text1"/>
                <w:sz w:val="20"/>
                <w:szCs w:val="18"/>
              </w:rPr>
              <w:t xml:space="preserve"> </w:t>
            </w:r>
            <w:r w:rsidR="002B3340">
              <w:rPr>
                <w:rFonts w:asciiTheme="minorHAnsi" w:eastAsia="Times New Roman" w:hAnsiTheme="minorHAnsi" w:cs="Arial"/>
                <w:color w:val="000000" w:themeColor="text1"/>
                <w:sz w:val="20"/>
                <w:szCs w:val="18"/>
              </w:rPr>
              <w:t>społeczne miasta</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0,08</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Bliskość Wroc</w:t>
            </w:r>
            <w:r w:rsidR="00D03212">
              <w:rPr>
                <w:rFonts w:asciiTheme="minorHAnsi" w:eastAsia="Times New Roman" w:hAnsiTheme="minorHAnsi" w:cs="Arial"/>
                <w:color w:val="000000" w:themeColor="text1"/>
                <w:sz w:val="20"/>
                <w:szCs w:val="18"/>
              </w:rPr>
              <w:t>ławia - możliwość korzystania z </w:t>
            </w:r>
            <w:r w:rsidRPr="001A123D">
              <w:rPr>
                <w:rFonts w:asciiTheme="minorHAnsi" w:eastAsia="Times New Roman" w:hAnsiTheme="minorHAnsi" w:cs="Arial"/>
                <w:color w:val="000000" w:themeColor="text1"/>
                <w:sz w:val="20"/>
                <w:szCs w:val="18"/>
              </w:rPr>
              <w:t>usług wyższego rzędu, usług metropolitalnych, rynku pracy i dużego rynku konsumenckiego</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0,04</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Brak ście</w:t>
            </w:r>
            <w:r w:rsidR="00D03212">
              <w:rPr>
                <w:rFonts w:asciiTheme="minorHAnsi" w:eastAsia="Times New Roman" w:hAnsiTheme="minorHAnsi" w:cs="Arial"/>
                <w:color w:val="000000" w:themeColor="text1"/>
                <w:sz w:val="20"/>
                <w:szCs w:val="18"/>
              </w:rPr>
              <w:t>żek rowerowych zintegrowanych z </w:t>
            </w:r>
            <w:r w:rsidRPr="001A123D">
              <w:rPr>
                <w:rFonts w:asciiTheme="minorHAnsi" w:eastAsia="Times New Roman" w:hAnsiTheme="minorHAnsi" w:cs="Arial"/>
                <w:color w:val="000000" w:themeColor="text1"/>
                <w:sz w:val="20"/>
                <w:szCs w:val="18"/>
              </w:rPr>
              <w:t>sąsiednimi gminami</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r>
      <w:tr w:rsidR="001A123D" w:rsidRPr="001A123D" w:rsidTr="00B07575">
        <w:trPr>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 xml:space="preserve">Dostępność </w:t>
            </w:r>
            <w:r w:rsidR="00D03212">
              <w:rPr>
                <w:rFonts w:asciiTheme="minorHAnsi" w:eastAsia="Times New Roman" w:hAnsiTheme="minorHAnsi" w:cs="Arial"/>
                <w:color w:val="000000" w:themeColor="text1"/>
                <w:sz w:val="20"/>
                <w:szCs w:val="18"/>
              </w:rPr>
              <w:t>terenów inwestycyjnych, w tym w </w:t>
            </w:r>
            <w:r w:rsidRPr="001A123D">
              <w:rPr>
                <w:rFonts w:asciiTheme="minorHAnsi" w:eastAsia="Times New Roman" w:hAnsiTheme="minorHAnsi" w:cs="Arial"/>
                <w:color w:val="000000" w:themeColor="text1"/>
                <w:sz w:val="20"/>
                <w:szCs w:val="18"/>
              </w:rPr>
              <w:t>ramach Legni</w:t>
            </w:r>
            <w:r w:rsidR="00192EC9">
              <w:rPr>
                <w:rFonts w:asciiTheme="minorHAnsi" w:eastAsia="Times New Roman" w:hAnsiTheme="minorHAnsi" w:cs="Arial"/>
                <w:color w:val="000000" w:themeColor="text1"/>
                <w:sz w:val="20"/>
                <w:szCs w:val="18"/>
              </w:rPr>
              <w:t>ckiej Specjalnej Strefy</w:t>
            </w:r>
            <w:r w:rsidRPr="001A123D">
              <w:rPr>
                <w:rFonts w:asciiTheme="minorHAnsi" w:eastAsia="Times New Roman" w:hAnsiTheme="minorHAnsi" w:cs="Arial"/>
                <w:color w:val="000000" w:themeColor="text1"/>
                <w:sz w:val="20"/>
                <w:szCs w:val="18"/>
              </w:rPr>
              <w:t xml:space="preserve"> Ekonomicznej  </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0,09</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Duże obciążenie ruchem komunikacyjnym wewnętrznego układu drogowego</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0,09</w:t>
            </w:r>
          </w:p>
        </w:tc>
      </w:tr>
      <w:tr w:rsidR="001A123D" w:rsidRPr="001A123D" w:rsidTr="00B07575">
        <w:trPr>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noWrap/>
            <w:vAlign w:val="bottom"/>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Dobry dostęp do placówek wychowania przedszk</w:t>
            </w:r>
            <w:r w:rsidR="00D03212">
              <w:rPr>
                <w:rFonts w:asciiTheme="minorHAnsi" w:eastAsia="Times New Roman" w:hAnsiTheme="minorHAnsi" w:cs="Arial"/>
                <w:color w:val="000000" w:themeColor="text1"/>
                <w:sz w:val="20"/>
                <w:szCs w:val="18"/>
              </w:rPr>
              <w:t>olnego i edukacji podstawowej i </w:t>
            </w:r>
            <w:r w:rsidRPr="001A123D">
              <w:rPr>
                <w:rFonts w:asciiTheme="minorHAnsi" w:eastAsia="Times New Roman" w:hAnsiTheme="minorHAnsi" w:cs="Arial"/>
                <w:color w:val="000000" w:themeColor="text1"/>
                <w:sz w:val="20"/>
                <w:szCs w:val="18"/>
              </w:rPr>
              <w:t>gimnazjalnej</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0,04</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Zanieczyszczenie środowiska: wysokie stężenie zanieczyszczeń powietrza - niska emisja, zanieczyszczenie gleb w pobliżu Huty Miedzi, występowanie dzikich wysypisk</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r>
      <w:tr w:rsidR="001A123D" w:rsidRPr="001A123D" w:rsidTr="00B07575">
        <w:trPr>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Dostęp do usług administracji ponadlokalnej</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0,03</w:t>
            </w:r>
          </w:p>
        </w:tc>
        <w:tc>
          <w:tcPr>
            <w:tcW w:w="160" w:type="dxa"/>
            <w:vMerge/>
            <w:tcBorders>
              <w:left w:val="single" w:sz="12" w:space="0" w:color="7B7B7B" w:themeColor="accent3" w:themeShade="BF"/>
              <w:right w:val="single" w:sz="12" w:space="0" w:color="C45911" w:themeColor="accent2"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Wysoki stopień degradacji znacznej części historycznej zabudowy Miasta</w:t>
            </w:r>
          </w:p>
        </w:tc>
        <w:tc>
          <w:tcPr>
            <w:tcW w:w="697" w:type="dxa"/>
            <w:gridSpan w:val="2"/>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0,12</w:t>
            </w:r>
          </w:p>
        </w:tc>
      </w:tr>
      <w:tr w:rsidR="001A123D" w:rsidRPr="001A123D" w:rsidTr="00B07575">
        <w:trPr>
          <w:gridAfter w:val="1"/>
          <w:wAfter w:w="113" w:type="dxa"/>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Dobre wyposażenie placówek opieki zdrowotnej, funkcjonowanie Wojewódzkiego Szpitala Specjalistycznego</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val="restart"/>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 xml:space="preserve">Dobrze rozbudowana infrastruktura usług kultury </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0,07</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Korzystny rynek pracy. Relatywnie niski poziom bezrobocia, wzrastająca liczba zarejestrowanych podmiotów gosp.</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center"/>
            <w:hideMark/>
          </w:tcPr>
          <w:p w:rsidR="001A123D" w:rsidRPr="001A123D" w:rsidRDefault="00D87F42" w:rsidP="00B07575">
            <w:pPr>
              <w:spacing w:line="240" w:lineRule="auto"/>
              <w:rPr>
                <w:rFonts w:asciiTheme="minorHAnsi" w:eastAsia="Times New Roman" w:hAnsiTheme="minorHAnsi" w:cs="Arial"/>
                <w:color w:val="000000" w:themeColor="text1"/>
                <w:sz w:val="20"/>
                <w:szCs w:val="18"/>
              </w:rPr>
            </w:pPr>
            <w:r>
              <w:rPr>
                <w:rFonts w:asciiTheme="minorHAnsi" w:eastAsia="Times New Roman" w:hAnsiTheme="minorHAnsi" w:cs="Arial"/>
                <w:color w:val="000000" w:themeColor="text1"/>
                <w:sz w:val="20"/>
                <w:szCs w:val="18"/>
              </w:rPr>
              <w:t>Stabilna</w:t>
            </w:r>
            <w:r w:rsidR="001A123D" w:rsidRPr="001A123D">
              <w:rPr>
                <w:rFonts w:asciiTheme="minorHAnsi" w:eastAsia="Times New Roman" w:hAnsiTheme="minorHAnsi" w:cs="Arial"/>
                <w:color w:val="000000" w:themeColor="text1"/>
                <w:sz w:val="20"/>
                <w:szCs w:val="18"/>
              </w:rPr>
              <w:t xml:space="preserve"> kondycja budżetu Miasta</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0,05</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Wysoka dostępność do infrastruktury technicznej i usług komunalnych</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480"/>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Szkolnictwo zawodowe na poziomie ponadgimnazjalnym doposażone i z bogatą ofertą. Wspó</w:t>
            </w:r>
            <w:r w:rsidR="00D03212">
              <w:rPr>
                <w:rFonts w:asciiTheme="minorHAnsi" w:eastAsia="Times New Roman" w:hAnsiTheme="minorHAnsi" w:cs="Arial"/>
                <w:color w:val="000000" w:themeColor="text1"/>
                <w:sz w:val="20"/>
                <w:szCs w:val="18"/>
              </w:rPr>
              <w:t>łpraca szkół zawodowych z </w:t>
            </w:r>
            <w:r w:rsidRPr="001A123D">
              <w:rPr>
                <w:rFonts w:asciiTheme="minorHAnsi" w:eastAsia="Times New Roman" w:hAnsiTheme="minorHAnsi" w:cs="Arial"/>
                <w:color w:val="000000" w:themeColor="text1"/>
                <w:sz w:val="20"/>
                <w:szCs w:val="18"/>
              </w:rPr>
              <w:t>pracodaw</w:t>
            </w:r>
            <w:r w:rsidR="00D03212">
              <w:rPr>
                <w:rFonts w:asciiTheme="minorHAnsi" w:eastAsia="Times New Roman" w:hAnsiTheme="minorHAnsi" w:cs="Arial"/>
                <w:color w:val="000000" w:themeColor="text1"/>
                <w:sz w:val="20"/>
                <w:szCs w:val="18"/>
              </w:rPr>
              <w:t>cami strefy ekonomicznej oraz z </w:t>
            </w:r>
            <w:r w:rsidRPr="001A123D">
              <w:rPr>
                <w:rFonts w:asciiTheme="minorHAnsi" w:eastAsia="Times New Roman" w:hAnsiTheme="minorHAnsi" w:cs="Arial"/>
                <w:color w:val="000000" w:themeColor="text1"/>
                <w:sz w:val="20"/>
                <w:szCs w:val="18"/>
              </w:rPr>
              <w:t>wyższymi uczelniami technicznymi</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0,05</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Liczne instytucje otoczenia biznesu</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0,03</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Spec</w:t>
            </w:r>
            <w:r w:rsidR="00D03212">
              <w:rPr>
                <w:rFonts w:asciiTheme="minorHAnsi" w:eastAsia="Times New Roman" w:hAnsiTheme="minorHAnsi" w:cs="Arial"/>
                <w:color w:val="000000" w:themeColor="text1"/>
                <w:sz w:val="20"/>
                <w:szCs w:val="18"/>
              </w:rPr>
              <w:t>yficzne dziedzictwo kulturowe i </w:t>
            </w:r>
            <w:r w:rsidRPr="001A123D">
              <w:rPr>
                <w:rFonts w:asciiTheme="minorHAnsi" w:eastAsia="Times New Roman" w:hAnsiTheme="minorHAnsi" w:cs="Arial"/>
                <w:color w:val="000000" w:themeColor="text1"/>
                <w:sz w:val="20"/>
                <w:szCs w:val="18"/>
              </w:rPr>
              <w:t>historyczne b</w:t>
            </w:r>
            <w:r w:rsidR="00D03212">
              <w:rPr>
                <w:rFonts w:asciiTheme="minorHAnsi" w:eastAsia="Times New Roman" w:hAnsiTheme="minorHAnsi" w:cs="Arial"/>
                <w:color w:val="000000" w:themeColor="text1"/>
                <w:sz w:val="20"/>
                <w:szCs w:val="18"/>
              </w:rPr>
              <w:t>udujące potencjał turystyczny i </w:t>
            </w:r>
            <w:r w:rsidRPr="001A123D">
              <w:rPr>
                <w:rFonts w:asciiTheme="minorHAnsi" w:eastAsia="Times New Roman" w:hAnsiTheme="minorHAnsi" w:cs="Arial"/>
                <w:color w:val="000000" w:themeColor="text1"/>
                <w:sz w:val="20"/>
                <w:szCs w:val="18"/>
              </w:rPr>
              <w:t>rozwój kulturalny Legnicy</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0,06</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113" w:type="dxa"/>
          <w:trHeight w:val="285"/>
        </w:trPr>
        <w:tc>
          <w:tcPr>
            <w:tcW w:w="3969"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Bliskość lotniska we Wrocławiu</w:t>
            </w:r>
          </w:p>
        </w:tc>
        <w:tc>
          <w:tcPr>
            <w:tcW w:w="697" w:type="dxa"/>
            <w:tc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tcBorders>
            <w:shd w:val="clear" w:color="auto" w:fill="auto"/>
            <w:vAlign w:val="bottom"/>
          </w:tcPr>
          <w:p w:rsidR="001A123D" w:rsidRPr="001A123D" w:rsidRDefault="001A123D" w:rsidP="00B07575">
            <w:pPr>
              <w:jc w:val="right"/>
              <w:rPr>
                <w:rFonts w:asciiTheme="minorHAnsi" w:hAnsiTheme="minorHAnsi" w:cs="Arial"/>
                <w:color w:val="000000"/>
                <w:sz w:val="20"/>
              </w:rPr>
            </w:pPr>
            <w:r w:rsidRPr="001A123D">
              <w:rPr>
                <w:rFonts w:asciiTheme="minorHAnsi" w:hAnsiTheme="minorHAnsi" w:cs="Arial"/>
                <w:color w:val="000000"/>
                <w:sz w:val="20"/>
              </w:rPr>
              <w:t>0,03</w:t>
            </w:r>
          </w:p>
        </w:tc>
        <w:tc>
          <w:tcPr>
            <w:tcW w:w="160" w:type="dxa"/>
            <w:vMerge/>
            <w:tcBorders>
              <w:left w:val="single" w:sz="12" w:space="0" w:color="7B7B7B" w:themeColor="accent3" w:themeShade="BF"/>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553"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bl>
    <w:p w:rsidR="001A123D" w:rsidRDefault="001A123D" w:rsidP="001A123D">
      <w:pPr>
        <w:rPr>
          <w:rFonts w:asciiTheme="minorHAnsi" w:hAnsiTheme="minorHAnsi"/>
          <w:sz w:val="22"/>
        </w:rPr>
      </w:pPr>
      <w:r w:rsidRPr="00EA21E6">
        <w:rPr>
          <w:rFonts w:asciiTheme="minorHAnsi" w:hAnsiTheme="minorHAnsi"/>
          <w:sz w:val="22"/>
        </w:rPr>
        <w:t>Źródło: Opracowanie własne</w:t>
      </w:r>
      <w:r w:rsidR="008B3862">
        <w:rPr>
          <w:rFonts w:asciiTheme="minorHAnsi" w:hAnsiTheme="minorHAnsi"/>
          <w:sz w:val="22"/>
        </w:rPr>
        <w:t>.</w:t>
      </w:r>
    </w:p>
    <w:p w:rsidR="00EA21E6" w:rsidRPr="00EA21E6" w:rsidRDefault="00EA21E6"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Czynnikiem rozwoju o szczególnym znaczeniu dla rozwoju Miasta Legnicy jest jej </w:t>
      </w:r>
      <w:r w:rsidRPr="00EA21E6">
        <w:rPr>
          <w:rFonts w:asciiTheme="minorHAnsi" w:hAnsiTheme="minorHAnsi"/>
          <w:b/>
          <w:sz w:val="22"/>
        </w:rPr>
        <w:t>dogodne położenie w układzie komunikacyjnym kraju</w:t>
      </w:r>
      <w:r w:rsidRPr="00EA21E6">
        <w:rPr>
          <w:rFonts w:asciiTheme="minorHAnsi" w:hAnsiTheme="minorHAnsi"/>
          <w:sz w:val="22"/>
        </w:rPr>
        <w:t>. Przez Legnicę przebiega paneuropejski szlak transportowy TEN-T łączący wchód z zachodem Europy, którego głównymi elementami są autostrada A4 oraz magistrala kolejowa E-30. Dodatkowo rozbudowywana jest trasa S-3, która w przyszło</w:t>
      </w:r>
      <w:r w:rsidR="00606546">
        <w:rPr>
          <w:rFonts w:asciiTheme="minorHAnsi" w:hAnsiTheme="minorHAnsi"/>
          <w:sz w:val="22"/>
        </w:rPr>
        <w:t>ści stanowić będzie alternatywny</w:t>
      </w:r>
      <w:r w:rsidRPr="00EA21E6">
        <w:rPr>
          <w:rFonts w:asciiTheme="minorHAnsi" w:hAnsiTheme="minorHAnsi"/>
          <w:sz w:val="22"/>
        </w:rPr>
        <w:t xml:space="preserve"> korytarz transportowy łączący północ Polski z jej południową granicą. Położona w centrum województwa Legnica charakteryzuje się relatywnie krótkimi czasami przejazdu do głównych ośrodków miejskich Dolnego Śląska i granic: czeskiej i niemieckiej. </w:t>
      </w:r>
      <w:r w:rsidRPr="00EA21E6">
        <w:rPr>
          <w:rFonts w:asciiTheme="minorHAnsi" w:hAnsiTheme="minorHAnsi"/>
          <w:b/>
          <w:sz w:val="22"/>
        </w:rPr>
        <w:t xml:space="preserve">Bliskość wrocławskiego lotniska międzynarodowego </w:t>
      </w:r>
      <w:r w:rsidRPr="00EA21E6">
        <w:rPr>
          <w:rFonts w:asciiTheme="minorHAnsi" w:hAnsiTheme="minorHAnsi"/>
          <w:sz w:val="22"/>
        </w:rPr>
        <w:t xml:space="preserve">oddalonego zaledwie o około 40 min. jazdy samochodem również wpływa na atrakcyjność Legnicy jako miasta dogodnego do lokalizacji centrów logistycznych i biznesowych.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Rozsądna polityka planowania przestrzennego miasta sprawiła, że obszar zlokalizowany bezpośrednio przy głównych szlakach komunikacyjnych został przeznaczony pod nowe inwestycje. Tereny te są systematycznie uzbrajane, a część z nich objęta jest preferencyjnymi warunkami prowadzenia działalności gospodarczej w ramach </w:t>
      </w:r>
      <w:r w:rsidRPr="00EA21E6">
        <w:rPr>
          <w:rFonts w:asciiTheme="minorHAnsi" w:hAnsiTheme="minorHAnsi"/>
          <w:b/>
          <w:sz w:val="22"/>
        </w:rPr>
        <w:t xml:space="preserve">Legnickiej Specjalnej Strefy Ekonomicznej. Dostępność terenów inwestycyjnych, </w:t>
      </w:r>
      <w:r w:rsidRPr="00EA21E6">
        <w:rPr>
          <w:rFonts w:asciiTheme="minorHAnsi" w:hAnsiTheme="minorHAnsi"/>
          <w:sz w:val="22"/>
        </w:rPr>
        <w:t xml:space="preserve">o wysokim stopniu skomunikowania i uzbrojenia, </w:t>
      </w:r>
      <w:r w:rsidRPr="00EA21E6">
        <w:rPr>
          <w:rFonts w:asciiTheme="minorHAnsi" w:hAnsiTheme="minorHAnsi"/>
          <w:b/>
          <w:sz w:val="22"/>
        </w:rPr>
        <w:t>bliskość Wrocławia</w:t>
      </w:r>
      <w:r w:rsidRPr="00EA21E6">
        <w:rPr>
          <w:rFonts w:asciiTheme="minorHAnsi" w:hAnsiTheme="minorHAnsi"/>
          <w:sz w:val="22"/>
        </w:rPr>
        <w:t xml:space="preserve"> z jego dużym rynkiem zbytu i zapleczem infrastrukturalnym, </w:t>
      </w:r>
      <w:r w:rsidRPr="00EA21E6">
        <w:rPr>
          <w:rFonts w:asciiTheme="minorHAnsi" w:hAnsiTheme="minorHAnsi"/>
          <w:b/>
          <w:sz w:val="22"/>
        </w:rPr>
        <w:t xml:space="preserve">działanie licznych instytucji otoczenia biznesu </w:t>
      </w:r>
      <w:r w:rsidRPr="00EA21E6">
        <w:rPr>
          <w:rFonts w:asciiTheme="minorHAnsi" w:hAnsiTheme="minorHAnsi"/>
          <w:sz w:val="22"/>
        </w:rPr>
        <w:t>oraz duży potencjał kadrowy sprawiają, że Legnica staje się wysoce atrakcyjnym miejscem do lokowania kapitału przez potencjalnych inwestorów.</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O ile komunikacja zewnętrza przebiega sprawnie</w:t>
      </w:r>
      <w:r w:rsidR="000F19BA">
        <w:rPr>
          <w:rFonts w:asciiTheme="minorHAnsi" w:hAnsiTheme="minorHAnsi"/>
          <w:sz w:val="22"/>
        </w:rPr>
        <w:t>,</w:t>
      </w:r>
      <w:r w:rsidRPr="00EA21E6">
        <w:rPr>
          <w:rFonts w:asciiTheme="minorHAnsi" w:hAnsiTheme="minorHAnsi"/>
          <w:sz w:val="22"/>
        </w:rPr>
        <w:t xml:space="preserve"> o </w:t>
      </w:r>
      <w:r w:rsidRPr="00EA21E6">
        <w:rPr>
          <w:rFonts w:asciiTheme="minorHAnsi" w:hAnsiTheme="minorHAnsi"/>
          <w:b/>
          <w:sz w:val="22"/>
        </w:rPr>
        <w:t>tyle wewnętrzny układ komunikacyjny jest wciąż obciążony</w:t>
      </w:r>
      <w:r w:rsidRPr="00EA21E6">
        <w:rPr>
          <w:rFonts w:asciiTheme="minorHAnsi" w:hAnsiTheme="minorHAnsi"/>
          <w:sz w:val="22"/>
        </w:rPr>
        <w:t xml:space="preserve"> wzmożonym ruchem drogowym, a zwłaszcza tranzytowym. Sytuacja ta ulega stopniowej poprawie, a planowane inwestycje drogowe miasta powinny w znacznym stopniu ograniczyć ten problem w niedalekiej przyszłości, zwłaszcza poprzez</w:t>
      </w:r>
      <w:r w:rsidR="00606546">
        <w:rPr>
          <w:rFonts w:asciiTheme="minorHAnsi" w:hAnsiTheme="minorHAnsi"/>
          <w:sz w:val="22"/>
        </w:rPr>
        <w:t xml:space="preserve"> kontynuację</w:t>
      </w:r>
      <w:r w:rsidRPr="00EA21E6">
        <w:rPr>
          <w:rFonts w:asciiTheme="minorHAnsi" w:hAnsiTheme="minorHAnsi"/>
          <w:sz w:val="22"/>
        </w:rPr>
        <w:t xml:space="preserve"> budow</w:t>
      </w:r>
      <w:r w:rsidR="00606546">
        <w:rPr>
          <w:rFonts w:asciiTheme="minorHAnsi" w:hAnsiTheme="minorHAnsi"/>
          <w:sz w:val="22"/>
        </w:rPr>
        <w:t>y</w:t>
      </w:r>
      <w:r w:rsidRPr="00EA21E6">
        <w:rPr>
          <w:rFonts w:asciiTheme="minorHAnsi" w:hAnsiTheme="minorHAnsi"/>
          <w:sz w:val="22"/>
        </w:rPr>
        <w:t xml:space="preserve"> południowo-wschodniej obwodnicy miasta oraz dodatkowego mostu przez Kaczawę</w:t>
      </w:r>
      <w:r w:rsidR="00606546">
        <w:rPr>
          <w:rFonts w:asciiTheme="minorHAnsi" w:hAnsiTheme="minorHAnsi"/>
          <w:sz w:val="22"/>
        </w:rPr>
        <w:t>, w ramach realizowanej budowy drogi zbiorczej połduniowej</w:t>
      </w:r>
      <w:r w:rsidRPr="00EA21E6">
        <w:rPr>
          <w:rFonts w:asciiTheme="minorHAnsi" w:hAnsiTheme="minorHAnsi"/>
          <w:sz w:val="22"/>
        </w:rPr>
        <w:t xml:space="preserve">. Kolejnym mankamentem jest brak odpowiedniego skomunikowania z gminami otaczającymi Legnicę, których mieszkańcy pracują lub uczą się w Legnicy oraz korzystają z usług jej rozbudowanej infrastruktury. </w:t>
      </w:r>
      <w:r w:rsidRPr="00EA21E6">
        <w:rPr>
          <w:rFonts w:asciiTheme="minorHAnsi" w:hAnsiTheme="minorHAnsi"/>
          <w:b/>
          <w:sz w:val="22"/>
        </w:rPr>
        <w:t>Ścieżki rowerowe nie są odpowiednio zintegrowane</w:t>
      </w:r>
      <w:r w:rsidRPr="00EA21E6">
        <w:rPr>
          <w:rFonts w:asciiTheme="minorHAnsi" w:hAnsiTheme="minorHAnsi"/>
          <w:sz w:val="22"/>
        </w:rPr>
        <w:t xml:space="preserve"> z sąsiednimi szlakami i trasami rowerowymi</w:t>
      </w:r>
      <w:r w:rsidR="000F19BA">
        <w:rPr>
          <w:rFonts w:asciiTheme="minorHAnsi" w:hAnsiTheme="minorHAnsi"/>
          <w:sz w:val="22"/>
        </w:rPr>
        <w:t>,</w:t>
      </w:r>
      <w:r w:rsidRPr="00EA21E6">
        <w:rPr>
          <w:rFonts w:asciiTheme="minorHAnsi" w:hAnsiTheme="minorHAnsi"/>
          <w:sz w:val="22"/>
        </w:rPr>
        <w:t xml:space="preserve"> przez co ograniczają możliwości poruszania się oraz nie sprzyjają aktywnej rekreacji mieszkańców. </w:t>
      </w:r>
      <w:r w:rsidRPr="00EA21E6">
        <w:rPr>
          <w:rFonts w:asciiTheme="minorHAnsi" w:hAnsiTheme="minorHAnsi"/>
          <w:b/>
          <w:sz w:val="22"/>
        </w:rPr>
        <w:t xml:space="preserve">Sieć połączeń komunikacji publicznej również jest niewystarczająca. </w:t>
      </w:r>
      <w:r w:rsidRPr="00EA21E6">
        <w:rPr>
          <w:rFonts w:asciiTheme="minorHAnsi" w:hAnsiTheme="minorHAnsi"/>
          <w:sz w:val="22"/>
        </w:rPr>
        <w:t xml:space="preserve">Brakuje zintegrowanego systemu komunikacji autobusowej oraz połączeń kolejowych z innymi ważnymi ośrodkami LGOP jak Lubin czy Głogów, który usprawniłby przepływ kapitału ludzkiego.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Legnica charakteryzuje się stabilną sytuacją gospodarczą. Mimo okresu recesji na światowych rynkach finansowych liczba przedsiębiorstw w Legnicy wykazywała trend rosnący w ostatnich latach, co odbiło się na relatywnie </w:t>
      </w:r>
      <w:r w:rsidRPr="00EA21E6">
        <w:rPr>
          <w:rFonts w:asciiTheme="minorHAnsi" w:hAnsiTheme="minorHAnsi"/>
          <w:b/>
          <w:sz w:val="22"/>
        </w:rPr>
        <w:t>dobrej kondycji na rynku pracy</w:t>
      </w:r>
      <w:r w:rsidRPr="00EA21E6">
        <w:rPr>
          <w:rFonts w:asciiTheme="minorHAnsi" w:hAnsiTheme="minorHAnsi"/>
          <w:sz w:val="22"/>
        </w:rPr>
        <w:t>. Liczba zarejestrowanych bezrobotnych należy do jednej z najniższych w województwie dolnośląskim i od kilku lat utrzymuje poziom niższy niż średnia krajowa</w:t>
      </w:r>
      <w:r w:rsidR="00606546">
        <w:rPr>
          <w:rFonts w:asciiTheme="minorHAnsi" w:hAnsiTheme="minorHAnsi"/>
          <w:sz w:val="22"/>
        </w:rPr>
        <w:t xml:space="preserve"> i średnia dla województwa</w:t>
      </w:r>
      <w:r w:rsidRPr="00EA21E6">
        <w:rPr>
          <w:rFonts w:asciiTheme="minorHAnsi" w:hAnsiTheme="minorHAnsi"/>
          <w:sz w:val="22"/>
        </w:rPr>
        <w:t>. Działalność zagranicznych firm w ramach LSSE również w</w:t>
      </w:r>
      <w:r w:rsidR="00D03212">
        <w:rPr>
          <w:rFonts w:asciiTheme="minorHAnsi" w:hAnsiTheme="minorHAnsi"/>
          <w:sz w:val="22"/>
        </w:rPr>
        <w:t>pływa na wysokie zatrudnienie w </w:t>
      </w:r>
      <w:r w:rsidRPr="00EA21E6">
        <w:rPr>
          <w:rFonts w:asciiTheme="minorHAnsi" w:hAnsiTheme="minorHAnsi"/>
          <w:sz w:val="22"/>
        </w:rPr>
        <w:t xml:space="preserve">mieście. Martwi natomiast </w:t>
      </w:r>
      <w:r w:rsidR="002B3340">
        <w:rPr>
          <w:rFonts w:asciiTheme="minorHAnsi" w:hAnsiTheme="minorHAnsi"/>
          <w:sz w:val="22"/>
        </w:rPr>
        <w:t xml:space="preserve">brak ich </w:t>
      </w:r>
      <w:r w:rsidRPr="00EA21E6">
        <w:rPr>
          <w:rFonts w:asciiTheme="minorHAnsi" w:hAnsiTheme="minorHAnsi"/>
          <w:b/>
          <w:sz w:val="22"/>
        </w:rPr>
        <w:t>więk</w:t>
      </w:r>
      <w:r w:rsidR="002B3340">
        <w:rPr>
          <w:rFonts w:asciiTheme="minorHAnsi" w:hAnsiTheme="minorHAnsi"/>
          <w:b/>
          <w:sz w:val="22"/>
        </w:rPr>
        <w:t>szego zaangażowania w inicjatywy społeczne miasta</w:t>
      </w:r>
      <w:r w:rsidRPr="00EA21E6">
        <w:rPr>
          <w:rFonts w:asciiTheme="minorHAnsi" w:hAnsiTheme="minorHAnsi"/>
          <w:sz w:val="22"/>
        </w:rPr>
        <w:t>.</w:t>
      </w:r>
    </w:p>
    <w:p w:rsidR="001A123D" w:rsidRPr="00EA21E6" w:rsidRDefault="001A123D" w:rsidP="001A123D">
      <w:pPr>
        <w:rPr>
          <w:rFonts w:asciiTheme="minorHAnsi" w:hAnsiTheme="minorHAnsi"/>
          <w:sz w:val="22"/>
        </w:rPr>
      </w:pPr>
    </w:p>
    <w:p w:rsidR="001A123D" w:rsidRPr="00EA21E6" w:rsidRDefault="00D87F42" w:rsidP="001A123D">
      <w:pPr>
        <w:rPr>
          <w:rFonts w:asciiTheme="minorHAnsi" w:hAnsiTheme="minorHAnsi"/>
          <w:sz w:val="22"/>
        </w:rPr>
      </w:pPr>
      <w:r>
        <w:rPr>
          <w:rFonts w:asciiTheme="minorHAnsi" w:hAnsiTheme="minorHAnsi"/>
          <w:b/>
          <w:sz w:val="22"/>
        </w:rPr>
        <w:t>Stabiln</w:t>
      </w:r>
      <w:r w:rsidR="001A123D" w:rsidRPr="00EA21E6">
        <w:rPr>
          <w:rFonts w:asciiTheme="minorHAnsi" w:hAnsiTheme="minorHAnsi"/>
          <w:b/>
          <w:sz w:val="22"/>
        </w:rPr>
        <w:t>a kondycja budżetu miasta</w:t>
      </w:r>
      <w:r w:rsidR="001A123D" w:rsidRPr="00EA21E6">
        <w:rPr>
          <w:rFonts w:asciiTheme="minorHAnsi" w:hAnsiTheme="minorHAnsi"/>
          <w:sz w:val="22"/>
        </w:rPr>
        <w:t xml:space="preserve">, również ma wpływ na </w:t>
      </w:r>
      <w:r>
        <w:rPr>
          <w:rFonts w:asciiTheme="minorHAnsi" w:hAnsiTheme="minorHAnsi"/>
          <w:sz w:val="22"/>
        </w:rPr>
        <w:t>sytuację gospodarczą</w:t>
      </w:r>
      <w:r w:rsidR="001A123D" w:rsidRPr="00EA21E6">
        <w:rPr>
          <w:rFonts w:asciiTheme="minorHAnsi" w:hAnsiTheme="minorHAnsi"/>
          <w:sz w:val="22"/>
        </w:rPr>
        <w:t xml:space="preserve">. Inwestycje realizowane w znacznej mierze przy udziale środków zewnętrznych ukierunkowane były głównie na zrównoważony rozwój szeroko pojętej infrastruktury miejskiej usprawniającej życie mieszkańców i ułatwiającej prowadzenie działalności gospodarczej. </w:t>
      </w:r>
      <w:r>
        <w:rPr>
          <w:rFonts w:asciiTheme="minorHAnsi" w:hAnsiTheme="minorHAnsi"/>
          <w:sz w:val="22"/>
        </w:rPr>
        <w:t>Bezpieczny poziom zadłużenia umożliwia zrównoważony rozwój miasta i kontynuację inwestycji miejskich w nowym okresie budżetowania.</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Legnica dysponuje licznymi walorami, które kształtują jej obraz, jako miasta sprzyjającego mieszkańcom. Posiada </w:t>
      </w:r>
      <w:r w:rsidRPr="00EA21E6">
        <w:rPr>
          <w:rFonts w:asciiTheme="minorHAnsi" w:hAnsiTheme="minorHAnsi"/>
          <w:b/>
          <w:sz w:val="22"/>
        </w:rPr>
        <w:t>rozwiniętą sieć infrastruktury technicznej, usługi komunalne świadczone są na wysokim poziomie</w:t>
      </w:r>
      <w:r w:rsidRPr="00EA21E6">
        <w:rPr>
          <w:rFonts w:asciiTheme="minorHAnsi" w:hAnsiTheme="minorHAnsi"/>
          <w:sz w:val="22"/>
        </w:rPr>
        <w:t xml:space="preserve">, a przedsiębiorstwa komunalne są systematycznie doposażane. Z uwagi na wielkość miasta i wcześniej pełnioną rolę stolicy województwa w </w:t>
      </w:r>
      <w:r w:rsidRPr="00EA21E6">
        <w:rPr>
          <w:rFonts w:asciiTheme="minorHAnsi" w:hAnsiTheme="minorHAnsi"/>
          <w:b/>
          <w:sz w:val="22"/>
        </w:rPr>
        <w:t>Legnicy zlokalizowane są filie ważnych instytucji i organów wojewódzkich</w:t>
      </w:r>
      <w:r w:rsidRPr="00EA21E6">
        <w:rPr>
          <w:rFonts w:asciiTheme="minorHAnsi" w:hAnsiTheme="minorHAnsi"/>
          <w:sz w:val="22"/>
        </w:rPr>
        <w:t xml:space="preserve">, co znacząco ułatwia przepływ informacji i dostęp dla podmiotów gospodarczych i mieszkańców. </w:t>
      </w:r>
      <w:r w:rsidRPr="00EA21E6">
        <w:rPr>
          <w:rFonts w:asciiTheme="minorHAnsi" w:hAnsiTheme="minorHAnsi"/>
          <w:b/>
          <w:sz w:val="22"/>
        </w:rPr>
        <w:t xml:space="preserve">Dobrze wyposażony Wojewódzki Szpital Specjalistyczny i inne placówki ochrony zdrowia </w:t>
      </w:r>
      <w:r w:rsidRPr="00EA21E6">
        <w:rPr>
          <w:rFonts w:asciiTheme="minorHAnsi" w:hAnsiTheme="minorHAnsi"/>
          <w:sz w:val="22"/>
        </w:rPr>
        <w:t xml:space="preserve">oraz </w:t>
      </w:r>
      <w:r w:rsidRPr="00EA21E6">
        <w:rPr>
          <w:rFonts w:asciiTheme="minorHAnsi" w:hAnsiTheme="minorHAnsi"/>
          <w:b/>
          <w:sz w:val="22"/>
        </w:rPr>
        <w:t>rozbudowana baza sportowo-rekreacyjna</w:t>
      </w:r>
      <w:r w:rsidRPr="00EA21E6">
        <w:rPr>
          <w:rFonts w:asciiTheme="minorHAnsi" w:hAnsiTheme="minorHAnsi"/>
          <w:sz w:val="22"/>
        </w:rPr>
        <w:t xml:space="preserve"> sprzyjają budowaniu zdrowego, sprawnego fizycznie  społeczeństwa. Mocną stroną Legnicy jest jej </w:t>
      </w:r>
      <w:r w:rsidRPr="00EA21E6">
        <w:rPr>
          <w:rFonts w:asciiTheme="minorHAnsi" w:hAnsiTheme="minorHAnsi"/>
          <w:b/>
          <w:sz w:val="22"/>
        </w:rPr>
        <w:t>rozbudowana baza edukacyjna</w:t>
      </w:r>
      <w:r w:rsidRPr="00EA21E6">
        <w:rPr>
          <w:rFonts w:asciiTheme="minorHAnsi" w:hAnsiTheme="minorHAnsi"/>
          <w:sz w:val="22"/>
        </w:rPr>
        <w:t>. Dzieci i młodzież z Legnicy i okolicznych gmin ma</w:t>
      </w:r>
      <w:r w:rsidR="000B5C49">
        <w:rPr>
          <w:rFonts w:asciiTheme="minorHAnsi" w:hAnsiTheme="minorHAnsi"/>
          <w:sz w:val="22"/>
        </w:rPr>
        <w:t>ją</w:t>
      </w:r>
      <w:r w:rsidRPr="00EA21E6">
        <w:rPr>
          <w:rFonts w:asciiTheme="minorHAnsi" w:hAnsiTheme="minorHAnsi"/>
          <w:sz w:val="22"/>
        </w:rPr>
        <w:t xml:space="preserve"> zapewniony dostęp do dobrze wyposażonych przedszkoli i szkół. Świadoma polityka oświatowa nie dopuściła do marginalizacji </w:t>
      </w:r>
      <w:r w:rsidRPr="00EA21E6">
        <w:rPr>
          <w:rFonts w:asciiTheme="minorHAnsi" w:hAnsiTheme="minorHAnsi"/>
          <w:b/>
          <w:sz w:val="22"/>
        </w:rPr>
        <w:t>szkół zawodowych w Legnicy co wpłynęło na ich rozwój</w:t>
      </w:r>
      <w:r w:rsidRPr="00EA21E6">
        <w:rPr>
          <w:rFonts w:asciiTheme="minorHAnsi" w:hAnsiTheme="minorHAnsi"/>
          <w:sz w:val="22"/>
        </w:rPr>
        <w:t>, głównie</w:t>
      </w:r>
      <w:r w:rsidR="00D03212">
        <w:rPr>
          <w:rFonts w:asciiTheme="minorHAnsi" w:hAnsiTheme="minorHAnsi"/>
          <w:sz w:val="22"/>
        </w:rPr>
        <w:t xml:space="preserve"> dzięki nawiązaniu współpracy z </w:t>
      </w:r>
      <w:r w:rsidRPr="00EA21E6">
        <w:rPr>
          <w:rFonts w:asciiTheme="minorHAnsi" w:hAnsiTheme="minorHAnsi"/>
          <w:sz w:val="22"/>
        </w:rPr>
        <w:t xml:space="preserve">przedsiębiorcami i uczelniami wyższymi funkcjonującymi na terenie miasta, co pozwoliło na lepsze dopasowanie zajęć i programów nauczania do wymogów rynku pracy. </w:t>
      </w:r>
      <w:r w:rsidRPr="00EA21E6">
        <w:rPr>
          <w:rFonts w:asciiTheme="minorHAnsi" w:hAnsiTheme="minorHAnsi"/>
          <w:b/>
          <w:sz w:val="22"/>
        </w:rPr>
        <w:t xml:space="preserve"> </w:t>
      </w:r>
      <w:r w:rsidRPr="00EA21E6">
        <w:rPr>
          <w:rFonts w:asciiTheme="minorHAnsi" w:hAnsiTheme="minorHAnsi"/>
          <w:sz w:val="22"/>
        </w:rPr>
        <w:t xml:space="preserve">Legniczanie mają możliwość kontynuacji swojej edukacji na pięciu </w:t>
      </w:r>
      <w:r w:rsidRPr="00EA21E6">
        <w:rPr>
          <w:rFonts w:asciiTheme="minorHAnsi" w:hAnsiTheme="minorHAnsi"/>
          <w:b/>
          <w:sz w:val="22"/>
        </w:rPr>
        <w:t>uczelniach wyższych mieszczących się w ich mieście</w:t>
      </w:r>
      <w:r w:rsidRPr="00EA21E6">
        <w:rPr>
          <w:rFonts w:asciiTheme="minorHAnsi" w:hAnsiTheme="minorHAnsi"/>
          <w:sz w:val="22"/>
        </w:rPr>
        <w:t xml:space="preserve">, posiadających stosunkowo szeroką ofertę kierunków i specjalizacji.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Miasto posiada także </w:t>
      </w:r>
      <w:r w:rsidRPr="00EA21E6">
        <w:rPr>
          <w:rFonts w:asciiTheme="minorHAnsi" w:hAnsiTheme="minorHAnsi"/>
          <w:b/>
          <w:sz w:val="22"/>
        </w:rPr>
        <w:t xml:space="preserve">rozbudowaną bazę </w:t>
      </w:r>
      <w:r w:rsidR="00D87F42">
        <w:rPr>
          <w:rFonts w:asciiTheme="minorHAnsi" w:hAnsiTheme="minorHAnsi"/>
          <w:b/>
          <w:sz w:val="22"/>
        </w:rPr>
        <w:t>hotel</w:t>
      </w:r>
      <w:r w:rsidRPr="00EA21E6">
        <w:rPr>
          <w:rFonts w:asciiTheme="minorHAnsi" w:hAnsiTheme="minorHAnsi"/>
          <w:b/>
          <w:sz w:val="22"/>
        </w:rPr>
        <w:t xml:space="preserve">ową, </w:t>
      </w:r>
      <w:r w:rsidRPr="00EA21E6">
        <w:rPr>
          <w:rFonts w:asciiTheme="minorHAnsi" w:hAnsiTheme="minorHAnsi"/>
          <w:sz w:val="22"/>
        </w:rPr>
        <w:t>o wysokim standardzie,</w:t>
      </w:r>
      <w:r w:rsidRPr="00EA21E6">
        <w:rPr>
          <w:rFonts w:asciiTheme="minorHAnsi" w:hAnsiTheme="minorHAnsi"/>
          <w:b/>
          <w:sz w:val="22"/>
        </w:rPr>
        <w:t xml:space="preserve"> </w:t>
      </w:r>
      <w:r w:rsidRPr="00EA21E6">
        <w:rPr>
          <w:rFonts w:asciiTheme="minorHAnsi" w:hAnsiTheme="minorHAnsi"/>
          <w:sz w:val="22"/>
        </w:rPr>
        <w:t>służącą zarówno turystom</w:t>
      </w:r>
      <w:r w:rsidR="000F19BA">
        <w:rPr>
          <w:rFonts w:asciiTheme="minorHAnsi" w:hAnsiTheme="minorHAnsi"/>
          <w:sz w:val="22"/>
        </w:rPr>
        <w:t>,</w:t>
      </w:r>
      <w:r w:rsidRPr="00EA21E6">
        <w:rPr>
          <w:rFonts w:asciiTheme="minorHAnsi" w:hAnsiTheme="minorHAnsi"/>
          <w:sz w:val="22"/>
        </w:rPr>
        <w:t xml:space="preserve"> jak i osobom odwiedzającym Legnicę w celach biznesowych.</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Legnica to miasto kultury, posiadające </w:t>
      </w:r>
      <w:r w:rsidRPr="00EA21E6">
        <w:rPr>
          <w:rFonts w:asciiTheme="minorHAnsi" w:hAnsiTheme="minorHAnsi"/>
          <w:b/>
          <w:sz w:val="22"/>
        </w:rPr>
        <w:t>rozbudowaną sieć placówek kulturalnych</w:t>
      </w:r>
      <w:r w:rsidRPr="00EA21E6">
        <w:rPr>
          <w:rFonts w:asciiTheme="minorHAnsi" w:hAnsiTheme="minorHAnsi"/>
          <w:sz w:val="22"/>
        </w:rPr>
        <w:t xml:space="preserve">, będących </w:t>
      </w:r>
      <w:r w:rsidRPr="00EA21E6">
        <w:rPr>
          <w:rFonts w:asciiTheme="minorHAnsi" w:hAnsiTheme="minorHAnsi"/>
          <w:b/>
          <w:sz w:val="22"/>
        </w:rPr>
        <w:t>organizatorami ważnych wydarzeń artystycznych i kulturalnych</w:t>
      </w:r>
      <w:r w:rsidRPr="00EA21E6">
        <w:rPr>
          <w:rFonts w:asciiTheme="minorHAnsi" w:hAnsiTheme="minorHAnsi"/>
          <w:sz w:val="22"/>
        </w:rPr>
        <w:t xml:space="preserve"> na szczeblu lokalnym, krajowym, a nawet międzynarodowym. Cyklicznie organizowane wydarzenia jak np. Satyrykon, Legnica Cantat czy Festiwal SREBRO trwale wpisały się w kulturalny  kalendarz miasta, ciesząc się sporym zainteresowaniem. Blokadą dla rozwoju działalności  kulturalnej i organizacji dużych wydarzeń artystycznych czy widowisk sportowych w Legnicy jest </w:t>
      </w:r>
      <w:r w:rsidRPr="00EA21E6">
        <w:rPr>
          <w:rFonts w:asciiTheme="minorHAnsi" w:hAnsiTheme="minorHAnsi"/>
          <w:b/>
          <w:sz w:val="22"/>
        </w:rPr>
        <w:t xml:space="preserve">brak hali widowiskowo-sportowej o dużej pojemności, </w:t>
      </w:r>
      <w:r w:rsidRPr="00EA21E6">
        <w:rPr>
          <w:rFonts w:asciiTheme="minorHAnsi" w:hAnsiTheme="minorHAnsi"/>
          <w:sz w:val="22"/>
        </w:rPr>
        <w:t>która dałaby możliwość realizacji wydarzeń o większym zasięgu i rozmachu.</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Legnica to także miasto wielu kultur</w:t>
      </w:r>
      <w:r w:rsidR="000F19BA">
        <w:rPr>
          <w:rFonts w:asciiTheme="minorHAnsi" w:hAnsiTheme="minorHAnsi"/>
          <w:sz w:val="22"/>
        </w:rPr>
        <w:t>,</w:t>
      </w:r>
      <w:r w:rsidRPr="00EA21E6">
        <w:rPr>
          <w:rFonts w:asciiTheme="minorHAnsi" w:hAnsiTheme="minorHAnsi"/>
          <w:sz w:val="22"/>
        </w:rPr>
        <w:t xml:space="preserve"> w którym obecne są aktywnie działające mniejszości narodowe.</w:t>
      </w:r>
      <w:r w:rsidRPr="00EA21E6">
        <w:rPr>
          <w:rFonts w:asciiTheme="minorHAnsi" w:hAnsiTheme="minorHAnsi"/>
          <w:b/>
          <w:sz w:val="22"/>
        </w:rPr>
        <w:t xml:space="preserve"> Wielokulturowość Legnicy obecna jest zarówno w jej życiu codziennym, jak i w specyficznej</w:t>
      </w:r>
      <w:r w:rsidRPr="00EA21E6">
        <w:rPr>
          <w:rFonts w:asciiTheme="minorHAnsi" w:hAnsiTheme="minorHAnsi"/>
          <w:sz w:val="22"/>
        </w:rPr>
        <w:t xml:space="preserve"> </w:t>
      </w:r>
      <w:r w:rsidRPr="00EA21E6">
        <w:rPr>
          <w:rFonts w:asciiTheme="minorHAnsi" w:hAnsiTheme="minorHAnsi"/>
          <w:b/>
          <w:sz w:val="22"/>
        </w:rPr>
        <w:t>kulturze</w:t>
      </w:r>
      <w:r w:rsidRPr="00EA21E6">
        <w:rPr>
          <w:rFonts w:asciiTheme="minorHAnsi" w:hAnsiTheme="minorHAnsi"/>
          <w:sz w:val="22"/>
        </w:rPr>
        <w:t>,</w:t>
      </w:r>
      <w:r w:rsidRPr="00EA21E6">
        <w:rPr>
          <w:rFonts w:asciiTheme="minorHAnsi" w:hAnsiTheme="minorHAnsi"/>
          <w:b/>
          <w:sz w:val="22"/>
        </w:rPr>
        <w:t xml:space="preserve"> historii oraz unikatowych zabytkach</w:t>
      </w:r>
      <w:r w:rsidRPr="00EA21E6">
        <w:rPr>
          <w:rFonts w:asciiTheme="minorHAnsi" w:hAnsiTheme="minorHAnsi"/>
          <w:sz w:val="22"/>
        </w:rPr>
        <w:t>. Dziedzictwo kulturowe Legnicy, ukształtowane przez liczne</w:t>
      </w:r>
      <w:r w:rsidR="000F19BA">
        <w:rPr>
          <w:rFonts w:asciiTheme="minorHAnsi" w:hAnsiTheme="minorHAnsi"/>
          <w:sz w:val="22"/>
        </w:rPr>
        <w:t>,</w:t>
      </w:r>
      <w:r w:rsidRPr="00EA21E6">
        <w:rPr>
          <w:rFonts w:asciiTheme="minorHAnsi" w:hAnsiTheme="minorHAnsi"/>
          <w:sz w:val="22"/>
        </w:rPr>
        <w:t xml:space="preserve"> obecne w niej na przestrzeni dziejów narodowości</w:t>
      </w:r>
      <w:r w:rsidR="000F19BA">
        <w:rPr>
          <w:rFonts w:asciiTheme="minorHAnsi" w:hAnsiTheme="minorHAnsi"/>
          <w:sz w:val="22"/>
        </w:rPr>
        <w:t>,</w:t>
      </w:r>
      <w:r w:rsidRPr="00EA21E6">
        <w:rPr>
          <w:rFonts w:asciiTheme="minorHAnsi" w:hAnsiTheme="minorHAnsi"/>
          <w:sz w:val="22"/>
        </w:rPr>
        <w:t xml:space="preserve"> nie może pozostać niezauważone przez osoby ją odwiedzające. Wielkomiejski charakter zabudowy oraz mnogość zabytków umiejscawiają Legnicę, jako ważny punkt na mapie turystycznej Dolnego Śląska. Niestety </w:t>
      </w:r>
      <w:r w:rsidRPr="00EA21E6">
        <w:rPr>
          <w:rFonts w:asciiTheme="minorHAnsi" w:hAnsiTheme="minorHAnsi"/>
          <w:b/>
          <w:sz w:val="22"/>
        </w:rPr>
        <w:t>znaczna część zabudowań, o wysokich walorach historycznych i architektonicznych ulega stopniowej degradacji</w:t>
      </w:r>
      <w:r w:rsidRPr="00EA21E6">
        <w:rPr>
          <w:rFonts w:asciiTheme="minorHAnsi" w:hAnsiTheme="minorHAnsi"/>
          <w:sz w:val="22"/>
        </w:rPr>
        <w:t xml:space="preserve"> z powodu braku odpowiednich środków na ich rewitalizację, czy ich niewyjaśnionej sytuacji własnościowej.</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Wpływ na odbiór estetyczny miasta ma także </w:t>
      </w:r>
      <w:r w:rsidRPr="00EA21E6">
        <w:rPr>
          <w:rFonts w:asciiTheme="minorHAnsi" w:hAnsiTheme="minorHAnsi"/>
          <w:b/>
          <w:sz w:val="22"/>
        </w:rPr>
        <w:t>zanieczyszczenie środowiska</w:t>
      </w:r>
      <w:r w:rsidRPr="00EA21E6">
        <w:rPr>
          <w:rFonts w:asciiTheme="minorHAnsi" w:hAnsiTheme="minorHAnsi"/>
          <w:sz w:val="22"/>
        </w:rPr>
        <w:t>. Ruch komunikacyjny, działalność zakładów przemysłowych, a przede wszystkim zjawisko tzw. „niskiej emisji” wpływają na utrzymujące się wysokie wskaźniki zanieczyszczeń powietrza w mieści</w:t>
      </w:r>
      <w:r w:rsidR="000B5C49">
        <w:rPr>
          <w:rFonts w:asciiTheme="minorHAnsi" w:hAnsiTheme="minorHAnsi"/>
          <w:sz w:val="22"/>
        </w:rPr>
        <w:t xml:space="preserve">e. </w:t>
      </w:r>
      <w:r w:rsidRPr="00EA21E6">
        <w:rPr>
          <w:rFonts w:asciiTheme="minorHAnsi" w:hAnsiTheme="minorHAnsi"/>
          <w:sz w:val="22"/>
        </w:rPr>
        <w:t>Niska świadomość ekologiczna części mieszkańców widoczna jest w powstawaniu dzikich wysypisk, paleniu szkodliwym opałem w piecach grzewczych</w:t>
      </w:r>
      <w:r w:rsidR="000F19BA">
        <w:rPr>
          <w:rFonts w:asciiTheme="minorHAnsi" w:hAnsiTheme="minorHAnsi"/>
          <w:sz w:val="22"/>
        </w:rPr>
        <w:t>,</w:t>
      </w:r>
      <w:r w:rsidRPr="00EA21E6">
        <w:rPr>
          <w:rFonts w:asciiTheme="minorHAnsi" w:hAnsiTheme="minorHAnsi"/>
          <w:sz w:val="22"/>
        </w:rPr>
        <w:t xml:space="preserve"> czy wypalaniem łąk i traw.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b/>
          <w:sz w:val="22"/>
        </w:rPr>
      </w:pPr>
      <w:r w:rsidRPr="00EA21E6">
        <w:rPr>
          <w:rFonts w:asciiTheme="minorHAnsi" w:hAnsiTheme="minorHAnsi"/>
          <w:sz w:val="22"/>
        </w:rPr>
        <w:t xml:space="preserve">Miasto boryka się także z licznymi problemami natury społecznej. Spora część osób zagrożona jest wykluczeniem społecznym, a </w:t>
      </w:r>
      <w:r w:rsidRPr="00EA21E6">
        <w:rPr>
          <w:rFonts w:asciiTheme="minorHAnsi" w:hAnsiTheme="minorHAnsi"/>
          <w:b/>
          <w:sz w:val="22"/>
        </w:rPr>
        <w:t>średnie dochody mieszkańców są relatywnie niskie</w:t>
      </w:r>
      <w:r w:rsidRPr="00EA21E6">
        <w:rPr>
          <w:rFonts w:asciiTheme="minorHAnsi" w:hAnsiTheme="minorHAnsi"/>
          <w:sz w:val="22"/>
        </w:rPr>
        <w:t xml:space="preserve"> w stosunku do innych miast Dolnego Śląska i średniej krajowej. Mimo licznych działań ukierunkowanych na poprawę bezpieczeństwa mieszkańców wciąż w Legnicy </w:t>
      </w:r>
      <w:r w:rsidRPr="00EA21E6">
        <w:rPr>
          <w:rFonts w:asciiTheme="minorHAnsi" w:hAnsiTheme="minorHAnsi"/>
          <w:b/>
          <w:sz w:val="22"/>
        </w:rPr>
        <w:t>utrzymują się wysokie wskaźniki przestępczości.</w:t>
      </w:r>
    </w:p>
    <w:p w:rsidR="001A123D" w:rsidRPr="000100D2" w:rsidRDefault="001A123D" w:rsidP="001A123D">
      <w:pPr>
        <w:rPr>
          <w:rFonts w:asciiTheme="minorHAnsi" w:hAnsiTheme="minorHAnsi"/>
          <w:b/>
          <w:sz w:val="28"/>
        </w:rPr>
      </w:pP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44</w:t>
      </w:r>
      <w:r w:rsidRPr="000100D2">
        <w:rPr>
          <w:rFonts w:asciiTheme="minorHAnsi" w:hAnsiTheme="minorHAnsi"/>
          <w:noProof/>
          <w:sz w:val="20"/>
        </w:rPr>
        <w:fldChar w:fldCharType="end"/>
      </w:r>
      <w:r w:rsidRPr="000100D2">
        <w:rPr>
          <w:rFonts w:asciiTheme="minorHAnsi" w:hAnsiTheme="minorHAnsi"/>
          <w:sz w:val="20"/>
        </w:rPr>
        <w:t>. Szanse i zagrożenia Legnicy.</w:t>
      </w:r>
    </w:p>
    <w:tbl>
      <w:tblPr>
        <w:tblW w:w="9488" w:type="dxa"/>
        <w:tblInd w:w="47" w:type="dxa"/>
        <w:tblCellMar>
          <w:left w:w="70" w:type="dxa"/>
          <w:right w:w="70" w:type="dxa"/>
        </w:tblCellMar>
        <w:tblLook w:val="04A0" w:firstRow="1" w:lastRow="0" w:firstColumn="1" w:lastColumn="0" w:noHBand="0" w:noVBand="1"/>
      </w:tblPr>
      <w:tblGrid>
        <w:gridCol w:w="3969"/>
        <w:gridCol w:w="697"/>
        <w:gridCol w:w="154"/>
        <w:gridCol w:w="3969"/>
        <w:gridCol w:w="131"/>
        <w:gridCol w:w="568"/>
      </w:tblGrid>
      <w:tr w:rsidR="001A123D" w:rsidRPr="001A123D" w:rsidTr="00B07575">
        <w:trPr>
          <w:trHeight w:val="91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DEEAF6" w:themeFill="accent1" w:themeFillTint="33"/>
            <w:noWrap/>
            <w:vAlign w:val="center"/>
            <w:hideMark/>
          </w:tcPr>
          <w:p w:rsidR="001A123D" w:rsidRPr="001A123D" w:rsidRDefault="001A123D" w:rsidP="00B07575">
            <w:pPr>
              <w:spacing w:line="240" w:lineRule="auto"/>
              <w:jc w:val="center"/>
              <w:rPr>
                <w:rFonts w:asciiTheme="minorHAnsi" w:eastAsia="Times New Roman" w:hAnsiTheme="minorHAnsi" w:cs="Arial"/>
                <w:b/>
                <w:color w:val="2E74B5" w:themeColor="accent1" w:themeShade="BF"/>
                <w:sz w:val="32"/>
              </w:rPr>
            </w:pPr>
            <w:r w:rsidRPr="001A123D">
              <w:rPr>
                <w:rFonts w:asciiTheme="minorHAnsi" w:eastAsia="Times New Roman" w:hAnsiTheme="minorHAnsi" w:cs="Arial"/>
                <w:b/>
                <w:color w:val="2E74B5" w:themeColor="accent1" w:themeShade="BF"/>
                <w:sz w:val="32"/>
              </w:rPr>
              <w:t>Szanse</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FFC000"/>
            <w:vAlign w:val="center"/>
          </w:tcPr>
          <w:p w:rsidR="001A123D" w:rsidRPr="001A123D" w:rsidRDefault="001A123D" w:rsidP="00B07575">
            <w:pPr>
              <w:spacing w:line="240" w:lineRule="auto"/>
              <w:jc w:val="center"/>
              <w:rPr>
                <w:rFonts w:asciiTheme="minorHAnsi" w:eastAsia="Times New Roman" w:hAnsiTheme="minorHAnsi" w:cs="Arial"/>
                <w:color w:val="000000" w:themeColor="text1"/>
                <w:sz w:val="32"/>
              </w:rPr>
            </w:pPr>
            <w:r w:rsidRPr="001A123D">
              <w:rPr>
                <w:rFonts w:asciiTheme="minorHAnsi" w:eastAsia="Times New Roman" w:hAnsiTheme="minorHAnsi" w:cs="Arial"/>
                <w:color w:val="000000" w:themeColor="text1"/>
              </w:rPr>
              <w:t>Waga</w:t>
            </w:r>
          </w:p>
        </w:tc>
        <w:tc>
          <w:tcPr>
            <w:tcW w:w="154" w:type="dxa"/>
            <w:vMerge w:val="restart"/>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jc w:val="center"/>
              <w:rPr>
                <w:rFonts w:asciiTheme="minorHAnsi" w:eastAsia="Times New Roman" w:hAnsiTheme="minorHAnsi" w:cs="Arial"/>
                <w:color w:val="000000" w:themeColor="text1"/>
                <w:sz w:val="32"/>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noWrap/>
            <w:vAlign w:val="center"/>
            <w:hideMark/>
          </w:tcPr>
          <w:p w:rsidR="001A123D" w:rsidRPr="001A123D" w:rsidRDefault="001A123D" w:rsidP="00B07575">
            <w:pPr>
              <w:spacing w:line="240" w:lineRule="auto"/>
              <w:jc w:val="center"/>
              <w:rPr>
                <w:rFonts w:asciiTheme="minorHAnsi" w:eastAsia="Times New Roman" w:hAnsiTheme="minorHAnsi" w:cs="Arial"/>
                <w:b/>
                <w:color w:val="3B3838" w:themeColor="background2" w:themeShade="40"/>
                <w:sz w:val="32"/>
              </w:rPr>
            </w:pPr>
            <w:r w:rsidRPr="001A123D">
              <w:rPr>
                <w:rFonts w:asciiTheme="minorHAnsi" w:eastAsia="Times New Roman" w:hAnsiTheme="minorHAnsi" w:cs="Arial"/>
                <w:b/>
                <w:color w:val="3B3838" w:themeColor="background2" w:themeShade="40"/>
                <w:sz w:val="32"/>
              </w:rPr>
              <w:t>Zagrożenia</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C000"/>
            <w:vAlign w:val="center"/>
          </w:tcPr>
          <w:p w:rsidR="001A123D" w:rsidRPr="001A123D" w:rsidRDefault="001A123D" w:rsidP="00B07575">
            <w:pPr>
              <w:spacing w:line="240" w:lineRule="auto"/>
              <w:jc w:val="center"/>
              <w:rPr>
                <w:rFonts w:asciiTheme="minorHAnsi" w:eastAsia="Times New Roman" w:hAnsiTheme="minorHAnsi" w:cs="Arial"/>
                <w:color w:val="000000" w:themeColor="text1"/>
                <w:sz w:val="32"/>
              </w:rPr>
            </w:pPr>
            <w:r w:rsidRPr="001A123D">
              <w:rPr>
                <w:rFonts w:asciiTheme="minorHAnsi" w:eastAsia="Times New Roman" w:hAnsiTheme="minorHAnsi" w:cs="Arial"/>
                <w:color w:val="000000" w:themeColor="text1"/>
              </w:rPr>
              <w:t>Waga</w:t>
            </w:r>
          </w:p>
        </w:tc>
      </w:tr>
      <w:tr w:rsidR="001A123D" w:rsidRPr="001A123D" w:rsidTr="00B07575">
        <w:trPr>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Wykorzystanie dla rozwoju miasta kolejnego okresu budżetowego UE</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0,14</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Migracje mieszkańców Legnicy do ościennych gmin i Wrocławia, w tym wysoko wykwalifikowanych specjalistów</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0,19</w:t>
            </w:r>
          </w:p>
        </w:tc>
      </w:tr>
      <w:tr w:rsidR="001A123D" w:rsidRPr="001A123D" w:rsidTr="00B07575">
        <w:trPr>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Wzrost znaczenia polityki miejskiej – nowe instrumenty wspierające rozwój miejskich obszarów funkcjonalnych</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Negatywne tendencje demograficzne. Wzrost obciążenia demograficznego ludności w wieku produkcyjnym</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0,23</w:t>
            </w:r>
          </w:p>
        </w:tc>
      </w:tr>
      <w:tr w:rsidR="001A123D" w:rsidRPr="001A123D" w:rsidTr="00B07575">
        <w:trPr>
          <w:trHeight w:val="96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Umiejscowienie Legnicy w ważnych dokumentach strategicznych na szczeblu centralnym i wojewódzkim: Legnica miejskim obszarem funkcjonalnym o znaczeniu regionalnym, położenie w</w:t>
            </w:r>
            <w:r w:rsidR="000C6F1F">
              <w:rPr>
                <w:rFonts w:asciiTheme="minorHAnsi" w:eastAsia="Times New Roman" w:hAnsiTheme="minorHAnsi" w:cs="Arial"/>
                <w:color w:val="000000" w:themeColor="text1"/>
                <w:sz w:val="20"/>
                <w:szCs w:val="18"/>
              </w:rPr>
              <w:t xml:space="preserve"> pasmach rozwojowych: Autostradzie</w:t>
            </w:r>
            <w:r w:rsidRPr="001A123D">
              <w:rPr>
                <w:rFonts w:asciiTheme="minorHAnsi" w:eastAsia="Times New Roman" w:hAnsiTheme="minorHAnsi" w:cs="Arial"/>
                <w:color w:val="000000" w:themeColor="text1"/>
                <w:sz w:val="20"/>
                <w:szCs w:val="18"/>
              </w:rPr>
              <w:t xml:space="preserve"> Nowej Gospodarki, Legnicko-Głogowskim Obszarze Przemysłowym, Obszarze Rolniczym</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0,10</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E274D6">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Brak pewności co do realizacji zewnętrznych inwestycji drogowych: drogi ekspresowej S-3 na odcinku Legnica-Lubawka, ograniczenia węzłów drogowych na A4 w zw</w:t>
            </w:r>
            <w:r w:rsidR="00E274D6">
              <w:rPr>
                <w:rFonts w:asciiTheme="minorHAnsi" w:eastAsia="Times New Roman" w:hAnsiTheme="minorHAnsi" w:cs="Arial"/>
                <w:color w:val="000000" w:themeColor="text1"/>
                <w:sz w:val="20"/>
                <w:szCs w:val="18"/>
              </w:rPr>
              <w:t>iązku z</w:t>
            </w:r>
            <w:r w:rsidRPr="001A123D">
              <w:rPr>
                <w:rFonts w:asciiTheme="minorHAnsi" w:eastAsia="Times New Roman" w:hAnsiTheme="minorHAnsi" w:cs="Arial"/>
                <w:color w:val="000000" w:themeColor="text1"/>
                <w:sz w:val="20"/>
                <w:szCs w:val="18"/>
              </w:rPr>
              <w:t xml:space="preserve"> dostosowaniem A-4 do autostrady płatnej. Od ich realizacji zależeć będzie przekierowanie części ruchu na drogę krajową nr 94 i miasto.</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r>
      <w:tr w:rsidR="001A123D" w:rsidRPr="001A123D" w:rsidTr="00B07575">
        <w:trPr>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Posiadanie zasobów naturalnych dla rozwoju nowych gałęzi gospodarki: złoża węgla brunatnego, grunty rolnicze o wysokich parametrach jakościowych gleb</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0,08</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Utrzymanie się niekorzystnych zjawisk gospodarczych spowodowanych światowym kryzysem gospodarczym</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0,16</w:t>
            </w:r>
          </w:p>
        </w:tc>
      </w:tr>
      <w:tr w:rsidR="001A123D" w:rsidRPr="001A123D" w:rsidTr="00B07575">
        <w:trPr>
          <w:trHeight w:val="72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Działalność krajowego potentata KGHM: rynek pracy, nowe inwestycje, przedsiębiorstwa kooperujące, wysokie stawki wynagrodzeń, wysokie emerytury górnicze</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0,07</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Brak wypracowanych praktyk w zakresie transferu technologii i współpracy pomiędz</w:t>
            </w:r>
            <w:r w:rsidR="00D03212">
              <w:rPr>
                <w:rFonts w:asciiTheme="minorHAnsi" w:eastAsia="Times New Roman" w:hAnsiTheme="minorHAnsi" w:cs="Arial"/>
                <w:color w:val="000000" w:themeColor="text1"/>
                <w:sz w:val="20"/>
                <w:szCs w:val="18"/>
              </w:rPr>
              <w:t>y sektorem naukowo-badawczym, a </w:t>
            </w:r>
            <w:r w:rsidRPr="001A123D">
              <w:rPr>
                <w:rFonts w:asciiTheme="minorHAnsi" w:eastAsia="Times New Roman" w:hAnsiTheme="minorHAnsi" w:cs="Arial"/>
                <w:color w:val="000000" w:themeColor="text1"/>
                <w:sz w:val="20"/>
                <w:szCs w:val="18"/>
              </w:rPr>
              <w:t xml:space="preserve">przedsiębiorstwami powodujący utrzymywanie się niskiego poziomu innowacyjności w kraju. </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0,13</w:t>
            </w:r>
          </w:p>
        </w:tc>
      </w:tr>
      <w:tr w:rsidR="001A123D" w:rsidRPr="001A123D" w:rsidTr="00B07575">
        <w:trPr>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Przedłużenie funkcjonowania LSSE do 2026 r., utrzymanie ulg inwestycyjnych dla nowych firm</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0,11</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Brak zainteresowania w umiejscawianiu uniwersyteckich centrów naukowo-badawczych w ośrodkach miejskich o znaczeniu regionalnym i lokalnym</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0,10</w:t>
            </w:r>
          </w:p>
        </w:tc>
      </w:tr>
      <w:tr w:rsidR="001A123D" w:rsidRPr="001A123D" w:rsidTr="00B07575">
        <w:trPr>
          <w:trHeight w:val="285"/>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Podnoszący się wskaźnik wykształcenia społeczeństwa</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0,07</w:t>
            </w:r>
          </w:p>
        </w:tc>
        <w:tc>
          <w:tcPr>
            <w:tcW w:w="154" w:type="dxa"/>
            <w:vMerge/>
            <w:tcBorders>
              <w:left w:val="single" w:sz="12" w:space="0" w:color="8496B0" w:themeColor="text2" w:themeTint="99"/>
              <w:right w:val="single" w:sz="12" w:space="0" w:color="808080" w:themeColor="background1" w:themeShade="80"/>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396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Naturalne trendy zanikania turystyki sentymentalnej</w:t>
            </w:r>
          </w:p>
        </w:tc>
        <w:tc>
          <w:tcPr>
            <w:tcW w:w="69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0,09</w:t>
            </w:r>
          </w:p>
        </w:tc>
      </w:tr>
      <w:tr w:rsidR="001A123D" w:rsidRPr="001A123D" w:rsidTr="00B07575">
        <w:trPr>
          <w:gridAfter w:val="1"/>
          <w:wAfter w:w="568" w:type="dxa"/>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000000" w:fill="FFFFFF"/>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Rozbudowa i modernizacja zew. układu komunikacyjnego. Rozbudowa trasy S3, magistrali kolejowej</w:t>
            </w:r>
            <w:r w:rsidR="000F19BA">
              <w:rPr>
                <w:rFonts w:asciiTheme="minorHAnsi" w:eastAsia="Times New Roman" w:hAnsiTheme="minorHAnsi" w:cs="Arial"/>
                <w:color w:val="000000" w:themeColor="text1"/>
                <w:sz w:val="20"/>
                <w:szCs w:val="18"/>
              </w:rPr>
              <w:t xml:space="preserve"> E-30,</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0,10</w:t>
            </w:r>
          </w:p>
        </w:tc>
        <w:tc>
          <w:tcPr>
            <w:tcW w:w="154" w:type="dxa"/>
            <w:vMerge/>
            <w:tcBorders>
              <w:left w:val="single" w:sz="12" w:space="0" w:color="8496B0" w:themeColor="text2" w:themeTint="99"/>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100" w:type="dxa"/>
            <w:gridSpan w:val="2"/>
            <w:vMerge w:val="restart"/>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p w:rsidR="001A123D" w:rsidRPr="001A123D" w:rsidRDefault="001A123D" w:rsidP="00B07575">
            <w:pPr>
              <w:spacing w:line="240" w:lineRule="auto"/>
              <w:rPr>
                <w:rFonts w:asciiTheme="minorHAnsi" w:eastAsia="Times New Roman" w:hAnsiTheme="minorHAnsi" w:cs="Arial"/>
                <w:color w:val="000000" w:themeColor="text1"/>
                <w:sz w:val="18"/>
                <w:szCs w:val="18"/>
              </w:rPr>
            </w:pPr>
            <w:r w:rsidRPr="001A123D">
              <w:rPr>
                <w:rFonts w:asciiTheme="minorHAnsi" w:eastAsia="Times New Roman" w:hAnsiTheme="minorHAnsi" w:cs="Arial"/>
                <w:color w:val="000000" w:themeColor="text1"/>
                <w:sz w:val="18"/>
                <w:szCs w:val="18"/>
              </w:rPr>
              <w:t> </w:t>
            </w:r>
          </w:p>
        </w:tc>
      </w:tr>
      <w:tr w:rsidR="001A123D" w:rsidRPr="001A123D" w:rsidTr="00B07575">
        <w:trPr>
          <w:gridAfter w:val="1"/>
          <w:wAfter w:w="568" w:type="dxa"/>
          <w:trHeight w:val="285"/>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Rozwijająca się moda na uprawianie sportu, rekreacji i zdrowy tryb życia w społeczeństwie</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0,06</w:t>
            </w:r>
          </w:p>
        </w:tc>
        <w:tc>
          <w:tcPr>
            <w:tcW w:w="154" w:type="dxa"/>
            <w:vMerge/>
            <w:tcBorders>
              <w:left w:val="single" w:sz="12" w:space="0" w:color="8496B0" w:themeColor="text2" w:themeTint="99"/>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100"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568" w:type="dxa"/>
          <w:trHeight w:val="48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Wzrastający udział i znaczenie szkolnictwa zawodowego w edukacji ponadgimnazjalnej. Wzrastająca świadomość wyboru kierunku kształcenia zg</w:t>
            </w:r>
            <w:r w:rsidR="000F19BA">
              <w:rPr>
                <w:rFonts w:asciiTheme="minorHAnsi" w:eastAsia="Times New Roman" w:hAnsiTheme="minorHAnsi" w:cs="Arial"/>
                <w:color w:val="000000" w:themeColor="text1"/>
                <w:sz w:val="20"/>
                <w:szCs w:val="18"/>
              </w:rPr>
              <w:t>odnego z potrzebami rynku pracy</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0,06</w:t>
            </w:r>
          </w:p>
        </w:tc>
        <w:tc>
          <w:tcPr>
            <w:tcW w:w="154" w:type="dxa"/>
            <w:vMerge/>
            <w:tcBorders>
              <w:left w:val="single" w:sz="12" w:space="0" w:color="8496B0" w:themeColor="text2" w:themeTint="99"/>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100"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r w:rsidR="001A123D" w:rsidRPr="001A123D" w:rsidTr="00B07575">
        <w:trPr>
          <w:gridAfter w:val="1"/>
          <w:wAfter w:w="568" w:type="dxa"/>
          <w:trHeight w:val="720"/>
        </w:trPr>
        <w:tc>
          <w:tcPr>
            <w:tcW w:w="3969"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20"/>
                <w:szCs w:val="18"/>
              </w:rPr>
            </w:pPr>
            <w:r w:rsidRPr="001A123D">
              <w:rPr>
                <w:rFonts w:asciiTheme="minorHAnsi" w:eastAsia="Times New Roman" w:hAnsiTheme="minorHAnsi" w:cs="Arial"/>
                <w:color w:val="000000" w:themeColor="text1"/>
                <w:sz w:val="20"/>
                <w:szCs w:val="18"/>
              </w:rPr>
              <w:t>Dynamicznie rozwijający się rynek usług świadczonych i pobieranych za pomocą usług teleinformatycznych</w:t>
            </w:r>
            <w:r w:rsidR="000F19BA">
              <w:rPr>
                <w:rFonts w:asciiTheme="minorHAnsi" w:eastAsia="Times New Roman" w:hAnsiTheme="minorHAnsi" w:cs="Arial"/>
                <w:color w:val="000000" w:themeColor="text1"/>
                <w:sz w:val="20"/>
                <w:szCs w:val="18"/>
              </w:rPr>
              <w:t>,</w:t>
            </w:r>
            <w:r w:rsidRPr="001A123D">
              <w:rPr>
                <w:rFonts w:asciiTheme="minorHAnsi" w:eastAsia="Times New Roman" w:hAnsiTheme="minorHAnsi" w:cs="Arial"/>
                <w:color w:val="000000" w:themeColor="text1"/>
                <w:sz w:val="20"/>
                <w:szCs w:val="18"/>
              </w:rPr>
              <w:t xml:space="preserve"> umożliwiający mniejszym </w:t>
            </w:r>
            <w:r w:rsidR="000F19BA">
              <w:rPr>
                <w:rFonts w:asciiTheme="minorHAnsi" w:eastAsia="Times New Roman" w:hAnsiTheme="minorHAnsi" w:cs="Arial"/>
                <w:color w:val="000000" w:themeColor="text1"/>
                <w:sz w:val="20"/>
                <w:szCs w:val="18"/>
              </w:rPr>
              <w:t>ośrodkom miejskim funkcjonowanie</w:t>
            </w:r>
            <w:r w:rsidRPr="001A123D">
              <w:rPr>
                <w:rFonts w:asciiTheme="minorHAnsi" w:eastAsia="Times New Roman" w:hAnsiTheme="minorHAnsi" w:cs="Arial"/>
                <w:color w:val="000000" w:themeColor="text1"/>
                <w:sz w:val="20"/>
                <w:szCs w:val="18"/>
              </w:rPr>
              <w:t xml:space="preserve"> na rynku globalnym</w:t>
            </w:r>
          </w:p>
        </w:tc>
        <w:tc>
          <w:tcPr>
            <w:tcW w:w="697" w:type="dxa"/>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cBorders>
            <w:shd w:val="clear" w:color="auto" w:fill="auto"/>
            <w:vAlign w:val="bottom"/>
          </w:tcPr>
          <w:p w:rsidR="001A123D" w:rsidRPr="001A123D" w:rsidRDefault="001A123D" w:rsidP="00B07575">
            <w:pPr>
              <w:jc w:val="right"/>
              <w:rPr>
                <w:rFonts w:asciiTheme="minorHAnsi" w:hAnsiTheme="minorHAnsi" w:cs="Arial"/>
                <w:color w:val="000000"/>
                <w:sz w:val="20"/>
                <w:szCs w:val="20"/>
              </w:rPr>
            </w:pPr>
            <w:r w:rsidRPr="001A123D">
              <w:rPr>
                <w:rFonts w:asciiTheme="minorHAnsi" w:hAnsiTheme="minorHAnsi" w:cs="Arial"/>
                <w:color w:val="000000"/>
                <w:sz w:val="20"/>
                <w:szCs w:val="20"/>
              </w:rPr>
              <w:t>0,09</w:t>
            </w:r>
          </w:p>
        </w:tc>
        <w:tc>
          <w:tcPr>
            <w:tcW w:w="154" w:type="dxa"/>
            <w:vMerge/>
            <w:tcBorders>
              <w:left w:val="single" w:sz="12" w:space="0" w:color="8496B0" w:themeColor="text2" w:themeTint="99"/>
            </w:tcBorders>
            <w:shd w:val="clear" w:color="auto" w:fill="auto"/>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c>
          <w:tcPr>
            <w:tcW w:w="4100" w:type="dxa"/>
            <w:gridSpan w:val="2"/>
            <w:vMerge/>
            <w:shd w:val="clear" w:color="auto" w:fill="auto"/>
            <w:vAlign w:val="center"/>
            <w:hideMark/>
          </w:tcPr>
          <w:p w:rsidR="001A123D" w:rsidRPr="001A123D" w:rsidRDefault="001A123D" w:rsidP="00B07575">
            <w:pPr>
              <w:spacing w:line="240" w:lineRule="auto"/>
              <w:rPr>
                <w:rFonts w:asciiTheme="minorHAnsi" w:eastAsia="Times New Roman" w:hAnsiTheme="minorHAnsi" w:cs="Arial"/>
                <w:color w:val="000000" w:themeColor="text1"/>
                <w:sz w:val="18"/>
                <w:szCs w:val="18"/>
              </w:rPr>
            </w:pPr>
          </w:p>
        </w:tc>
      </w:tr>
    </w:tbl>
    <w:p w:rsidR="001A123D" w:rsidRPr="00EA21E6" w:rsidRDefault="001A123D" w:rsidP="001A123D">
      <w:pPr>
        <w:rPr>
          <w:rFonts w:asciiTheme="minorHAnsi" w:hAnsiTheme="minorHAnsi"/>
          <w:sz w:val="22"/>
        </w:rPr>
      </w:pPr>
      <w:r w:rsidRPr="00EA21E6">
        <w:rPr>
          <w:rFonts w:asciiTheme="minorHAnsi" w:hAnsiTheme="minorHAnsi"/>
          <w:sz w:val="22"/>
        </w:rPr>
        <w:t>Źródło: Opracowanie własne</w:t>
      </w:r>
      <w:r w:rsidR="008B3862">
        <w:rPr>
          <w:rFonts w:asciiTheme="minorHAnsi" w:hAnsiTheme="minorHAnsi"/>
          <w:sz w:val="22"/>
        </w:rPr>
        <w:t>.</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Szansą o największym znaczeniu dla realizacji Strategii Rozwoju jest </w:t>
      </w:r>
      <w:r w:rsidRPr="00EA21E6">
        <w:rPr>
          <w:rFonts w:asciiTheme="minorHAnsi" w:hAnsiTheme="minorHAnsi"/>
          <w:b/>
          <w:sz w:val="22"/>
        </w:rPr>
        <w:t xml:space="preserve">nadchodząca perspektywa finansowa Unii Europejskiej na lata 2014-2020 </w:t>
      </w:r>
      <w:r w:rsidRPr="00EA21E6">
        <w:rPr>
          <w:rFonts w:asciiTheme="minorHAnsi" w:hAnsiTheme="minorHAnsi"/>
          <w:sz w:val="22"/>
        </w:rPr>
        <w:t>oraz</w:t>
      </w:r>
      <w:r w:rsidRPr="00EA21E6">
        <w:rPr>
          <w:rFonts w:asciiTheme="minorHAnsi" w:hAnsiTheme="minorHAnsi"/>
          <w:b/>
          <w:sz w:val="22"/>
        </w:rPr>
        <w:t xml:space="preserve"> nowe instrumenty i narzędzia wspierające rozwój miejskich obszarów funkcjonalnych. </w:t>
      </w:r>
      <w:r w:rsidRPr="00EA21E6">
        <w:rPr>
          <w:rFonts w:asciiTheme="minorHAnsi" w:hAnsiTheme="minorHAnsi"/>
          <w:sz w:val="22"/>
        </w:rPr>
        <w:t>Środki zewnętrzne pozwolą na realizację dużych projektów inwestycyjnych, które będą stymulować dalszy rozwój miasta</w:t>
      </w:r>
      <w:r w:rsidR="00D03212">
        <w:rPr>
          <w:rFonts w:asciiTheme="minorHAnsi" w:hAnsiTheme="minorHAnsi"/>
          <w:sz w:val="22"/>
        </w:rPr>
        <w:t xml:space="preserve"> i regionu.  Przewiduje się, iż </w:t>
      </w:r>
      <w:r w:rsidRPr="00EA21E6">
        <w:rPr>
          <w:rFonts w:asciiTheme="minorHAnsi" w:hAnsiTheme="minorHAnsi"/>
          <w:sz w:val="22"/>
        </w:rPr>
        <w:t>jest to ostatnia tak wysoka pula środków finansowych</w:t>
      </w:r>
      <w:r w:rsidR="000F19BA">
        <w:rPr>
          <w:rFonts w:asciiTheme="minorHAnsi" w:hAnsiTheme="minorHAnsi"/>
          <w:sz w:val="22"/>
        </w:rPr>
        <w:t>,</w:t>
      </w:r>
      <w:r w:rsidRPr="00EA21E6">
        <w:rPr>
          <w:rFonts w:asciiTheme="minorHAnsi" w:hAnsiTheme="minorHAnsi"/>
          <w:sz w:val="22"/>
        </w:rPr>
        <w:t xml:space="preserve"> dlatego też warto wykorzystać ją w sposób rozsądny i przemyślany, ukierunkowując się na rozwiązanie najbardziej palących problemów i potrzeb miasta.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Czynnikiem, który będzie mógł zaważyć na przyznaniu środków zewnętrznych jest </w:t>
      </w:r>
      <w:r w:rsidRPr="00EA21E6">
        <w:rPr>
          <w:rFonts w:asciiTheme="minorHAnsi" w:hAnsiTheme="minorHAnsi"/>
          <w:b/>
          <w:sz w:val="22"/>
        </w:rPr>
        <w:t xml:space="preserve">wysoka rola Legnicy, jako ośrodka wzrostu miejskiego obszaru funkcjonalnego  określona w dokumentach planistycznych na szczeblu regionalnym i centralnym. </w:t>
      </w:r>
      <w:r w:rsidRPr="00EA21E6">
        <w:rPr>
          <w:rFonts w:asciiTheme="minorHAnsi" w:hAnsiTheme="minorHAnsi"/>
          <w:sz w:val="22"/>
        </w:rPr>
        <w:t>Zapisy te otwierają nowe możliwości na realizację dużych projektów o zasięgu ponadlokalnym</w:t>
      </w:r>
      <w:r w:rsidR="000F19BA">
        <w:rPr>
          <w:rFonts w:asciiTheme="minorHAnsi" w:hAnsiTheme="minorHAnsi"/>
          <w:sz w:val="22"/>
        </w:rPr>
        <w:t>,</w:t>
      </w:r>
      <w:r w:rsidRPr="00EA21E6">
        <w:rPr>
          <w:rFonts w:asciiTheme="minorHAnsi" w:hAnsiTheme="minorHAnsi"/>
          <w:sz w:val="22"/>
        </w:rPr>
        <w:t xml:space="preserve"> jak i zobowiązują Legnicę do rozpatrywania własnej polityki rozwojowej w szerszej perspektywie, jako miasta wpływającego na rozwój i funkcjonowanie całego Legnicko-Głogowskiego Obszaru Funkcjonalnego.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Gospodarka Legnicy stoi przed licznymi szansami do przyśpieszenia jej zrównoważonego rozwoju: </w:t>
      </w:r>
      <w:r w:rsidRPr="00EA21E6">
        <w:rPr>
          <w:rFonts w:asciiTheme="minorHAnsi" w:hAnsiTheme="minorHAnsi"/>
          <w:b/>
          <w:sz w:val="22"/>
        </w:rPr>
        <w:t>przedłużono funkcjonowanie Legnickiej Specjalnej Strefy Ekonomicznej</w:t>
      </w:r>
      <w:r w:rsidR="000F19BA">
        <w:rPr>
          <w:rFonts w:asciiTheme="minorHAnsi" w:hAnsiTheme="minorHAnsi"/>
          <w:b/>
          <w:sz w:val="22"/>
        </w:rPr>
        <w:t>,</w:t>
      </w:r>
      <w:r w:rsidRPr="00EA21E6">
        <w:rPr>
          <w:rFonts w:asciiTheme="minorHAnsi" w:hAnsiTheme="minorHAnsi"/>
          <w:b/>
          <w:sz w:val="22"/>
        </w:rPr>
        <w:t xml:space="preserve"> </w:t>
      </w:r>
      <w:r w:rsidRPr="00EA21E6">
        <w:rPr>
          <w:rFonts w:asciiTheme="minorHAnsi" w:hAnsiTheme="minorHAnsi"/>
          <w:sz w:val="22"/>
        </w:rPr>
        <w:t xml:space="preserve">zapewniając tym samym ulgi dla nowych inwestorów, krajowy potentat gospodarczy </w:t>
      </w:r>
      <w:r w:rsidRPr="00EA21E6">
        <w:rPr>
          <w:rFonts w:asciiTheme="minorHAnsi" w:hAnsiTheme="minorHAnsi"/>
          <w:b/>
          <w:sz w:val="22"/>
        </w:rPr>
        <w:t xml:space="preserve">KGHM S.A. rozwija i dywersyfikuje swoją działalność w regionie tworząc nowe miejsca pracy w sektorze wysokich technologii, </w:t>
      </w:r>
      <w:r w:rsidRPr="00EA21E6">
        <w:rPr>
          <w:rFonts w:asciiTheme="minorHAnsi" w:hAnsiTheme="minorHAnsi"/>
          <w:sz w:val="22"/>
        </w:rPr>
        <w:t>na</w:t>
      </w:r>
      <w:r w:rsidRPr="00EA21E6">
        <w:rPr>
          <w:rFonts w:asciiTheme="minorHAnsi" w:hAnsiTheme="minorHAnsi"/>
          <w:b/>
          <w:sz w:val="22"/>
        </w:rPr>
        <w:t xml:space="preserve">  </w:t>
      </w:r>
      <w:r w:rsidRPr="00EA21E6">
        <w:rPr>
          <w:rFonts w:asciiTheme="minorHAnsi" w:hAnsiTheme="minorHAnsi"/>
          <w:sz w:val="22"/>
        </w:rPr>
        <w:t>terenach okalających Legnicę zlokalizowane są strategiczne z punktu widzenia bezpieczeństwa energetycznego kraju</w:t>
      </w:r>
      <w:r w:rsidRPr="00EA21E6">
        <w:rPr>
          <w:rFonts w:asciiTheme="minorHAnsi" w:hAnsiTheme="minorHAnsi"/>
          <w:b/>
          <w:sz w:val="22"/>
        </w:rPr>
        <w:t xml:space="preserve"> zasoby węgla brunatnego</w:t>
      </w:r>
      <w:r w:rsidRPr="00EA21E6">
        <w:rPr>
          <w:rFonts w:asciiTheme="minorHAnsi" w:hAnsiTheme="minorHAnsi"/>
          <w:sz w:val="22"/>
        </w:rPr>
        <w:t>, które w niedalekiej przyszłości mogą być przyczynkiem do rozwoju sektora górniczo-energetycznego w regionie</w:t>
      </w:r>
      <w:r w:rsidRPr="00EA21E6">
        <w:rPr>
          <w:rFonts w:asciiTheme="minorHAnsi" w:hAnsiTheme="minorHAnsi"/>
          <w:b/>
          <w:sz w:val="22"/>
        </w:rPr>
        <w:t>, wysokie walory agroklimatyczne</w:t>
      </w:r>
      <w:r w:rsidRPr="00EA21E6">
        <w:rPr>
          <w:rFonts w:asciiTheme="minorHAnsi" w:hAnsiTheme="minorHAnsi"/>
          <w:sz w:val="22"/>
        </w:rPr>
        <w:t xml:space="preserve"> stanowią natomiast podstawę dla rozwoju specjalizacji sektora przetwórstwa rolno-spożywczego. Na atrakcyjność inwestycyjną Legnicy wpływ mogą mieć również </w:t>
      </w:r>
      <w:r w:rsidRPr="00EA21E6">
        <w:rPr>
          <w:rFonts w:asciiTheme="minorHAnsi" w:hAnsiTheme="minorHAnsi"/>
          <w:b/>
          <w:sz w:val="22"/>
        </w:rPr>
        <w:t>planowane</w:t>
      </w:r>
      <w:r w:rsidRPr="00EA21E6">
        <w:rPr>
          <w:rFonts w:asciiTheme="minorHAnsi" w:hAnsiTheme="minorHAnsi"/>
          <w:sz w:val="22"/>
        </w:rPr>
        <w:t xml:space="preserve"> </w:t>
      </w:r>
      <w:r w:rsidRPr="00EA21E6">
        <w:rPr>
          <w:rFonts w:asciiTheme="minorHAnsi" w:hAnsiTheme="minorHAnsi"/>
          <w:b/>
          <w:sz w:val="22"/>
        </w:rPr>
        <w:t>inwestycje w układ transportowy</w:t>
      </w:r>
      <w:r w:rsidR="000F19BA">
        <w:rPr>
          <w:rFonts w:asciiTheme="minorHAnsi" w:hAnsiTheme="minorHAnsi"/>
          <w:b/>
          <w:sz w:val="22"/>
        </w:rPr>
        <w:t>,</w:t>
      </w:r>
      <w:r w:rsidRPr="00EA21E6">
        <w:rPr>
          <w:rFonts w:asciiTheme="minorHAnsi" w:hAnsiTheme="minorHAnsi"/>
          <w:sz w:val="22"/>
        </w:rPr>
        <w:t xml:space="preserve"> takie jak modernizacja i rozbudowa magistrali kolejowej E-30, czy budowa trasy S-3.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Zagrożeniem płynącym z rozbudowy układu komunikacyjnego jest </w:t>
      </w:r>
      <w:r w:rsidRPr="00EA21E6">
        <w:rPr>
          <w:rFonts w:asciiTheme="minorHAnsi" w:hAnsiTheme="minorHAnsi"/>
          <w:b/>
          <w:sz w:val="22"/>
        </w:rPr>
        <w:t>niepewność w realizacji poszczególnych inwestycj</w:t>
      </w:r>
      <w:r w:rsidR="000B5C49">
        <w:rPr>
          <w:rFonts w:asciiTheme="minorHAnsi" w:hAnsiTheme="minorHAnsi"/>
          <w:b/>
          <w:sz w:val="22"/>
        </w:rPr>
        <w:t>i</w:t>
      </w:r>
      <w:r w:rsidR="000F19BA">
        <w:rPr>
          <w:rFonts w:asciiTheme="minorHAnsi" w:hAnsiTheme="minorHAnsi"/>
          <w:b/>
          <w:sz w:val="22"/>
        </w:rPr>
        <w:t>,</w:t>
      </w:r>
      <w:r w:rsidR="000B5C49">
        <w:rPr>
          <w:rFonts w:asciiTheme="minorHAnsi" w:hAnsiTheme="minorHAnsi"/>
          <w:b/>
          <w:sz w:val="22"/>
        </w:rPr>
        <w:t xml:space="preserve"> uzależnionych</w:t>
      </w:r>
      <w:r w:rsidRPr="00EA21E6">
        <w:rPr>
          <w:rFonts w:asciiTheme="minorHAnsi" w:hAnsiTheme="minorHAnsi"/>
          <w:b/>
          <w:sz w:val="22"/>
        </w:rPr>
        <w:t xml:space="preserve"> od decyzji władz centralnych</w:t>
      </w:r>
      <w:r w:rsidRPr="00EA21E6">
        <w:rPr>
          <w:rFonts w:asciiTheme="minorHAnsi" w:hAnsiTheme="minorHAnsi"/>
          <w:sz w:val="22"/>
        </w:rPr>
        <w:t xml:space="preserve">. Likwidacja węzłów na autostradzie, wprowadzenie opłat za przejazd autostradą A-4, oraz rozbudowana sieć połączeń wiąże się bowiem z możliwym przeniesieniem części ruchu na układ komunikacyjny miasta, co przy braku odpowiedniej modernizacji i rozbudowy może prowadzić do powstawania zatorów i dekapitalizacji  wewnętrznego układu drogowego. </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Zagrożeniem dla stabilności finansów publicznych oraz kondycji podmiotów działających w Legnicy może być </w:t>
      </w:r>
      <w:r w:rsidRPr="00EA21E6">
        <w:rPr>
          <w:rFonts w:asciiTheme="minorHAnsi" w:hAnsiTheme="minorHAnsi"/>
          <w:b/>
          <w:sz w:val="22"/>
        </w:rPr>
        <w:t>dalsze oddziaływanie kryzysu światowego</w:t>
      </w:r>
      <w:r w:rsidRPr="00EA21E6">
        <w:rPr>
          <w:rFonts w:asciiTheme="minorHAnsi" w:hAnsiTheme="minorHAnsi"/>
          <w:sz w:val="22"/>
        </w:rPr>
        <w:t xml:space="preserve"> zwiększającego niepewność na rynkach finansowych i towarowych, ale przede wszystkim </w:t>
      </w:r>
      <w:r w:rsidRPr="00EA21E6">
        <w:rPr>
          <w:rFonts w:asciiTheme="minorHAnsi" w:hAnsiTheme="minorHAnsi"/>
          <w:b/>
          <w:sz w:val="22"/>
        </w:rPr>
        <w:t>negatywne trendy demograficzne</w:t>
      </w:r>
      <w:r w:rsidRPr="00EA21E6">
        <w:rPr>
          <w:rFonts w:asciiTheme="minorHAnsi" w:hAnsiTheme="minorHAnsi"/>
          <w:sz w:val="22"/>
        </w:rPr>
        <w:t>. Niż demograficzny oraz zmieniająca się struktura wiekowa społeczeństwa prowadzi do wzrostu obciążenia demograficznego ludności w wi</w:t>
      </w:r>
      <w:r w:rsidR="000F19BA">
        <w:rPr>
          <w:rFonts w:asciiTheme="minorHAnsi" w:hAnsiTheme="minorHAnsi"/>
          <w:sz w:val="22"/>
        </w:rPr>
        <w:t>eku produkcyjnym oraz zaburzenia</w:t>
      </w:r>
      <w:r w:rsidRPr="00EA21E6">
        <w:rPr>
          <w:rFonts w:asciiTheme="minorHAnsi" w:hAnsiTheme="minorHAnsi"/>
          <w:sz w:val="22"/>
        </w:rPr>
        <w:t xml:space="preserve"> wymienności pokoleniowej na rynku pracy. Również powszechnie obserwowane </w:t>
      </w:r>
      <w:r w:rsidRPr="00EA21E6">
        <w:rPr>
          <w:rFonts w:asciiTheme="minorHAnsi" w:hAnsiTheme="minorHAnsi"/>
          <w:b/>
          <w:sz w:val="22"/>
        </w:rPr>
        <w:t>zjawisko suburbanizacji</w:t>
      </w:r>
      <w:r w:rsidRPr="00EA21E6">
        <w:rPr>
          <w:rFonts w:asciiTheme="minorHAnsi" w:hAnsiTheme="minorHAnsi"/>
          <w:sz w:val="22"/>
        </w:rPr>
        <w:t xml:space="preserve"> pociąga za sobą trwałe zmiany w substancji miasta. Rozbudowane przedmieścia powod</w:t>
      </w:r>
      <w:r w:rsidR="00316E79">
        <w:rPr>
          <w:rFonts w:asciiTheme="minorHAnsi" w:hAnsiTheme="minorHAnsi"/>
          <w:sz w:val="22"/>
        </w:rPr>
        <w:t>ują wyludnianie centrów miast i </w:t>
      </w:r>
      <w:r w:rsidRPr="00EA21E6">
        <w:rPr>
          <w:rFonts w:asciiTheme="minorHAnsi" w:hAnsiTheme="minorHAnsi"/>
          <w:sz w:val="22"/>
        </w:rPr>
        <w:t>konieczność ponoszenia nowych nakładów inwestycyjnych w rozbu</w:t>
      </w:r>
      <w:r w:rsidR="00316E79">
        <w:rPr>
          <w:rFonts w:asciiTheme="minorHAnsi" w:hAnsiTheme="minorHAnsi"/>
          <w:sz w:val="22"/>
        </w:rPr>
        <w:t>dowę infrastruktury miejskiej i </w:t>
      </w:r>
      <w:r w:rsidRPr="00EA21E6">
        <w:rPr>
          <w:rFonts w:asciiTheme="minorHAnsi" w:hAnsiTheme="minorHAnsi"/>
          <w:sz w:val="22"/>
        </w:rPr>
        <w:t xml:space="preserve">komunikacyjnej. Naturalny proces starzenia się ludności prowadzić będzie także do </w:t>
      </w:r>
      <w:r w:rsidRPr="00EA21E6">
        <w:rPr>
          <w:rFonts w:asciiTheme="minorHAnsi" w:hAnsiTheme="minorHAnsi"/>
          <w:b/>
          <w:sz w:val="22"/>
        </w:rPr>
        <w:t xml:space="preserve">stopniowego zanikania tzw. turystyki sentymentalnej, </w:t>
      </w:r>
      <w:r w:rsidRPr="00EA21E6">
        <w:rPr>
          <w:rFonts w:asciiTheme="minorHAnsi" w:hAnsiTheme="minorHAnsi"/>
          <w:sz w:val="22"/>
        </w:rPr>
        <w:t>zwłaszcza Niemców i Rosjan, którzy chętnie w ostatnich latach odwiedzali Legnicę.</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Ważnym obserwowanym trendem mogącym wpłynąć w sposób znaczący na rozwój społeczno-gospodarczy jest rosnący </w:t>
      </w:r>
      <w:r w:rsidRPr="00EA21E6">
        <w:rPr>
          <w:rFonts w:asciiTheme="minorHAnsi" w:hAnsiTheme="minorHAnsi"/>
          <w:b/>
          <w:sz w:val="22"/>
        </w:rPr>
        <w:t xml:space="preserve">wskaźnik wykształcenia społeczeństwa </w:t>
      </w:r>
      <w:r w:rsidRPr="00EA21E6">
        <w:rPr>
          <w:rFonts w:asciiTheme="minorHAnsi" w:hAnsiTheme="minorHAnsi"/>
          <w:sz w:val="22"/>
        </w:rPr>
        <w:t>oraz</w:t>
      </w:r>
      <w:r w:rsidRPr="00EA21E6">
        <w:rPr>
          <w:rFonts w:asciiTheme="minorHAnsi" w:hAnsiTheme="minorHAnsi"/>
          <w:b/>
          <w:sz w:val="22"/>
        </w:rPr>
        <w:t xml:space="preserve"> </w:t>
      </w:r>
      <w:r w:rsidRPr="00EA21E6">
        <w:rPr>
          <w:rFonts w:asciiTheme="minorHAnsi" w:hAnsiTheme="minorHAnsi"/>
          <w:sz w:val="22"/>
        </w:rPr>
        <w:t>coraz bardziej</w:t>
      </w:r>
      <w:r w:rsidRPr="00EA21E6">
        <w:rPr>
          <w:rFonts w:asciiTheme="minorHAnsi" w:hAnsiTheme="minorHAnsi"/>
          <w:b/>
          <w:sz w:val="22"/>
        </w:rPr>
        <w:t xml:space="preserve"> świadome podejmowanie decyzji przez młodzież, co do własnego rozwoju edukacyjno-zawodowego, </w:t>
      </w:r>
      <w:r w:rsidRPr="00EA21E6">
        <w:rPr>
          <w:rFonts w:asciiTheme="minorHAnsi" w:hAnsiTheme="minorHAnsi"/>
          <w:sz w:val="22"/>
        </w:rPr>
        <w:t>często ukierunkowanego na specjalizacje zawodowe cieszące się dużym zainteresowaniem na rynku pracy.</w:t>
      </w:r>
      <w:r w:rsidRPr="00EA21E6">
        <w:rPr>
          <w:rFonts w:asciiTheme="minorHAnsi" w:hAnsiTheme="minorHAnsi"/>
          <w:b/>
          <w:sz w:val="22"/>
        </w:rPr>
        <w:t xml:space="preserve">  </w:t>
      </w:r>
      <w:r w:rsidRPr="00EA21E6">
        <w:rPr>
          <w:rFonts w:asciiTheme="minorHAnsi" w:hAnsiTheme="minorHAnsi"/>
          <w:sz w:val="22"/>
        </w:rPr>
        <w:t>Znaczna część wykwalifikowanych osób wchodzących na rynek pracy n</w:t>
      </w:r>
      <w:r w:rsidR="00316E79">
        <w:rPr>
          <w:rFonts w:asciiTheme="minorHAnsi" w:hAnsiTheme="minorHAnsi"/>
          <w:sz w:val="22"/>
        </w:rPr>
        <w:t>iestety nadal nie spotyka się z </w:t>
      </w:r>
      <w:r w:rsidRPr="00EA21E6">
        <w:rPr>
          <w:rFonts w:asciiTheme="minorHAnsi" w:hAnsiTheme="minorHAnsi"/>
          <w:sz w:val="22"/>
        </w:rPr>
        <w:t xml:space="preserve">odpowiednią ofertą płacy i zatrudnienia, co zmusza ich do </w:t>
      </w:r>
      <w:r w:rsidRPr="00EA21E6">
        <w:rPr>
          <w:rFonts w:asciiTheme="minorHAnsi" w:hAnsiTheme="minorHAnsi"/>
          <w:b/>
          <w:sz w:val="22"/>
        </w:rPr>
        <w:t xml:space="preserve">migracji zarobkowej </w:t>
      </w:r>
      <w:r w:rsidRPr="00EA21E6">
        <w:rPr>
          <w:rFonts w:asciiTheme="minorHAnsi" w:hAnsiTheme="minorHAnsi"/>
          <w:sz w:val="22"/>
        </w:rPr>
        <w:t>do większych ośrodków krajowych lub za granicę, przyśpieszając tym samym negatywne tendencje społeczno-demograficzne. Niezwykle ważne jest zatem utrzymanie lub stworzenie miejsc pracy, które będą atrakcyjne dla wysoko wyedukowanych specjalistów, po to aby zapobiec ich odpływowi  i utrzymać wysoki kapitał intelektualny miasta.</w:t>
      </w:r>
    </w:p>
    <w:p w:rsidR="001A123D" w:rsidRPr="00EA21E6" w:rsidRDefault="001A123D" w:rsidP="001A123D">
      <w:pPr>
        <w:rPr>
          <w:rFonts w:asciiTheme="minorHAnsi" w:hAnsiTheme="minorHAnsi"/>
          <w:sz w:val="22"/>
        </w:rPr>
      </w:pPr>
    </w:p>
    <w:p w:rsidR="001A123D" w:rsidRPr="00EA21E6" w:rsidRDefault="001A123D" w:rsidP="001A123D">
      <w:pPr>
        <w:rPr>
          <w:rFonts w:asciiTheme="minorHAnsi" w:hAnsiTheme="minorHAnsi"/>
          <w:sz w:val="22"/>
        </w:rPr>
      </w:pPr>
      <w:r w:rsidRPr="00EA21E6">
        <w:rPr>
          <w:rFonts w:asciiTheme="minorHAnsi" w:hAnsiTheme="minorHAnsi"/>
          <w:sz w:val="22"/>
        </w:rPr>
        <w:t xml:space="preserve">Zjawiskiem, które może wpłynąć na pogłębienie się tych czynników jest </w:t>
      </w:r>
      <w:r w:rsidRPr="00EA21E6">
        <w:rPr>
          <w:rFonts w:asciiTheme="minorHAnsi" w:hAnsiTheme="minorHAnsi"/>
          <w:b/>
          <w:sz w:val="22"/>
        </w:rPr>
        <w:t>brak zainteresowania rozwojem centrów badawczych w mniejszych ośrodkach miejskich</w:t>
      </w:r>
      <w:r w:rsidRPr="00EA21E6">
        <w:rPr>
          <w:rFonts w:asciiTheme="minorHAnsi" w:hAnsiTheme="minorHAnsi"/>
          <w:sz w:val="22"/>
        </w:rPr>
        <w:t>, z uwagi na brak odpowiednich kadr i możliwości rozwojowych. Taki stan rzeczy zmusza wyższe uczelnie do ukierunkowania własnej działalności na stronie dydaktycznej</w:t>
      </w:r>
      <w:r w:rsidR="000F19BA">
        <w:rPr>
          <w:rFonts w:asciiTheme="minorHAnsi" w:hAnsiTheme="minorHAnsi"/>
          <w:sz w:val="22"/>
        </w:rPr>
        <w:t>,</w:t>
      </w:r>
      <w:r w:rsidRPr="00EA21E6">
        <w:rPr>
          <w:rFonts w:asciiTheme="minorHAnsi" w:hAnsiTheme="minorHAnsi"/>
          <w:sz w:val="22"/>
        </w:rPr>
        <w:t xml:space="preserve"> nie zaś naukowo-badawczej, co odbija się na ich jakości i prestiżu, kształtowaniu się elit intelektualnych miasta oraz współpracy sfery nauki ze sferą biznesową. </w:t>
      </w:r>
      <w:r w:rsidRPr="00EA21E6">
        <w:rPr>
          <w:rFonts w:asciiTheme="minorHAnsi" w:hAnsiTheme="minorHAnsi"/>
          <w:b/>
          <w:sz w:val="22"/>
        </w:rPr>
        <w:t xml:space="preserve">Brak współpracy pomiędzy przedsiębiorcami, a sektorem B+R </w:t>
      </w:r>
      <w:r w:rsidRPr="00EA21E6">
        <w:rPr>
          <w:rFonts w:asciiTheme="minorHAnsi" w:hAnsiTheme="minorHAnsi"/>
          <w:sz w:val="22"/>
        </w:rPr>
        <w:t xml:space="preserve">wpływa na niską innowacyjność przedsiębiorstw oraz niemożność zwiększania przez nie swojej pozycji konkurencyjnej opartej na wiedzy. Konkurencyjność cenowa, oparta głównie na zasobach pracy, w dobie gospodarki globalnej, przy nawet niewielkim wzroście płac czy obciążeń podatkowych może skutkować przeniesieniem inwestycji lub zakładu do innego regionu lub kraju. Konieczne zatem jest zwiększanie wydajności pracy i pozycji konkurencyjnej poprzez transfer technologii produkcji i zarządzania i posiadanie kreatywnych i wysoce wyspecjalizowanych kadr. </w:t>
      </w:r>
    </w:p>
    <w:p w:rsidR="00D03212" w:rsidRPr="00EA21E6" w:rsidRDefault="00D03212" w:rsidP="001A123D">
      <w:pPr>
        <w:rPr>
          <w:rFonts w:asciiTheme="minorHAnsi" w:hAnsiTheme="minorHAnsi"/>
          <w:sz w:val="22"/>
        </w:rPr>
      </w:pPr>
    </w:p>
    <w:p w:rsidR="00D03212" w:rsidRDefault="00D03212" w:rsidP="001A123D">
      <w:pPr>
        <w:rPr>
          <w:rFonts w:asciiTheme="minorHAnsi" w:hAnsiTheme="minorHAnsi"/>
          <w:sz w:val="22"/>
        </w:rPr>
      </w:pPr>
      <w:r>
        <w:rPr>
          <w:rFonts w:asciiTheme="minorHAnsi" w:hAnsiTheme="minorHAnsi"/>
          <w:sz w:val="22"/>
        </w:rPr>
        <w:br w:type="page"/>
      </w:r>
    </w:p>
    <w:p w:rsidR="0083485D" w:rsidRDefault="0083485D" w:rsidP="001A123D">
      <w:pPr>
        <w:rPr>
          <w:rFonts w:asciiTheme="minorHAnsi" w:hAnsiTheme="minorHAnsi"/>
          <w:sz w:val="22"/>
        </w:rPr>
      </w:pPr>
    </w:p>
    <w:p w:rsidR="001A123D" w:rsidRPr="00700661" w:rsidRDefault="001A123D" w:rsidP="001A123D">
      <w:pPr>
        <w:rPr>
          <w:rFonts w:asciiTheme="minorHAnsi" w:hAnsiTheme="minorHAnsi"/>
          <w:sz w:val="22"/>
        </w:rPr>
      </w:pPr>
      <w:r w:rsidRPr="00EA21E6">
        <w:rPr>
          <w:rFonts w:asciiTheme="minorHAnsi" w:hAnsiTheme="minorHAnsi"/>
          <w:sz w:val="22"/>
        </w:rPr>
        <w:t xml:space="preserve">Całkowicie nowe podejście do rozwoju gospodarczego możliwe jest dzięki dokonującemu się </w:t>
      </w:r>
      <w:r w:rsidRPr="00EA21E6">
        <w:rPr>
          <w:rFonts w:asciiTheme="minorHAnsi" w:hAnsiTheme="minorHAnsi"/>
          <w:b/>
          <w:sz w:val="22"/>
        </w:rPr>
        <w:t>postępowi teleinformatycznemu</w:t>
      </w:r>
      <w:r w:rsidRPr="00EA21E6">
        <w:rPr>
          <w:rFonts w:asciiTheme="minorHAnsi" w:hAnsiTheme="minorHAnsi"/>
          <w:sz w:val="22"/>
        </w:rPr>
        <w:t>. Postępująca cyfryzacja i rozwój Internetu szerokopasmowego pozwala bowiem na prowadzenie działalności na rynku krajowym, a nawet globalnym przy braku konieczności posiadania wysokiego kapitału finansowego. Świadczenie telepracy, e-usług czy prowadzenie e</w:t>
      </w:r>
      <w:r w:rsidRPr="00EA21E6">
        <w:rPr>
          <w:rFonts w:asciiTheme="minorHAnsi" w:hAnsiTheme="minorHAnsi"/>
          <w:sz w:val="22"/>
        </w:rPr>
        <w:noBreakHyphen/>
        <w:t>handlu stanowi ciekawą, alternatywną ścieżkę aktywizacji zawodowej i gospodarczej. Szerokopasmowy i powszechny dostęp do Internetu może przyczynić się także do usprawnienia transferu wiedzy i  wymiany doświadczeń zarówno na szczeblu gospodarczym, ja</w:t>
      </w:r>
      <w:r w:rsidR="00700661">
        <w:rPr>
          <w:rFonts w:asciiTheme="minorHAnsi" w:hAnsiTheme="minorHAnsi"/>
          <w:sz w:val="22"/>
        </w:rPr>
        <w:t>k i edukacyjnym czy społecznym.</w:t>
      </w:r>
    </w:p>
    <w:p w:rsidR="001A123D" w:rsidRPr="001A123D" w:rsidRDefault="001A123D" w:rsidP="001A123D">
      <w:pPr>
        <w:pStyle w:val="Nagwek1"/>
        <w:rPr>
          <w:rFonts w:asciiTheme="minorHAnsi" w:hAnsiTheme="minorHAnsi"/>
        </w:rPr>
      </w:pPr>
      <w:bookmarkStart w:id="62" w:name="_Toc393798610"/>
      <w:bookmarkStart w:id="63" w:name="_Toc399756348"/>
      <w:r w:rsidRPr="001A123D">
        <w:rPr>
          <w:rFonts w:asciiTheme="minorHAnsi" w:hAnsiTheme="minorHAnsi"/>
        </w:rPr>
        <w:t>Korelacje</w:t>
      </w:r>
      <w:bookmarkEnd w:id="62"/>
      <w:bookmarkEnd w:id="63"/>
    </w:p>
    <w:p w:rsidR="001A123D" w:rsidRPr="001A123D" w:rsidRDefault="001A123D" w:rsidP="001A123D">
      <w:pPr>
        <w:rPr>
          <w:rFonts w:asciiTheme="minorHAnsi" w:hAnsiTheme="minorHAnsi"/>
        </w:rPr>
      </w:pPr>
    </w:p>
    <w:p w:rsidR="001A123D" w:rsidRPr="00EA21E6" w:rsidRDefault="001A123D" w:rsidP="001A123D">
      <w:pPr>
        <w:spacing w:after="120"/>
        <w:rPr>
          <w:rFonts w:asciiTheme="minorHAnsi" w:hAnsiTheme="minorHAnsi" w:cs="Helvetica"/>
          <w:sz w:val="22"/>
          <w:szCs w:val="18"/>
        </w:rPr>
      </w:pPr>
      <w:r w:rsidRPr="00EA21E6">
        <w:rPr>
          <w:rFonts w:asciiTheme="minorHAnsi" w:hAnsiTheme="minorHAnsi" w:cs="Helvetica"/>
          <w:sz w:val="22"/>
          <w:szCs w:val="18"/>
        </w:rPr>
        <w:t>Pomiędzy pozycjami wyszczególnionymi w analizie SWOT zostało przeprowadzone badanie korelacji, polegające na ustaleniu, czy np. dana mocna strona może niwelować</w:t>
      </w:r>
      <w:r w:rsidR="00807AA5">
        <w:rPr>
          <w:rFonts w:asciiTheme="minorHAnsi" w:hAnsiTheme="minorHAnsi" w:cs="Helvetica"/>
          <w:sz w:val="22"/>
          <w:szCs w:val="18"/>
        </w:rPr>
        <w:t xml:space="preserve"> znaczenie danego zagrożenia; i </w:t>
      </w:r>
      <w:r w:rsidRPr="00EA21E6">
        <w:rPr>
          <w:rFonts w:asciiTheme="minorHAnsi" w:hAnsiTheme="minorHAnsi" w:cs="Helvetica"/>
          <w:sz w:val="22"/>
          <w:szCs w:val="18"/>
        </w:rPr>
        <w:t>odwrotnie: czy dane zagrożenie może osłabić mocną stronę. Odpowiedzi na powyższe pytania pozwalają zidentyfikować silne powiązania (obszary problemowe), w obrębie których można rozpocząć tworzenie rozwiązań (strategii cząstkowych).</w:t>
      </w:r>
    </w:p>
    <w:tbl>
      <w:tblPr>
        <w:tblW w:w="0" w:type="auto"/>
        <w:jc w:val="center"/>
        <w:tblLook w:val="04A0" w:firstRow="1" w:lastRow="0" w:firstColumn="1" w:lastColumn="0" w:noHBand="0" w:noVBand="1"/>
      </w:tblPr>
      <w:tblGrid>
        <w:gridCol w:w="2203"/>
        <w:gridCol w:w="2326"/>
        <w:gridCol w:w="2204"/>
      </w:tblGrid>
      <w:tr w:rsidR="001A123D" w:rsidRPr="001A123D" w:rsidTr="00700661">
        <w:trPr>
          <w:trHeight w:val="1002"/>
          <w:jc w:val="center"/>
        </w:trPr>
        <w:tc>
          <w:tcPr>
            <w:tcW w:w="2203" w:type="dxa"/>
            <w:vAlign w:val="center"/>
          </w:tcPr>
          <w:p w:rsidR="001A123D" w:rsidRPr="001A123D" w:rsidRDefault="001A123D" w:rsidP="00B07575">
            <w:pPr>
              <w:jc w:val="center"/>
              <w:rPr>
                <w:rFonts w:asciiTheme="minorHAnsi" w:hAnsiTheme="minorHAnsi" w:cs="Helvetica"/>
                <w:szCs w:val="18"/>
              </w:rPr>
            </w:pPr>
          </w:p>
        </w:tc>
        <w:tc>
          <w:tcPr>
            <w:tcW w:w="2326" w:type="dxa"/>
            <w:vAlign w:val="center"/>
          </w:tcPr>
          <w:p w:rsidR="001A123D" w:rsidRPr="001A123D" w:rsidRDefault="001A123D" w:rsidP="00B07575">
            <w:pPr>
              <w:jc w:val="center"/>
              <w:rPr>
                <w:rFonts w:asciiTheme="minorHAnsi" w:hAnsiTheme="minorHAnsi" w:cs="Helvetica"/>
                <w:smallCaps/>
                <w:szCs w:val="18"/>
              </w:rPr>
            </w:pPr>
            <w:r w:rsidRPr="001A123D">
              <w:rPr>
                <w:rFonts w:asciiTheme="minorHAnsi" w:hAnsiTheme="minorHAnsi" w:cs="Helvetica"/>
                <w:smallCaps/>
                <w:szCs w:val="18"/>
              </w:rPr>
              <w:t>mocne strony</w:t>
            </w:r>
          </w:p>
        </w:tc>
        <w:tc>
          <w:tcPr>
            <w:tcW w:w="2204" w:type="dxa"/>
            <w:vAlign w:val="center"/>
          </w:tcPr>
          <w:p w:rsidR="001A123D" w:rsidRPr="001A123D" w:rsidRDefault="001A123D" w:rsidP="00B07575">
            <w:pPr>
              <w:jc w:val="center"/>
              <w:rPr>
                <w:rFonts w:asciiTheme="minorHAnsi" w:hAnsiTheme="minorHAnsi" w:cs="Helvetica"/>
                <w:smallCaps/>
                <w:szCs w:val="18"/>
              </w:rPr>
            </w:pPr>
            <w:r w:rsidRPr="001A123D">
              <w:rPr>
                <w:rFonts w:asciiTheme="minorHAnsi" w:hAnsiTheme="minorHAnsi" w:cs="Helvetica"/>
                <w:smallCaps/>
                <w:szCs w:val="18"/>
              </w:rPr>
              <w:t>słabe strony</w:t>
            </w:r>
          </w:p>
        </w:tc>
      </w:tr>
      <w:tr w:rsidR="001A123D" w:rsidRPr="001A123D" w:rsidTr="00700661">
        <w:trPr>
          <w:trHeight w:val="1002"/>
          <w:jc w:val="center"/>
        </w:trPr>
        <w:tc>
          <w:tcPr>
            <w:tcW w:w="2203" w:type="dxa"/>
            <w:vAlign w:val="center"/>
          </w:tcPr>
          <w:p w:rsidR="001A123D" w:rsidRPr="001A123D" w:rsidRDefault="001A123D" w:rsidP="00B07575">
            <w:pPr>
              <w:jc w:val="center"/>
              <w:rPr>
                <w:rFonts w:asciiTheme="minorHAnsi" w:hAnsiTheme="minorHAnsi" w:cs="Helvetica"/>
                <w:smallCaps/>
                <w:szCs w:val="18"/>
              </w:rPr>
            </w:pPr>
            <w:r w:rsidRPr="001A123D">
              <w:rPr>
                <w:rFonts w:asciiTheme="minorHAnsi" w:hAnsiTheme="minorHAnsi" w:cs="Helvetica"/>
                <w:smallCaps/>
                <w:szCs w:val="18"/>
              </w:rPr>
              <w:t>szanse</w:t>
            </w:r>
          </w:p>
        </w:tc>
        <w:tc>
          <w:tcPr>
            <w:tcW w:w="2326" w:type="dxa"/>
            <w:shd w:val="clear" w:color="auto" w:fill="E2EFD9" w:themeFill="accent6" w:themeFillTint="33"/>
            <w:vAlign w:val="center"/>
          </w:tcPr>
          <w:p w:rsidR="001A123D" w:rsidRPr="001A123D" w:rsidRDefault="001A123D" w:rsidP="00B07575">
            <w:pPr>
              <w:jc w:val="center"/>
              <w:rPr>
                <w:rFonts w:asciiTheme="minorHAnsi" w:hAnsiTheme="minorHAnsi" w:cs="Helvetica"/>
                <w:caps/>
                <w:szCs w:val="18"/>
              </w:rPr>
            </w:pPr>
            <w:r w:rsidRPr="001A123D">
              <w:rPr>
                <w:rFonts w:asciiTheme="minorHAnsi" w:hAnsiTheme="minorHAnsi" w:cs="Helvetica"/>
                <w:caps/>
                <w:szCs w:val="18"/>
              </w:rPr>
              <w:t>strategia ofensywna</w:t>
            </w:r>
          </w:p>
        </w:tc>
        <w:tc>
          <w:tcPr>
            <w:tcW w:w="2204" w:type="dxa"/>
            <w:shd w:val="clear" w:color="auto" w:fill="D9E2F3" w:themeFill="accent5" w:themeFillTint="33"/>
            <w:vAlign w:val="center"/>
          </w:tcPr>
          <w:p w:rsidR="001A123D" w:rsidRPr="001A123D" w:rsidRDefault="001A123D" w:rsidP="00B07575">
            <w:pPr>
              <w:jc w:val="center"/>
              <w:rPr>
                <w:rFonts w:asciiTheme="minorHAnsi" w:hAnsiTheme="minorHAnsi" w:cs="Helvetica"/>
                <w:caps/>
                <w:szCs w:val="18"/>
              </w:rPr>
            </w:pPr>
            <w:r w:rsidRPr="001A123D">
              <w:rPr>
                <w:rFonts w:asciiTheme="minorHAnsi" w:hAnsiTheme="minorHAnsi" w:cs="Helvetica"/>
                <w:caps/>
                <w:szCs w:val="18"/>
              </w:rPr>
              <w:t>strategia konkurencyjna</w:t>
            </w:r>
          </w:p>
        </w:tc>
      </w:tr>
      <w:tr w:rsidR="001A123D" w:rsidRPr="001A123D" w:rsidTr="00700661">
        <w:trPr>
          <w:trHeight w:val="1002"/>
          <w:jc w:val="center"/>
        </w:trPr>
        <w:tc>
          <w:tcPr>
            <w:tcW w:w="2203" w:type="dxa"/>
            <w:vAlign w:val="center"/>
          </w:tcPr>
          <w:p w:rsidR="001A123D" w:rsidRPr="001A123D" w:rsidRDefault="001A123D" w:rsidP="00B07575">
            <w:pPr>
              <w:jc w:val="center"/>
              <w:rPr>
                <w:rFonts w:asciiTheme="minorHAnsi" w:hAnsiTheme="minorHAnsi" w:cs="Helvetica"/>
                <w:smallCaps/>
                <w:szCs w:val="18"/>
              </w:rPr>
            </w:pPr>
            <w:r w:rsidRPr="001A123D">
              <w:rPr>
                <w:rFonts w:asciiTheme="minorHAnsi" w:hAnsiTheme="minorHAnsi" w:cs="Helvetica"/>
                <w:smallCaps/>
                <w:szCs w:val="18"/>
              </w:rPr>
              <w:t>zagrożenia</w:t>
            </w:r>
          </w:p>
        </w:tc>
        <w:tc>
          <w:tcPr>
            <w:tcW w:w="2326" w:type="dxa"/>
            <w:shd w:val="clear" w:color="auto" w:fill="FFF2CC" w:themeFill="accent4" w:themeFillTint="33"/>
            <w:vAlign w:val="center"/>
          </w:tcPr>
          <w:p w:rsidR="001A123D" w:rsidRPr="001A123D" w:rsidRDefault="001A123D" w:rsidP="00B07575">
            <w:pPr>
              <w:jc w:val="center"/>
              <w:rPr>
                <w:rFonts w:asciiTheme="minorHAnsi" w:hAnsiTheme="minorHAnsi" w:cs="Helvetica"/>
                <w:caps/>
                <w:szCs w:val="18"/>
              </w:rPr>
            </w:pPr>
            <w:r w:rsidRPr="001A123D">
              <w:rPr>
                <w:rFonts w:asciiTheme="minorHAnsi" w:hAnsiTheme="minorHAnsi" w:cs="Helvetica"/>
                <w:caps/>
                <w:szCs w:val="18"/>
              </w:rPr>
              <w:t>strategia konserwatywna</w:t>
            </w:r>
          </w:p>
        </w:tc>
        <w:tc>
          <w:tcPr>
            <w:tcW w:w="2204" w:type="dxa"/>
            <w:shd w:val="clear" w:color="auto" w:fill="EDEDED" w:themeFill="accent3" w:themeFillTint="33"/>
            <w:vAlign w:val="center"/>
          </w:tcPr>
          <w:p w:rsidR="001A123D" w:rsidRPr="001A123D" w:rsidRDefault="001A123D" w:rsidP="00B07575">
            <w:pPr>
              <w:jc w:val="center"/>
              <w:rPr>
                <w:rFonts w:asciiTheme="minorHAnsi" w:hAnsiTheme="minorHAnsi" w:cs="Helvetica"/>
                <w:caps/>
                <w:szCs w:val="18"/>
              </w:rPr>
            </w:pPr>
            <w:r w:rsidRPr="001A123D">
              <w:rPr>
                <w:rFonts w:asciiTheme="minorHAnsi" w:hAnsiTheme="minorHAnsi" w:cs="Helvetica"/>
                <w:caps/>
                <w:szCs w:val="18"/>
              </w:rPr>
              <w:t>strategia defensywna</w:t>
            </w:r>
          </w:p>
        </w:tc>
      </w:tr>
    </w:tbl>
    <w:p w:rsidR="00700661" w:rsidRDefault="00700661" w:rsidP="001A123D">
      <w:pPr>
        <w:spacing w:after="120"/>
        <w:rPr>
          <w:rFonts w:asciiTheme="minorHAnsi" w:hAnsiTheme="minorHAnsi" w:cs="Helvetica"/>
          <w:sz w:val="22"/>
          <w:szCs w:val="18"/>
        </w:rPr>
      </w:pPr>
    </w:p>
    <w:p w:rsidR="001A123D" w:rsidRDefault="001A123D" w:rsidP="001A123D">
      <w:pPr>
        <w:spacing w:after="120"/>
        <w:rPr>
          <w:rFonts w:asciiTheme="minorHAnsi" w:hAnsiTheme="minorHAnsi" w:cs="Helvetica"/>
          <w:sz w:val="22"/>
          <w:szCs w:val="18"/>
        </w:rPr>
      </w:pPr>
      <w:r w:rsidRPr="00EA21E6">
        <w:rPr>
          <w:rFonts w:asciiTheme="minorHAnsi" w:hAnsiTheme="minorHAnsi" w:cs="Helvetica"/>
          <w:sz w:val="22"/>
          <w:szCs w:val="18"/>
        </w:rPr>
        <w:t>Najsilniejsze zależności zostały oznaczone w przedstawionych niżej tabelach korelacji kolorem czerwonym. Im bardziej intensywny odcień czerwieni, tym silniejsze korelacje.</w:t>
      </w:r>
    </w:p>
    <w:p w:rsidR="00700661" w:rsidRPr="001A123D" w:rsidRDefault="00700661" w:rsidP="001A123D">
      <w:pPr>
        <w:spacing w:after="120"/>
        <w:rPr>
          <w:rFonts w:asciiTheme="minorHAnsi" w:hAnsiTheme="minorHAnsi" w:cs="Helvetica"/>
          <w:szCs w:val="18"/>
        </w:rPr>
      </w:pPr>
    </w:p>
    <w:p w:rsidR="001A123D" w:rsidRPr="001A123D" w:rsidRDefault="001A123D" w:rsidP="001A123D">
      <w:pPr>
        <w:pStyle w:val="Nagwek2"/>
        <w:rPr>
          <w:rFonts w:asciiTheme="minorHAnsi" w:hAnsiTheme="minorHAnsi"/>
        </w:rPr>
      </w:pPr>
      <w:bookmarkStart w:id="64" w:name="_Toc393798611"/>
      <w:bookmarkStart w:id="65" w:name="_Toc399756011"/>
      <w:bookmarkStart w:id="66" w:name="_Toc399756349"/>
      <w:r w:rsidRPr="001A123D">
        <w:rPr>
          <w:rFonts w:asciiTheme="minorHAnsi" w:hAnsiTheme="minorHAnsi"/>
        </w:rPr>
        <w:t>Korelacja Mocne strony – Zagrożenia; Zagrożenia – Mocne strony.</w:t>
      </w:r>
      <w:bookmarkEnd w:id="64"/>
      <w:bookmarkEnd w:id="65"/>
      <w:bookmarkEnd w:id="66"/>
    </w:p>
    <w:p w:rsidR="001A123D" w:rsidRPr="001A123D" w:rsidRDefault="001A123D" w:rsidP="001A123D">
      <w:pPr>
        <w:rPr>
          <w:rFonts w:asciiTheme="minorHAnsi" w:hAnsiTheme="minorHAnsi"/>
        </w:rPr>
      </w:pPr>
    </w:p>
    <w:p w:rsidR="001A123D" w:rsidRPr="00EA21E6" w:rsidRDefault="001A123D" w:rsidP="001A123D">
      <w:pPr>
        <w:spacing w:after="120"/>
        <w:rPr>
          <w:rFonts w:asciiTheme="minorHAnsi" w:hAnsiTheme="minorHAnsi"/>
          <w:bCs/>
          <w:sz w:val="22"/>
        </w:rPr>
      </w:pPr>
      <w:r w:rsidRPr="00EA21E6">
        <w:rPr>
          <w:rFonts w:asciiTheme="minorHAnsi" w:hAnsiTheme="minorHAnsi"/>
          <w:bCs/>
          <w:sz w:val="22"/>
        </w:rPr>
        <w:t>Najwyższe korelacje pomiędzy mocnymi stronami, a zagrożeniami dotyczą z jednej strony wysokiej dostępności mieszkańców Legnicy do infrastruktury społecznej, takiej jak: przedszkola i szkoły, uczelnie wyższe, dobrze wyposażone placówki opieki zdrowotnej, instytucje kultury, a z drugiej strony zagrożenia wynikającego z zachodzących negatywnych tendencji demograficznych. Starzejące się społeczeństwo oraz spadek liczby mieszkańców powoduje spadek popytu konsumpcyjnego, zaburzenie wymienności pokoleniowej na rynku pracy oraz spadek wpływów budżetowych z tytułu podatków  przy jednoczesnej konieczności zwiększania wydatków budżetowych w sferze społecznej. Dostępność do rozbudowanej infrastruktury społecznej i sektora usług wpływa na jakość życia mieszkańców i może przyczynić się do zahamowania negatywnych tendencji demograficznych i odpływu mieszkań</w:t>
      </w:r>
      <w:r w:rsidR="00807AA5">
        <w:rPr>
          <w:rFonts w:asciiTheme="minorHAnsi" w:hAnsiTheme="minorHAnsi"/>
          <w:bCs/>
          <w:sz w:val="22"/>
        </w:rPr>
        <w:t>ców z </w:t>
      </w:r>
      <w:r w:rsidRPr="00EA21E6">
        <w:rPr>
          <w:rFonts w:asciiTheme="minorHAnsi" w:hAnsiTheme="minorHAnsi"/>
          <w:bCs/>
          <w:sz w:val="22"/>
        </w:rPr>
        <w:t>Legnicy. Z drugiej strony niższy popyt i zmiana zapotrzebowania na ofertę usług kulturalnych, edukacyjnych, rekreacyjnych, czy opieki zdrowotnej związana z malejącą liczbą ludności i zmianą struktury pokoleniowej może spowodować konieczność zamykania niektórych instytucji i</w:t>
      </w:r>
      <w:r w:rsidR="00D03212">
        <w:rPr>
          <w:rFonts w:asciiTheme="minorHAnsi" w:hAnsiTheme="minorHAnsi"/>
          <w:bCs/>
          <w:sz w:val="22"/>
        </w:rPr>
        <w:t> </w:t>
      </w:r>
      <w:r w:rsidRPr="00EA21E6">
        <w:rPr>
          <w:rFonts w:asciiTheme="minorHAnsi" w:hAnsiTheme="minorHAnsi"/>
          <w:bCs/>
          <w:sz w:val="22"/>
        </w:rPr>
        <w:t xml:space="preserve">przedsiębiorstw z uwagi na ich nierentowność. Brak wymienności pokoleniowej oraz odpływ mieszkańców do innych miast może skutkować również utraceniem wielokulturowego charakteru społeczności Legnicy i pojawieniem się deficytu wykwalifikowanych kadr na rynku pracy. </w:t>
      </w:r>
    </w:p>
    <w:p w:rsidR="001A123D" w:rsidRPr="00EA21E6" w:rsidRDefault="001A123D" w:rsidP="001A123D">
      <w:pPr>
        <w:spacing w:after="120"/>
        <w:rPr>
          <w:rFonts w:asciiTheme="minorHAnsi" w:hAnsiTheme="minorHAnsi"/>
          <w:bCs/>
          <w:sz w:val="22"/>
        </w:rPr>
      </w:pPr>
      <w:r w:rsidRPr="00EA21E6">
        <w:rPr>
          <w:rFonts w:asciiTheme="minorHAnsi" w:hAnsiTheme="minorHAnsi"/>
          <w:bCs/>
          <w:sz w:val="22"/>
        </w:rPr>
        <w:t>Odpływ wysoko wyspecjalizowanych i wyedukowanych kadr, a przede wszystkim brak współpracy uczelni wyższych z sektorem biznesowym oraz brak centrów naukowo-badawczych działających przy legnickich uczelniach wyższych może doprowadzić do niemożności rozwoju sfery naukowej w Legnicy i wzrostu jej roli jako ważnego ośrodka akademickiego Dolnego Śląska.</w:t>
      </w:r>
    </w:p>
    <w:p w:rsidR="001A123D" w:rsidRPr="00EA21E6" w:rsidRDefault="001A123D" w:rsidP="001A123D">
      <w:pPr>
        <w:spacing w:after="120"/>
        <w:rPr>
          <w:rFonts w:asciiTheme="minorHAnsi" w:hAnsiTheme="minorHAnsi"/>
          <w:bCs/>
          <w:sz w:val="22"/>
        </w:rPr>
      </w:pPr>
      <w:r w:rsidRPr="00EA21E6">
        <w:rPr>
          <w:rFonts w:asciiTheme="minorHAnsi" w:hAnsiTheme="minorHAnsi"/>
          <w:bCs/>
          <w:sz w:val="22"/>
        </w:rPr>
        <w:t>Zagrożeniem, które może znacząco wpłynąć na kondycję podmiot</w:t>
      </w:r>
      <w:r w:rsidR="00D03212">
        <w:rPr>
          <w:rFonts w:asciiTheme="minorHAnsi" w:hAnsiTheme="minorHAnsi"/>
          <w:bCs/>
          <w:sz w:val="22"/>
        </w:rPr>
        <w:t>ów gospodarczych działających w </w:t>
      </w:r>
      <w:r w:rsidRPr="00EA21E6">
        <w:rPr>
          <w:rFonts w:asciiTheme="minorHAnsi" w:hAnsiTheme="minorHAnsi"/>
          <w:bCs/>
          <w:sz w:val="22"/>
        </w:rPr>
        <w:t>Legnicy i jej ogólny potencjał gospodarczy, obok niżu demograficznego i migracji zarobkowej wysoko wykwalifikowanych kadr, jest utrzymanie się recesji na rynkach światowych. Czynnik ten może wpłynąć na osłabienie popytu inwestycyjnego, co przełoży się na brak zainteresowania dostępnymi terenami inwestycyjnymi i stagnacją gospodarczą, jak i doprowadzić do spadku popytu konsumpcyjnego co osłabi działalność produkcyjną i han</w:t>
      </w:r>
      <w:r w:rsidR="00D87F42">
        <w:rPr>
          <w:rFonts w:asciiTheme="minorHAnsi" w:hAnsiTheme="minorHAnsi"/>
          <w:bCs/>
          <w:sz w:val="22"/>
        </w:rPr>
        <w:t xml:space="preserve">dlową podmiotów gospodarczych. </w:t>
      </w:r>
      <w:r w:rsidRPr="00EA21E6">
        <w:rPr>
          <w:rFonts w:asciiTheme="minorHAnsi" w:hAnsiTheme="minorHAnsi"/>
          <w:bCs/>
          <w:sz w:val="22"/>
        </w:rPr>
        <w:t xml:space="preserve">Malejące dochody przedsiębiorstw związane ze spadkiem popytu, mogą doprowadzić do konieczności obniżki wynagrodzeń i redukcji zatrudnienia, co zagraża stabilizacji na rynku pracy i wpływom budżetu miasta. </w:t>
      </w:r>
    </w:p>
    <w:p w:rsidR="001A123D" w:rsidRPr="00EA21E6" w:rsidRDefault="001A123D" w:rsidP="001A123D">
      <w:pPr>
        <w:spacing w:after="120"/>
        <w:rPr>
          <w:rFonts w:asciiTheme="minorHAnsi" w:hAnsiTheme="minorHAnsi"/>
          <w:bCs/>
          <w:sz w:val="22"/>
        </w:rPr>
      </w:pPr>
      <w:r w:rsidRPr="00EA21E6">
        <w:rPr>
          <w:rFonts w:asciiTheme="minorHAnsi" w:hAnsiTheme="minorHAnsi"/>
          <w:bCs/>
          <w:sz w:val="22"/>
        </w:rPr>
        <w:t xml:space="preserve">Zidentyfikowanymi mocnymi stronami, które pozwolą zniwelować zagrożenia są: dostępność terenów inwestycyjnych, wsparcie instytucji otoczenia biznesu, dobra sytuacja na rynku pracy uzyskana dzięki rosnącej liczbie przedsiębiorstw, funkcjonowanie uczelni wyższych i duża liczba ich absolwentów oraz mocna pozycja legnickiego szkolnictwa zawodowego. Dzięki tym potencjałom Legnica ma podstawy, aby </w:t>
      </w:r>
      <w:r w:rsidR="00D87F42">
        <w:rPr>
          <w:rFonts w:asciiTheme="minorHAnsi" w:hAnsiTheme="minorHAnsi"/>
          <w:bCs/>
          <w:sz w:val="22"/>
        </w:rPr>
        <w:t xml:space="preserve">utrzymać stabilność ekonomiczną </w:t>
      </w:r>
      <w:r w:rsidRPr="00EA21E6">
        <w:rPr>
          <w:rFonts w:asciiTheme="minorHAnsi" w:hAnsiTheme="minorHAnsi"/>
          <w:bCs/>
          <w:sz w:val="22"/>
        </w:rPr>
        <w:t>i mniej dotkliwie odczuć ewentualne skutki kryzysu gospodarczego. Poprawa sytuacji gospodarczej połączona z rozwijającą się infrastrukturą społeczną oraz polepszeniem stanu środowiska i bezpieczeństwa mieszkańców może przyczynić się do zmniejszenia zagrożenia związanego z czynnikami demograficznymi i wpłynąć na zainteresowanie Legnicy jako miejsca atrakcyjnego do zamieszkania.</w:t>
      </w:r>
    </w:p>
    <w:p w:rsidR="001A123D" w:rsidRPr="00EA21E6" w:rsidRDefault="001A123D" w:rsidP="001A123D">
      <w:pPr>
        <w:spacing w:after="120"/>
        <w:rPr>
          <w:rFonts w:asciiTheme="minorHAnsi" w:hAnsiTheme="minorHAnsi"/>
          <w:bCs/>
          <w:sz w:val="22"/>
        </w:rPr>
      </w:pPr>
      <w:r w:rsidRPr="00EA21E6">
        <w:rPr>
          <w:rFonts w:asciiTheme="minorHAnsi" w:hAnsiTheme="minorHAnsi"/>
          <w:bCs/>
          <w:sz w:val="22"/>
        </w:rPr>
        <w:t xml:space="preserve">Podsumowując wynik analizy korelacji pomiędzy mocnymi stronami i zagrożeniami oraz zagrożeniami i mocnymi stronami widać, że zostały one ocenione dość wysoko. Dlatego skupienie się na eliminowaniu zagrożeń poprzez wykorzystywanie do tego mocnych stron będzie stanowiło ważny element działań strategicznych w nadchodzącej perspektywie, choć nie będzie właściwą i dominującą strategią dla Miasta Legnicy. </w:t>
      </w:r>
    </w:p>
    <w:p w:rsidR="001A123D" w:rsidRPr="001A123D" w:rsidRDefault="001A123D" w:rsidP="001A123D">
      <w:pPr>
        <w:spacing w:after="120"/>
        <w:rPr>
          <w:rFonts w:asciiTheme="minorHAnsi" w:hAnsiTheme="minorHAnsi"/>
          <w:bCs/>
        </w:rPr>
      </w:pPr>
    </w:p>
    <w:p w:rsidR="001A123D" w:rsidRDefault="001A123D"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EA21E6" w:rsidRDefault="00EA21E6" w:rsidP="001A123D">
      <w:pPr>
        <w:spacing w:after="120"/>
        <w:rPr>
          <w:rFonts w:asciiTheme="minorHAnsi" w:hAnsiTheme="minorHAnsi"/>
          <w:bCs/>
        </w:rPr>
      </w:pP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45</w:t>
      </w:r>
      <w:r w:rsidRPr="000100D2">
        <w:rPr>
          <w:rFonts w:asciiTheme="minorHAnsi" w:hAnsiTheme="minorHAnsi"/>
          <w:noProof/>
          <w:sz w:val="20"/>
        </w:rPr>
        <w:fldChar w:fldCharType="end"/>
      </w:r>
      <w:r w:rsidRPr="000100D2">
        <w:rPr>
          <w:rFonts w:asciiTheme="minorHAnsi" w:hAnsiTheme="minorHAnsi"/>
          <w:sz w:val="20"/>
        </w:rPr>
        <w:t>. Korelacje mocne strony - zagrożenia, zagrożenia - mocne strony</w:t>
      </w:r>
    </w:p>
    <w:tbl>
      <w:tblPr>
        <w:tblW w:w="10794" w:type="dxa"/>
        <w:tblInd w:w="-861" w:type="dxa"/>
        <w:tblCellMar>
          <w:left w:w="70" w:type="dxa"/>
          <w:right w:w="70" w:type="dxa"/>
        </w:tblCellMar>
        <w:tblLook w:val="04A0" w:firstRow="1" w:lastRow="0" w:firstColumn="1" w:lastColumn="0" w:noHBand="0" w:noVBand="1"/>
      </w:tblPr>
      <w:tblGrid>
        <w:gridCol w:w="5695"/>
        <w:gridCol w:w="531"/>
        <w:gridCol w:w="531"/>
        <w:gridCol w:w="531"/>
        <w:gridCol w:w="934"/>
        <w:gridCol w:w="534"/>
        <w:gridCol w:w="887"/>
        <w:gridCol w:w="727"/>
        <w:gridCol w:w="424"/>
      </w:tblGrid>
      <w:tr w:rsidR="001A123D" w:rsidRPr="001A123D" w:rsidTr="000F19BA">
        <w:trPr>
          <w:trHeight w:val="5394"/>
        </w:trPr>
        <w:tc>
          <w:tcPr>
            <w:tcW w:w="6226" w:type="dxa"/>
            <w:gridSpan w:val="2"/>
            <w:vMerge w:val="restart"/>
            <w:tcBorders>
              <w:top w:val="nil"/>
              <w:left w:val="single" w:sz="8" w:space="0" w:color="FFFFFF" w:themeColor="background1"/>
              <w:right w:val="single" w:sz="8" w:space="0" w:color="808080" w:themeColor="background1" w:themeShade="80"/>
            </w:tcBorders>
            <w:shd w:val="clear" w:color="auto" w:fill="auto"/>
            <w:noWrap/>
            <w:vAlign w:val="center"/>
            <w:hideMark/>
          </w:tcPr>
          <w:p w:rsidR="001A123D" w:rsidRPr="001A123D" w:rsidRDefault="001A123D" w:rsidP="00B07575">
            <w:pPr>
              <w:spacing w:line="240" w:lineRule="auto"/>
              <w:jc w:val="center"/>
              <w:rPr>
                <w:rFonts w:asciiTheme="minorHAnsi" w:eastAsia="Times New Roman" w:hAnsiTheme="minorHAnsi" w:cs="Arial"/>
                <w:color w:val="000000"/>
                <w:sz w:val="16"/>
                <w:szCs w:val="18"/>
              </w:rPr>
            </w:pPr>
            <w:r w:rsidRPr="001A123D">
              <w:rPr>
                <w:rFonts w:asciiTheme="minorHAnsi" w:eastAsia="Times New Roman" w:hAnsiTheme="minorHAnsi" w:cs="Times New Roman"/>
                <w:b/>
                <w:sz w:val="32"/>
                <w:szCs w:val="40"/>
              </w:rPr>
              <w:t>Strategia konserwatywna</w:t>
            </w:r>
          </w:p>
        </w:tc>
        <w:tc>
          <w:tcPr>
            <w:tcW w:w="53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EA21E6">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Migracje mieszkańców Legnicy do ościennych gmin i Wrocławia, w tym wysoko wykwalifikowanych specjalistów</w:t>
            </w:r>
          </w:p>
        </w:tc>
        <w:tc>
          <w:tcPr>
            <w:tcW w:w="53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EA21E6">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Negatywne tendencje demograficzne. Wzrost obciążenia demograficznego ludności w wieku produkcyjnym</w:t>
            </w:r>
          </w:p>
        </w:tc>
        <w:tc>
          <w:tcPr>
            <w:tcW w:w="93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0F19BA">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Brak pewności co do realizacji zewnętrznych inwestycji drogowych: drogi ekspresowej S-3 na odcinku Legnica-Lubawka, ogranicze</w:t>
            </w:r>
            <w:r w:rsidR="00E274D6">
              <w:rPr>
                <w:rFonts w:asciiTheme="minorHAnsi" w:eastAsia="Times New Roman" w:hAnsiTheme="minorHAnsi" w:cs="Arial"/>
                <w:color w:val="000000"/>
                <w:sz w:val="16"/>
                <w:szCs w:val="18"/>
              </w:rPr>
              <w:t>nia węzłów drogowych na A4 w związku</w:t>
            </w:r>
            <w:r w:rsidR="000F19BA">
              <w:rPr>
                <w:rFonts w:asciiTheme="minorHAnsi" w:eastAsia="Times New Roman" w:hAnsiTheme="minorHAnsi" w:cs="Arial"/>
                <w:color w:val="000000"/>
                <w:sz w:val="16"/>
                <w:szCs w:val="18"/>
              </w:rPr>
              <w:t xml:space="preserve"> z</w:t>
            </w:r>
            <w:r w:rsidRPr="001A123D">
              <w:rPr>
                <w:rFonts w:asciiTheme="minorHAnsi" w:eastAsia="Times New Roman" w:hAnsiTheme="minorHAnsi" w:cs="Arial"/>
                <w:color w:val="000000"/>
                <w:sz w:val="16"/>
                <w:szCs w:val="18"/>
              </w:rPr>
              <w:t xml:space="preserve"> dostosowaniem A-4 do autostrady płatnej. Od ich realizacji zależeć będzie przekierowanie części ruchu na drogę krajową nr 94 i miasto.</w:t>
            </w:r>
          </w:p>
        </w:tc>
        <w:tc>
          <w:tcPr>
            <w:tcW w:w="53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EA21E6">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Utrzymanie się niekorzystnych zjawisk gospodarczych spowodowanych </w:t>
            </w:r>
            <w:r w:rsidRPr="001A123D">
              <w:rPr>
                <w:rFonts w:asciiTheme="minorHAnsi" w:eastAsia="Times New Roman" w:hAnsiTheme="minorHAnsi" w:cs="Arial"/>
                <w:color w:val="000000" w:themeColor="text1"/>
                <w:sz w:val="16"/>
                <w:szCs w:val="18"/>
              </w:rPr>
              <w:t>światowym kryzysem gospodarczym</w:t>
            </w:r>
          </w:p>
        </w:tc>
        <w:tc>
          <w:tcPr>
            <w:tcW w:w="88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0F19BA">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Brak wypracowanych praktyk w zakresie transferu technologii i współpracy pomiędzy sektorem naukowo-badawczym, </w:t>
            </w:r>
            <w:r w:rsidR="000F19BA">
              <w:rPr>
                <w:rFonts w:asciiTheme="minorHAnsi" w:eastAsia="Times New Roman" w:hAnsiTheme="minorHAnsi" w:cs="Arial"/>
                <w:color w:val="000000"/>
                <w:sz w:val="16"/>
                <w:szCs w:val="18"/>
              </w:rPr>
              <w:t xml:space="preserve">a przedsiębiorstwami powodującymi </w:t>
            </w:r>
            <w:r w:rsidRPr="001A123D">
              <w:rPr>
                <w:rFonts w:asciiTheme="minorHAnsi" w:eastAsia="Times New Roman" w:hAnsiTheme="minorHAnsi" w:cs="Arial"/>
                <w:color w:val="000000"/>
                <w:sz w:val="16"/>
                <w:szCs w:val="18"/>
              </w:rPr>
              <w:t>utrzymywanie się niskiego poziomu innowacyjności w kraju.</w:t>
            </w:r>
          </w:p>
        </w:tc>
        <w:tc>
          <w:tcPr>
            <w:tcW w:w="72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EA21E6">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Brak zainteresowania w umiejscawianiu uniwersyteckich centrów naukowo-badawczych w ośrodkach miejskich o znaczeniu regionalnym i lokalnym</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vAlign w:val="center"/>
            <w:hideMark/>
          </w:tcPr>
          <w:p w:rsidR="001A123D" w:rsidRPr="001A123D" w:rsidRDefault="001A123D" w:rsidP="00EA21E6">
            <w:pPr>
              <w:spacing w:line="240" w:lineRule="auto"/>
              <w:jc w:val="left"/>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Naturalne trendy zanikania turystyki sentymentalnej</w:t>
            </w:r>
          </w:p>
        </w:tc>
      </w:tr>
      <w:tr w:rsidR="001A123D" w:rsidRPr="001A123D" w:rsidTr="001B61A7">
        <w:trPr>
          <w:trHeight w:val="329"/>
        </w:trPr>
        <w:tc>
          <w:tcPr>
            <w:tcW w:w="6226" w:type="dxa"/>
            <w:gridSpan w:val="2"/>
            <w:vMerge/>
            <w:tcBorders>
              <w:left w:val="single" w:sz="8" w:space="0" w:color="FFFFFF" w:themeColor="background1"/>
              <w:bottom w:val="single" w:sz="8" w:space="0" w:color="7B7B7B" w:themeColor="accent3" w:themeShade="BF"/>
              <w:right w:val="single" w:sz="8" w:space="0" w:color="808080" w:themeColor="background1" w:themeShade="80"/>
            </w:tcBorders>
            <w:shd w:val="clear" w:color="000000" w:fill="92D05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4568"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noWrap/>
            <w:vAlign w:val="center"/>
          </w:tcPr>
          <w:p w:rsidR="001A123D" w:rsidRPr="001A123D" w:rsidRDefault="001A123D" w:rsidP="00B07575">
            <w:pPr>
              <w:spacing w:line="240" w:lineRule="auto"/>
              <w:jc w:val="center"/>
              <w:rPr>
                <w:rFonts w:asciiTheme="minorHAnsi" w:eastAsia="Times New Roman" w:hAnsiTheme="minorHAnsi" w:cs="Arial"/>
                <w:color w:val="3B3838" w:themeColor="background2" w:themeShade="40"/>
                <w:sz w:val="16"/>
                <w:szCs w:val="18"/>
              </w:rPr>
            </w:pPr>
            <w:r w:rsidRPr="001A123D">
              <w:rPr>
                <w:rFonts w:asciiTheme="minorHAnsi" w:eastAsia="Times New Roman" w:hAnsiTheme="minorHAnsi" w:cs="Arial"/>
                <w:color w:val="3B3838" w:themeColor="background2" w:themeShade="40"/>
                <w:sz w:val="20"/>
                <w:szCs w:val="18"/>
              </w:rPr>
              <w:t>Zagrożenia</w:t>
            </w: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Duża liczba szkół wyższych oraz studentów kształcących się w legnickich uczelniach</w:t>
            </w:r>
          </w:p>
        </w:tc>
        <w:tc>
          <w:tcPr>
            <w:tcW w:w="531" w:type="dxa"/>
            <w:vMerge w:val="restart"/>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extDirection w:val="btLr"/>
            <w:vAlign w:val="center"/>
          </w:tcPr>
          <w:p w:rsidR="001A123D" w:rsidRPr="001A123D" w:rsidRDefault="001A123D" w:rsidP="00B07575">
            <w:pPr>
              <w:spacing w:line="240" w:lineRule="auto"/>
              <w:ind w:left="113" w:right="113"/>
              <w:jc w:val="center"/>
              <w:rPr>
                <w:rFonts w:asciiTheme="minorHAnsi" w:eastAsia="Times New Roman" w:hAnsiTheme="minorHAnsi" w:cs="Arial"/>
                <w:color w:val="7B7B7B" w:themeColor="accent3" w:themeShade="BF"/>
                <w:sz w:val="16"/>
                <w:szCs w:val="18"/>
              </w:rPr>
            </w:pPr>
            <w:r w:rsidRPr="001A123D">
              <w:rPr>
                <w:rFonts w:asciiTheme="minorHAnsi" w:eastAsia="Times New Roman" w:hAnsiTheme="minorHAnsi" w:cs="Arial"/>
                <w:color w:val="7B7B7B" w:themeColor="accent3" w:themeShade="BF"/>
                <w:sz w:val="20"/>
                <w:szCs w:val="18"/>
              </w:rPr>
              <w:t>Mocne strony</w:t>
            </w:r>
          </w:p>
        </w:tc>
        <w:tc>
          <w:tcPr>
            <w:tcW w:w="531" w:type="dxa"/>
            <w:tcBorders>
              <w:top w:val="single" w:sz="8" w:space="0" w:color="808080" w:themeColor="background1" w:themeShade="80"/>
              <w:left w:val="single" w:sz="8" w:space="0" w:color="7B7B7B" w:themeColor="accent3" w:themeShade="BF"/>
              <w:bottom w:val="single" w:sz="4" w:space="0" w:color="auto"/>
              <w:right w:val="single" w:sz="4" w:space="0" w:color="auto"/>
            </w:tcBorders>
            <w:shd w:val="clear" w:color="000000" w:fill="FF5353"/>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8" w:space="0" w:color="808080" w:themeColor="background1" w:themeShade="80"/>
              <w:left w:val="single" w:sz="4" w:space="0" w:color="auto"/>
              <w:bottom w:val="single" w:sz="4" w:space="0" w:color="auto"/>
              <w:right w:val="single" w:sz="4" w:space="0" w:color="auto"/>
            </w:tcBorders>
            <w:shd w:val="clear" w:color="000000" w:fill="FF7878"/>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8" w:space="0" w:color="808080" w:themeColor="background1" w:themeShade="80"/>
              <w:left w:val="single" w:sz="4" w:space="0" w:color="auto"/>
              <w:bottom w:val="single" w:sz="4" w:space="0" w:color="auto"/>
              <w:right w:val="single" w:sz="4" w:space="0" w:color="auto"/>
            </w:tcBorders>
            <w:shd w:val="clear" w:color="000000" w:fill="FFCDC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8" w:space="0" w:color="808080" w:themeColor="background1" w:themeShade="80"/>
              <w:left w:val="single" w:sz="4" w:space="0" w:color="auto"/>
              <w:bottom w:val="single" w:sz="4" w:space="0" w:color="auto"/>
              <w:right w:val="single" w:sz="4" w:space="0" w:color="auto"/>
            </w:tcBorders>
            <w:shd w:val="clear" w:color="000000" w:fill="FF7B7B"/>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727" w:type="dxa"/>
            <w:tcBorders>
              <w:top w:val="single" w:sz="8" w:space="0" w:color="808080" w:themeColor="background1" w:themeShade="80"/>
              <w:left w:val="single" w:sz="4" w:space="0" w:color="auto"/>
              <w:bottom w:val="single" w:sz="4" w:space="0" w:color="auto"/>
              <w:right w:val="single" w:sz="4" w:space="0" w:color="auto"/>
            </w:tcBorders>
            <w:shd w:val="clear" w:color="000000" w:fill="FF8F8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0" w:type="auto"/>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D87F42">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Rozbudowana baza </w:t>
            </w:r>
            <w:r w:rsidR="00D87F42">
              <w:rPr>
                <w:rFonts w:asciiTheme="minorHAnsi" w:eastAsia="Times New Roman" w:hAnsiTheme="minorHAnsi" w:cs="Arial"/>
                <w:color w:val="000000"/>
                <w:sz w:val="16"/>
                <w:szCs w:val="18"/>
              </w:rPr>
              <w:t>hotelowa</w:t>
            </w:r>
            <w:r w:rsidRPr="001A123D">
              <w:rPr>
                <w:rFonts w:asciiTheme="minorHAnsi" w:eastAsia="Times New Roman" w:hAnsiTheme="minorHAnsi" w:cs="Arial"/>
                <w:color w:val="000000"/>
                <w:sz w:val="16"/>
                <w:szCs w:val="18"/>
              </w:rPr>
              <w:t xml:space="preserve"> oraz relatywnie wysoka liczba osób korzystających z noclegów głównie w celach biznesowych</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D7D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CDC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BBBB"/>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Rozbudowana baza sportowa i rekreacyjno-wypoczynkowa, szczególnie dla celów lokalnych</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8F8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BDB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DFD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Tradycja i doświadczenie w organizacji ważnych wydarzeń kulturalnych - Satyrykon, Legnic</w:t>
            </w:r>
            <w:r w:rsidR="000F19BA">
              <w:rPr>
                <w:rFonts w:asciiTheme="minorHAnsi" w:eastAsia="Times New Roman" w:hAnsiTheme="minorHAnsi" w:cs="Arial"/>
                <w:color w:val="000000"/>
                <w:sz w:val="16"/>
                <w:szCs w:val="18"/>
              </w:rPr>
              <w:t>a Cantat, Festiwal SREBRO, itd.</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7C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BDB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DFD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Korzystne położenie komunikacyjne Miasta (A4, S3, dr. Nr 94, E-30)</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6969"/>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Bliskość Wrocławia - możliwość korzystania z usług wyższego rzędu, usług metropolitalnych, rynku pracy i dużego rynku konsumenckiego</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979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C1C1"/>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DCDC"/>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D2D2"/>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Dostępność terenów inwestycyjnych, w tym w rama</w:t>
            </w:r>
            <w:r w:rsidR="000F19BA">
              <w:rPr>
                <w:rFonts w:asciiTheme="minorHAnsi" w:eastAsia="Times New Roman" w:hAnsiTheme="minorHAnsi" w:cs="Arial"/>
                <w:color w:val="000000"/>
                <w:sz w:val="16"/>
                <w:szCs w:val="18"/>
              </w:rPr>
              <w:t>ch Legnickiej Specjalnej Strefy</w:t>
            </w:r>
            <w:r w:rsidRPr="001A123D">
              <w:rPr>
                <w:rFonts w:asciiTheme="minorHAnsi" w:eastAsia="Times New Roman" w:hAnsiTheme="minorHAnsi" w:cs="Arial"/>
                <w:color w:val="000000"/>
                <w:sz w:val="16"/>
                <w:szCs w:val="18"/>
              </w:rPr>
              <w:t xml:space="preserve"> Ekonomicznej  </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CFC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1515"/>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Dobry dostęp do placówek wychowania przedszkolnego i edukacji podstawowej i gimnazjalnej</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9494"/>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Dostęp do usług administracji ponadlokalnej</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EC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C4C4"/>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Dobre wyposażenie placówek opieki zdrowotnej, funkcjonowanie Wojewódzkiego Szpitala Specjalistycznego</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7C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3838"/>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DBDB"/>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Dobrze rozbudowana infrastruktura usług kultury </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5C5"/>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7676"/>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Korzystny rynek pracy. Relatywnie niski poziom bezrobocia, wzrastająca liczba zarejestrowanych podmiotów gosp.</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1E1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3838"/>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3939"/>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AAAA"/>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DFD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D87F42" w:rsidP="00B07575">
            <w:pPr>
              <w:spacing w:line="240" w:lineRule="auto"/>
              <w:rPr>
                <w:rFonts w:asciiTheme="minorHAnsi" w:eastAsia="Times New Roman" w:hAnsiTheme="minorHAnsi" w:cs="Arial"/>
                <w:color w:val="000000"/>
                <w:sz w:val="16"/>
                <w:szCs w:val="18"/>
              </w:rPr>
            </w:pPr>
            <w:r>
              <w:rPr>
                <w:rFonts w:asciiTheme="minorHAnsi" w:eastAsia="Times New Roman" w:hAnsiTheme="minorHAnsi" w:cs="Arial"/>
                <w:color w:val="000000"/>
                <w:sz w:val="16"/>
                <w:szCs w:val="18"/>
              </w:rPr>
              <w:t>Stabilna</w:t>
            </w:r>
            <w:r w:rsidR="001A123D" w:rsidRPr="001A123D">
              <w:rPr>
                <w:rFonts w:asciiTheme="minorHAnsi" w:eastAsia="Times New Roman" w:hAnsiTheme="minorHAnsi" w:cs="Arial"/>
                <w:color w:val="000000"/>
                <w:sz w:val="16"/>
                <w:szCs w:val="18"/>
              </w:rPr>
              <w:t xml:space="preserve"> kondycja budżetu Miasta</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9191"/>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7D7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9F9F"/>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Wysoka dostępność do infrastruktury technicznej i usług komunalnych</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6C6"/>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554"/>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Szkolnictwo zawodowe na poziomie ponadgimnazjalnym doposażone i z bogatą ofertą. Współpraca szkół zawodowych z pracodawcami strefy ekonomicznej oraz z wyższymi uczelniami technicznymi</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C8C8"/>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7D7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6E6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D6D6"/>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Liczne instytucje otoczenia biznesu</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A7A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E0E0"/>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Specyficzne dziedzictwo kulturowe i historyczne budujące potencjał turystyczny i rozwój kulturalny Legnicy</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8C8C"/>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7878"/>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BBBB"/>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r w:rsidR="001A123D" w:rsidRPr="001A123D" w:rsidTr="002A5CDA">
        <w:trPr>
          <w:trHeight w:val="329"/>
        </w:trPr>
        <w:tc>
          <w:tcPr>
            <w:tcW w:w="5695"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Bliskość lotniska we Wrocławiu</w:t>
            </w:r>
          </w:p>
        </w:tc>
        <w:tc>
          <w:tcPr>
            <w:tcW w:w="531"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8" w:space="0" w:color="7B7B7B" w:themeColor="accent3" w:themeShade="BF"/>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934" w:type="dxa"/>
            <w:tcBorders>
              <w:top w:val="single" w:sz="4" w:space="0" w:color="auto"/>
              <w:left w:val="single" w:sz="4" w:space="0" w:color="auto"/>
              <w:bottom w:val="single" w:sz="4" w:space="0" w:color="auto"/>
              <w:right w:val="single" w:sz="4" w:space="0" w:color="auto"/>
            </w:tcBorders>
            <w:shd w:val="clear" w:color="000000" w:fill="FFBDB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72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E5E5"/>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bl>
    <w:p w:rsidR="001A123D" w:rsidRPr="00700661" w:rsidRDefault="001A123D" w:rsidP="001A123D">
      <w:pPr>
        <w:rPr>
          <w:rFonts w:asciiTheme="minorHAnsi" w:hAnsiTheme="minorHAnsi"/>
          <w:sz w:val="20"/>
        </w:rPr>
      </w:pPr>
      <w:r w:rsidRPr="00700661">
        <w:rPr>
          <w:rFonts w:asciiTheme="minorHAnsi" w:hAnsiTheme="minorHAnsi"/>
          <w:sz w:val="20"/>
        </w:rPr>
        <w:t>Źródło: Opracowanie własne</w:t>
      </w:r>
      <w:r w:rsidR="008B3862">
        <w:rPr>
          <w:rFonts w:asciiTheme="minorHAnsi" w:hAnsiTheme="minorHAnsi"/>
          <w:sz w:val="20"/>
        </w:rPr>
        <w:t>.</w:t>
      </w:r>
    </w:p>
    <w:p w:rsidR="001A123D" w:rsidRPr="001A123D" w:rsidRDefault="001A123D" w:rsidP="001A123D">
      <w:pPr>
        <w:pStyle w:val="Nagwek2"/>
        <w:rPr>
          <w:rFonts w:asciiTheme="minorHAnsi" w:hAnsiTheme="minorHAnsi"/>
        </w:rPr>
      </w:pPr>
      <w:bookmarkStart w:id="67" w:name="_Toc393798612"/>
      <w:bookmarkStart w:id="68" w:name="_Toc399756012"/>
      <w:bookmarkStart w:id="69" w:name="_Toc399756350"/>
      <w:r w:rsidRPr="001A123D">
        <w:rPr>
          <w:rFonts w:asciiTheme="minorHAnsi" w:hAnsiTheme="minorHAnsi"/>
        </w:rPr>
        <w:t>Korelacje: Mocne strony – Szanse; Szanse – Mocne strony.</w:t>
      </w:r>
      <w:bookmarkEnd w:id="67"/>
      <w:bookmarkEnd w:id="68"/>
      <w:bookmarkEnd w:id="69"/>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 xml:space="preserve">Zidentyfikowane mocne strony i szanse wykazują bardzo dużo korelacji pomiędzy sobą. Dzięki temu to właśnie </w:t>
      </w:r>
      <w:r w:rsidRPr="00B07575">
        <w:rPr>
          <w:rFonts w:asciiTheme="minorHAnsi" w:hAnsiTheme="minorHAnsi" w:cs="Helvetica"/>
          <w:b/>
          <w:bCs/>
          <w:sz w:val="22"/>
          <w:szCs w:val="18"/>
        </w:rPr>
        <w:t>STRATEGIA OFENSYWNA</w:t>
      </w:r>
      <w:r w:rsidRPr="00B07575">
        <w:rPr>
          <w:rFonts w:asciiTheme="minorHAnsi" w:hAnsiTheme="minorHAnsi" w:cs="Helvetica"/>
          <w:bCs/>
          <w:sz w:val="22"/>
          <w:szCs w:val="18"/>
        </w:rPr>
        <w:t xml:space="preserve"> </w:t>
      </w:r>
      <w:r w:rsidRPr="00B07575">
        <w:rPr>
          <w:rFonts w:asciiTheme="minorHAnsi" w:hAnsiTheme="minorHAnsi" w:cs="Helvetica"/>
          <w:sz w:val="22"/>
          <w:szCs w:val="18"/>
        </w:rPr>
        <w:t>(opierająca się na korelac</w:t>
      </w:r>
      <w:r w:rsidR="00D03212">
        <w:rPr>
          <w:rFonts w:asciiTheme="minorHAnsi" w:hAnsiTheme="minorHAnsi" w:cs="Helvetica"/>
          <w:sz w:val="22"/>
          <w:szCs w:val="18"/>
        </w:rPr>
        <w:t>jach między mocnymi stronami, a </w:t>
      </w:r>
      <w:r w:rsidRPr="00B07575">
        <w:rPr>
          <w:rFonts w:asciiTheme="minorHAnsi" w:hAnsiTheme="minorHAnsi" w:cs="Helvetica"/>
          <w:sz w:val="22"/>
          <w:szCs w:val="18"/>
        </w:rPr>
        <w:t xml:space="preserve">szansami) została uznana za najwłaściwszą dla Miasta Legnicy. Strategia ta polega na wykorzystywaniu nadarzających się okazji do wzmacniania mocnych stron, aby przyczyniały się realnie do rozwoju miasta. Jednocześnie mocne strony będą służyły do maksymalnego wykorzystywania nadchodzących okazji. Należy zauważyć, że wszystkie wymienione szanse w mniejszym bądź większym stopniu mogą wpłynąć na uwypuklenie mocnych stron. </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Możliwość pozyskania środków zewnętrznych, a w szczególności funduszy unijnych na realizację polityki miejskiej oraz rozwój miejskich obszarów funkcjonalnych stanowić będzie kluczową szansę dla wzmacniania potencjałów Legnicy w perspektywie 2015-2020. Racjonalne wykorzystanie funduszy zewnętrznych na projekty inwestycyjne pozwoli umocnić zdia</w:t>
      </w:r>
      <w:r w:rsidR="00D03212">
        <w:rPr>
          <w:rFonts w:asciiTheme="minorHAnsi" w:hAnsiTheme="minorHAnsi" w:cs="Helvetica"/>
          <w:sz w:val="22"/>
          <w:szCs w:val="18"/>
        </w:rPr>
        <w:t>gnozowane przewagi Legnicy, np. </w:t>
      </w:r>
      <w:r w:rsidRPr="00B07575">
        <w:rPr>
          <w:rFonts w:asciiTheme="minorHAnsi" w:hAnsiTheme="minorHAnsi" w:cs="Helvetica"/>
          <w:sz w:val="22"/>
          <w:szCs w:val="18"/>
        </w:rPr>
        <w:t>zwiększyć dostępność komunikacyjną miasta poprzez rozbudowę wew. układu komunikacyjnego, zwiększyć rangę Legnicy jako regionalnego ośrodka edukacji, sportu i kultury poprzez rozbudowę istniejącej infrastruktury społecznej oraz rewitalizację zabytków, rozbudować sieć szerokopasmową umożliwiającą cyfryzację społeczeństwa i usług publicznych, zwiększyć nakłady na rozwój kadr i uczelni wyższych oraz wzmocnić ich współpracę z sektorem przedsiębiorstw</w:t>
      </w:r>
      <w:r w:rsidR="00D03212">
        <w:rPr>
          <w:rFonts w:asciiTheme="minorHAnsi" w:hAnsiTheme="minorHAnsi" w:cs="Helvetica"/>
          <w:sz w:val="22"/>
          <w:szCs w:val="18"/>
        </w:rPr>
        <w:t>. Stabilna sytuacja budżetowa i </w:t>
      </w:r>
      <w:r w:rsidRPr="00B07575">
        <w:rPr>
          <w:rFonts w:asciiTheme="minorHAnsi" w:hAnsiTheme="minorHAnsi" w:cs="Helvetica"/>
          <w:sz w:val="22"/>
          <w:szCs w:val="18"/>
        </w:rPr>
        <w:t xml:space="preserve">posiadane doświadczenie w pozyskiwaniu funduszy zewnętrznych będą miały znaczący wpływ na skuteczne przeprowadzenie programu inwestycyjnego, który pozwoli Legnicy zwiększyć swoją przewagę konkurencyjną i umocnić pozycję czołowego ośrodka miejskiego w regionie. Sprawne pozyskiwanie funduszy unijnych to także domena kapitału prywatnego, a przez to szansa na dalszy rozwój lokalnych przedsiębiorstw, wzmacnianie ich innowacyjności, </w:t>
      </w:r>
      <w:r w:rsidR="00D03212">
        <w:rPr>
          <w:rFonts w:asciiTheme="minorHAnsi" w:hAnsiTheme="minorHAnsi" w:cs="Helvetica"/>
          <w:sz w:val="22"/>
          <w:szCs w:val="18"/>
        </w:rPr>
        <w:t>specjalizacji, współdziałania i </w:t>
      </w:r>
      <w:r w:rsidRPr="00B07575">
        <w:rPr>
          <w:rFonts w:asciiTheme="minorHAnsi" w:hAnsiTheme="minorHAnsi" w:cs="Helvetica"/>
          <w:sz w:val="22"/>
          <w:szCs w:val="18"/>
        </w:rPr>
        <w:t>nawiązywania współpracy ze sferą naukową legnickich uczelni wyższych.</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 xml:space="preserve">Przedłużenie funkcjonowania Specjalnej Strefy Ekonomicznej w połączeniu z bogatą ofertą atrakcyjnych terenów inwestycyjnych oraz wysoką dostępnością komunikacyjną (autostrada A4, trasa S-3, magistrala E-30, pobliskie lotnisko we Wrocławiu), wsparte odpowiednią promocją będą wpływać na odbiór Legnicy jako atrakcyjnego miejsca dla ulokowania kapitału przez potencjalnych inwestorów. Ponadto mocne strony takie jak: rosnąca liczba przedsiębiorstw, duża liczba absolwentów uczelni wyższych, funkcjonowanie instytucji otoczenia biznesu czy współpraca szkół zawodowych z lokalnymi przedsiębiorcami przyczynią się do rozwoju gospodarczego Legnicy i wzmocnienia oddziaływania takich szans jak: rosnący poziom wykształcenia mieszkańców, czy dynamicznie rozwijający się rynek usług teleinformatycznych. Szansę dla rozwoju gospodarczego oraz specjalizacji Legnicy i regionu stanowią także posiadane zasoby naturalne w postaci złóż węgla brunatnego i żyznych gleb, a także rozwój działalności KGHM w regionie oraz inwestowanie spółki w nowoczesne sektory gospodarki, co może zwiększyć napływ wyspecjalizowanych kadr oraz intensyfikację kooperacji z lokalnymi podmiotami. </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Zgodnie ze strategią ofensywną, która wynika z tak postawionych tez, Legnica powinna wciąż wspierać te obszary funkcjonowania, które już teraz stanowią o sile miasta, wykorzystując pojawiające się szanse i pozytywne czynniki zewnętrzne. Podstawę strategii rozwoju Legnicy powinny zatem tworzyć działania służące poprawie warunków dla prowadzenia działalności gospodarczej, wytworzeniu pozytywnego klimatu inwestycyjnego oraz zapewnieniu odpowiednich warunków infrastrukturalnych i bytowych sprzyjających osadnictwu i rozwojowi społeczno-kulturowemu mieszkańców miasta. Nadrzędnym celem Legnicy powinien być zrównoważony rozwój nastawiony na umocnienie jej rangi i pozycji jako ważnego ośrodka regionalnego o dużym znaczeniu społecznym i gospodarczym, integrującego sąsiadujące samorządy i wyznaczającego kierunki ich wspólnych działań prorozwojowych. Jedynie silna pozycja konkurencyjna Legnicy oparta na szerokiej ofercie</w:t>
      </w:r>
      <w:r w:rsidR="00316E79">
        <w:rPr>
          <w:rFonts w:asciiTheme="minorHAnsi" w:hAnsiTheme="minorHAnsi" w:cs="Helvetica"/>
          <w:sz w:val="22"/>
          <w:szCs w:val="18"/>
        </w:rPr>
        <w:t xml:space="preserve"> dla potencjalnych inwestorów i </w:t>
      </w:r>
      <w:r w:rsidRPr="00B07575">
        <w:rPr>
          <w:rFonts w:asciiTheme="minorHAnsi" w:hAnsiTheme="minorHAnsi" w:cs="Helvetica"/>
          <w:sz w:val="22"/>
          <w:szCs w:val="18"/>
        </w:rPr>
        <w:t xml:space="preserve">mieszkańców oraz kooperacji z sąsiednimi gminami może doprowadzić do zniwelowania różnic rozwojowych w stosunku do najsilniejszych ośrodków miejskich kraju.   </w:t>
      </w: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Default="001A123D"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Default="00B07575" w:rsidP="001A123D">
      <w:pPr>
        <w:rPr>
          <w:rFonts w:asciiTheme="minorHAnsi" w:hAnsiTheme="minorHAnsi"/>
        </w:rPr>
      </w:pPr>
    </w:p>
    <w:p w:rsidR="00B07575" w:rsidRPr="001A123D" w:rsidRDefault="00B07575"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46</w:t>
      </w:r>
      <w:r w:rsidRPr="000100D2">
        <w:rPr>
          <w:rFonts w:asciiTheme="minorHAnsi" w:hAnsiTheme="minorHAnsi"/>
          <w:noProof/>
          <w:sz w:val="20"/>
        </w:rPr>
        <w:fldChar w:fldCharType="end"/>
      </w:r>
      <w:r w:rsidRPr="000100D2">
        <w:rPr>
          <w:rFonts w:asciiTheme="minorHAnsi" w:hAnsiTheme="minorHAnsi"/>
          <w:sz w:val="20"/>
        </w:rPr>
        <w:t>. Korelacje mocne strony - szanse, szanse- mocne strony.</w:t>
      </w:r>
    </w:p>
    <w:tbl>
      <w:tblPr>
        <w:tblW w:w="10944" w:type="dxa"/>
        <w:tblInd w:w="-781" w:type="dxa"/>
        <w:tblCellMar>
          <w:left w:w="70" w:type="dxa"/>
          <w:right w:w="70" w:type="dxa"/>
        </w:tblCellMar>
        <w:tblLook w:val="04A0" w:firstRow="1" w:lastRow="0" w:firstColumn="1" w:lastColumn="0" w:noHBand="0" w:noVBand="1"/>
      </w:tblPr>
      <w:tblGrid>
        <w:gridCol w:w="4018"/>
        <w:gridCol w:w="397"/>
        <w:gridCol w:w="428"/>
        <w:gridCol w:w="464"/>
        <w:gridCol w:w="851"/>
        <w:gridCol w:w="567"/>
        <w:gridCol w:w="709"/>
        <w:gridCol w:w="567"/>
        <w:gridCol w:w="425"/>
        <w:gridCol w:w="567"/>
        <w:gridCol w:w="567"/>
        <w:gridCol w:w="711"/>
        <w:gridCol w:w="673"/>
      </w:tblGrid>
      <w:tr w:rsidR="001A123D" w:rsidRPr="001A123D" w:rsidTr="006174C8">
        <w:trPr>
          <w:trHeight w:val="5354"/>
        </w:trPr>
        <w:tc>
          <w:tcPr>
            <w:tcW w:w="4415" w:type="dxa"/>
            <w:gridSpan w:val="2"/>
            <w:vMerge w:val="restart"/>
            <w:tcBorders>
              <w:top w:val="nil"/>
              <w:left w:val="single" w:sz="8" w:space="0" w:color="FFFFFF" w:themeColor="background1"/>
              <w:right w:val="single" w:sz="8" w:space="0" w:color="8496B0" w:themeColor="text2" w:themeTint="99"/>
            </w:tcBorders>
            <w:shd w:val="clear" w:color="auto" w:fill="auto"/>
            <w:noWrap/>
            <w:vAlign w:val="center"/>
            <w:hideMark/>
          </w:tcPr>
          <w:p w:rsidR="001A123D" w:rsidRPr="001A123D" w:rsidRDefault="001A123D" w:rsidP="00B07575">
            <w:pPr>
              <w:spacing w:line="240" w:lineRule="auto"/>
              <w:jc w:val="center"/>
              <w:rPr>
                <w:rFonts w:asciiTheme="minorHAnsi" w:eastAsia="Times New Roman" w:hAnsiTheme="minorHAnsi" w:cs="Arial"/>
                <w:b/>
                <w:color w:val="000000"/>
                <w:sz w:val="16"/>
                <w:szCs w:val="16"/>
              </w:rPr>
            </w:pPr>
            <w:r w:rsidRPr="001A123D">
              <w:rPr>
                <w:rFonts w:asciiTheme="minorHAnsi" w:eastAsia="Times New Roman" w:hAnsiTheme="minorHAnsi" w:cs="Times New Roman"/>
                <w:b/>
                <w:sz w:val="32"/>
                <w:szCs w:val="40"/>
              </w:rPr>
              <w:t>Strategia Ofensywna</w:t>
            </w:r>
          </w:p>
        </w:tc>
        <w:tc>
          <w:tcPr>
            <w:tcW w:w="428"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Wykorzystanie dla rozwoju miasta kolejnego okresu budżetowego UE</w:t>
            </w:r>
          </w:p>
        </w:tc>
        <w:tc>
          <w:tcPr>
            <w:tcW w:w="464"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Wzrost znaczenia polityki miejskiej – nowe instrumenty obszarów funkcjonalnych</w:t>
            </w:r>
          </w:p>
        </w:tc>
        <w:tc>
          <w:tcPr>
            <w:tcW w:w="851"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Umiejscowienie Legnicy w ważnych dokumentach strategicznych na szczeblu centralnym i wojewódzkim: Legnica miejskim obszarem funkcjonalnym o znaczeniu regionalnym, położenie w</w:t>
            </w:r>
            <w:r w:rsidR="000C6F1F">
              <w:rPr>
                <w:rFonts w:asciiTheme="minorHAnsi" w:eastAsia="Times New Roman" w:hAnsiTheme="minorHAnsi" w:cs="Arial"/>
                <w:color w:val="000000"/>
                <w:sz w:val="16"/>
                <w:szCs w:val="16"/>
              </w:rPr>
              <w:t xml:space="preserve"> pasmach rozwojowych: Autostradzie</w:t>
            </w:r>
            <w:r w:rsidRPr="001A123D">
              <w:rPr>
                <w:rFonts w:asciiTheme="minorHAnsi" w:eastAsia="Times New Roman" w:hAnsiTheme="minorHAnsi" w:cs="Arial"/>
                <w:color w:val="000000"/>
                <w:sz w:val="16"/>
                <w:szCs w:val="16"/>
              </w:rPr>
              <w:t xml:space="preserve"> Nowej Gospodarki, Legnicko-Głogowskim Obszarze Przemysłowym, Obszarze Rolniczym</w:t>
            </w:r>
          </w:p>
        </w:tc>
        <w:tc>
          <w:tcPr>
            <w:tcW w:w="567"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Posiadanie zasobów naturalnych dla rozwoju nowych gałęzi gospodarki: złoża węgla brunatnego, grunty rolnicze o wysokich parametrach jakościowych gleb</w:t>
            </w:r>
          </w:p>
        </w:tc>
        <w:tc>
          <w:tcPr>
            <w:tcW w:w="709"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rPr>
                <w:rFonts w:asciiTheme="minorHAnsi" w:hAnsiTheme="minorHAnsi" w:cs="Arial"/>
                <w:color w:val="000000"/>
                <w:sz w:val="16"/>
                <w:szCs w:val="18"/>
              </w:rPr>
            </w:pPr>
            <w:r w:rsidRPr="001A123D">
              <w:rPr>
                <w:rFonts w:asciiTheme="minorHAnsi" w:hAnsiTheme="minorHAnsi" w:cs="Arial"/>
                <w:color w:val="000000"/>
                <w:sz w:val="16"/>
                <w:szCs w:val="18"/>
              </w:rPr>
              <w:t>Działalność krajowego potentata KGHM: rynek pracy, nowe inwestycje, przedsiębiorstwa kooperujące, wysokie stawki wynagrodzeń, wysokie emerytury górnicze</w:t>
            </w:r>
          </w:p>
          <w:p w:rsidR="001A123D" w:rsidRPr="001A123D" w:rsidRDefault="001A123D" w:rsidP="00B07575">
            <w:pPr>
              <w:spacing w:line="240" w:lineRule="auto"/>
              <w:rPr>
                <w:rFonts w:asciiTheme="minorHAnsi" w:eastAsia="Times New Roman" w:hAnsiTheme="minorHAnsi" w:cs="Arial"/>
                <w:color w:val="000000"/>
                <w:sz w:val="16"/>
                <w:szCs w:val="16"/>
              </w:rPr>
            </w:pPr>
          </w:p>
        </w:tc>
        <w:tc>
          <w:tcPr>
            <w:tcW w:w="567"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Przedłużenie funkcjonowania LSSE do 2026 r., utrzymanie ulg inwestycyjnych dla nowych firm</w:t>
            </w:r>
          </w:p>
        </w:tc>
        <w:tc>
          <w:tcPr>
            <w:tcW w:w="425"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Podnoszący się wskaźnik wykształcenia społeczeństwa</w:t>
            </w:r>
          </w:p>
        </w:tc>
        <w:tc>
          <w:tcPr>
            <w:tcW w:w="567"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0C6F1F">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Rozbudowa i modernizacja zew. układu komunikacyjnego. Rozbudowa trasy S3, magistrali kolejowej </w:t>
            </w:r>
            <w:r w:rsidR="000C6F1F">
              <w:rPr>
                <w:rFonts w:asciiTheme="minorHAnsi" w:eastAsia="Times New Roman" w:hAnsiTheme="minorHAnsi" w:cs="Arial"/>
                <w:color w:val="000000"/>
                <w:sz w:val="16"/>
                <w:szCs w:val="16"/>
              </w:rPr>
              <w:t>E-30</w:t>
            </w:r>
          </w:p>
        </w:tc>
        <w:tc>
          <w:tcPr>
            <w:tcW w:w="567" w:type="dxa"/>
            <w:tcBorders>
              <w:top w:val="single" w:sz="8" w:space="0" w:color="8496B0" w:themeColor="text2" w:themeTint="99"/>
              <w:left w:val="single" w:sz="4" w:space="0" w:color="auto"/>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B07575">
            <w:pPr>
              <w:rPr>
                <w:rFonts w:asciiTheme="minorHAnsi" w:hAnsiTheme="minorHAnsi" w:cs="Arial"/>
                <w:color w:val="000000"/>
                <w:sz w:val="16"/>
                <w:szCs w:val="18"/>
              </w:rPr>
            </w:pPr>
            <w:r w:rsidRPr="001A123D">
              <w:rPr>
                <w:rFonts w:asciiTheme="minorHAnsi" w:hAnsiTheme="minorHAnsi" w:cs="Arial"/>
                <w:color w:val="000000"/>
                <w:sz w:val="16"/>
                <w:szCs w:val="18"/>
              </w:rPr>
              <w:t>Rozwijająca się moda na uprawianie sportu, rekreacji i zdrowy tryb życia w społeczeństwie</w:t>
            </w:r>
          </w:p>
        </w:tc>
        <w:tc>
          <w:tcPr>
            <w:tcW w:w="711"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B07575">
            <w:pPr>
              <w:rPr>
                <w:rFonts w:asciiTheme="minorHAnsi" w:hAnsiTheme="minorHAnsi" w:cs="Arial"/>
                <w:color w:val="000000"/>
                <w:sz w:val="16"/>
                <w:szCs w:val="18"/>
              </w:rPr>
            </w:pPr>
            <w:r w:rsidRPr="001A123D">
              <w:rPr>
                <w:rFonts w:asciiTheme="minorHAnsi" w:hAnsiTheme="minorHAnsi" w:cs="Arial"/>
                <w:color w:val="000000"/>
                <w:sz w:val="16"/>
                <w:szCs w:val="18"/>
              </w:rPr>
              <w:t>Wzrastający udział i znaczenie szkolnictwa zawodowego w edukacji ponadgimnazjalnej. Wzrastająca świadomość wyboru kierunku kształcenia zgodnego z potrzebami rynku pracy.</w:t>
            </w:r>
          </w:p>
        </w:tc>
        <w:tc>
          <w:tcPr>
            <w:tcW w:w="673"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0C6F1F">
            <w:pPr>
              <w:rPr>
                <w:rFonts w:asciiTheme="minorHAnsi" w:hAnsiTheme="minorHAnsi" w:cs="Arial"/>
                <w:color w:val="000000"/>
                <w:sz w:val="16"/>
                <w:szCs w:val="18"/>
              </w:rPr>
            </w:pPr>
            <w:r w:rsidRPr="001A123D">
              <w:rPr>
                <w:rFonts w:asciiTheme="minorHAnsi" w:hAnsiTheme="minorHAnsi" w:cs="Arial"/>
                <w:color w:val="000000"/>
                <w:sz w:val="16"/>
                <w:szCs w:val="18"/>
              </w:rPr>
              <w:t xml:space="preserve">Dynamicznie rozwijający się rynek usług świadczonych i pobieranych za pomocą usług teleinformatycznych umożliwiający mniejszym </w:t>
            </w:r>
            <w:r w:rsidR="000C6F1F">
              <w:rPr>
                <w:rFonts w:asciiTheme="minorHAnsi" w:hAnsiTheme="minorHAnsi" w:cs="Arial"/>
                <w:color w:val="000000"/>
                <w:sz w:val="16"/>
                <w:szCs w:val="18"/>
              </w:rPr>
              <w:t xml:space="preserve">ośrodkom miejskim funkcjonowanie </w:t>
            </w:r>
            <w:r w:rsidRPr="001A123D">
              <w:rPr>
                <w:rFonts w:asciiTheme="minorHAnsi" w:hAnsiTheme="minorHAnsi" w:cs="Arial"/>
                <w:color w:val="000000"/>
                <w:sz w:val="16"/>
                <w:szCs w:val="18"/>
              </w:rPr>
              <w:t>na rynku globalnym</w:t>
            </w:r>
          </w:p>
        </w:tc>
      </w:tr>
      <w:tr w:rsidR="001A123D" w:rsidRPr="001A123D" w:rsidTr="006174C8">
        <w:trPr>
          <w:trHeight w:val="239"/>
        </w:trPr>
        <w:tc>
          <w:tcPr>
            <w:tcW w:w="4415" w:type="dxa"/>
            <w:gridSpan w:val="2"/>
            <w:vMerge/>
            <w:tcBorders>
              <w:left w:val="single" w:sz="8" w:space="0" w:color="FFFFFF" w:themeColor="background1"/>
              <w:bottom w:val="single" w:sz="4" w:space="0" w:color="auto"/>
              <w:right w:val="single" w:sz="8" w:space="0" w:color="8496B0" w:themeColor="text2" w:themeTint="99"/>
            </w:tcBorders>
            <w:shd w:val="clear" w:color="000000" w:fill="92D05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6529" w:type="dxa"/>
            <w:gridSpan w:val="11"/>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DEEAF6" w:themeFill="accent1" w:themeFillTint="33"/>
            <w:vAlign w:val="center"/>
          </w:tcPr>
          <w:p w:rsidR="001A123D" w:rsidRPr="001A123D" w:rsidRDefault="001A123D" w:rsidP="00B07575">
            <w:pPr>
              <w:spacing w:line="240" w:lineRule="auto"/>
              <w:jc w:val="center"/>
              <w:rPr>
                <w:rFonts w:asciiTheme="minorHAnsi" w:eastAsia="Times New Roman" w:hAnsiTheme="minorHAnsi" w:cs="Arial"/>
                <w:color w:val="2E74B5" w:themeColor="accent1" w:themeShade="BF"/>
                <w:sz w:val="20"/>
                <w:szCs w:val="16"/>
              </w:rPr>
            </w:pPr>
            <w:r w:rsidRPr="001A123D">
              <w:rPr>
                <w:rFonts w:asciiTheme="minorHAnsi" w:eastAsia="Times New Roman" w:hAnsiTheme="minorHAnsi" w:cs="Arial"/>
                <w:color w:val="2E74B5" w:themeColor="accent1" w:themeShade="BF"/>
                <w:sz w:val="20"/>
                <w:szCs w:val="16"/>
              </w:rPr>
              <w:t>Szanse</w:t>
            </w: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Duża liczba szkół wyższych oraz studentów kształcących się w legnickich uczelniach</w:t>
            </w:r>
          </w:p>
        </w:tc>
        <w:tc>
          <w:tcPr>
            <w:tcW w:w="396" w:type="dxa"/>
            <w:vMerge w:val="restart"/>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extDirection w:val="btLr"/>
            <w:vAlign w:val="center"/>
          </w:tcPr>
          <w:p w:rsidR="001A123D" w:rsidRPr="001A123D" w:rsidRDefault="001A123D" w:rsidP="00B07575">
            <w:pPr>
              <w:spacing w:line="240" w:lineRule="auto"/>
              <w:ind w:left="113" w:right="113"/>
              <w:jc w:val="center"/>
              <w:rPr>
                <w:rFonts w:asciiTheme="minorHAnsi" w:eastAsia="Times New Roman" w:hAnsiTheme="minorHAnsi" w:cs="Arial"/>
                <w:color w:val="7B7B7B" w:themeColor="accent3" w:themeShade="BF"/>
                <w:sz w:val="16"/>
                <w:szCs w:val="16"/>
              </w:rPr>
            </w:pPr>
            <w:r w:rsidRPr="001A123D">
              <w:rPr>
                <w:rFonts w:asciiTheme="minorHAnsi" w:eastAsia="Times New Roman" w:hAnsiTheme="minorHAnsi" w:cs="Arial"/>
                <w:color w:val="7B7B7B" w:themeColor="accent3" w:themeShade="BF"/>
                <w:sz w:val="20"/>
                <w:szCs w:val="16"/>
              </w:rPr>
              <w:t>Mocne strony</w:t>
            </w:r>
          </w:p>
        </w:tc>
        <w:tc>
          <w:tcPr>
            <w:tcW w:w="428" w:type="dxa"/>
            <w:tcBorders>
              <w:top w:val="single" w:sz="8" w:space="0" w:color="8496B0" w:themeColor="text2" w:themeTint="99"/>
              <w:left w:val="single" w:sz="8" w:space="0" w:color="000000" w:themeColor="text1"/>
              <w:bottom w:val="single" w:sz="8" w:space="0" w:color="000000" w:themeColor="text1"/>
              <w:right w:val="single" w:sz="8" w:space="0" w:color="000000" w:themeColor="text1"/>
            </w:tcBorders>
            <w:shd w:val="clear" w:color="000000" w:fill="FFC3C3"/>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8496B0" w:themeColor="text2" w:themeTint="99"/>
              <w:left w:val="single" w:sz="8" w:space="0" w:color="000000" w:themeColor="text1"/>
              <w:bottom w:val="single" w:sz="8" w:space="0" w:color="000000" w:themeColor="text1"/>
              <w:right w:val="single" w:sz="8" w:space="0" w:color="000000" w:themeColor="text1"/>
            </w:tcBorders>
            <w:shd w:val="clear" w:color="000000" w:fill="FF646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8" w:space="0" w:color="8496B0" w:themeColor="text2" w:themeTint="99"/>
              <w:left w:val="single" w:sz="8" w:space="0" w:color="000000" w:themeColor="text1"/>
              <w:bottom w:val="single" w:sz="4" w:space="0" w:color="auto"/>
              <w:right w:val="single" w:sz="4" w:space="0" w:color="auto"/>
            </w:tcBorders>
            <w:shd w:val="clear" w:color="000000" w:fill="FF6C6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8" w:space="0" w:color="8496B0" w:themeColor="text2" w:themeTint="99"/>
              <w:left w:val="single" w:sz="4" w:space="0" w:color="auto"/>
              <w:bottom w:val="single" w:sz="4" w:space="0" w:color="auto"/>
              <w:right w:val="single" w:sz="4" w:space="0" w:color="auto"/>
            </w:tcBorders>
            <w:shd w:val="clear" w:color="000000" w:fill="FFD7D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8" w:space="0" w:color="8496B0" w:themeColor="text2" w:themeTint="99"/>
              <w:left w:val="single" w:sz="4" w:space="0" w:color="auto"/>
              <w:bottom w:val="single" w:sz="4" w:space="0" w:color="auto"/>
              <w:right w:val="single" w:sz="4" w:space="0" w:color="auto"/>
            </w:tcBorders>
            <w:shd w:val="clear" w:color="000000" w:fill="FFCCC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8" w:space="0" w:color="8496B0" w:themeColor="text2" w:themeTint="99"/>
              <w:left w:val="single" w:sz="4" w:space="0" w:color="auto"/>
              <w:bottom w:val="single" w:sz="4" w:space="0" w:color="auto"/>
              <w:right w:val="single" w:sz="4" w:space="0" w:color="auto"/>
            </w:tcBorders>
            <w:shd w:val="clear" w:color="000000" w:fill="FF5C5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D9D9"/>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000000" w:fill="FFD1D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D87F42">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Rozbudowana baza </w:t>
            </w:r>
            <w:r w:rsidR="00D87F42">
              <w:rPr>
                <w:rFonts w:asciiTheme="minorHAnsi" w:eastAsia="Times New Roman" w:hAnsiTheme="minorHAnsi" w:cs="Arial"/>
                <w:color w:val="000000"/>
                <w:sz w:val="16"/>
                <w:szCs w:val="16"/>
              </w:rPr>
              <w:t>hotel</w:t>
            </w:r>
            <w:r w:rsidRPr="001A123D">
              <w:rPr>
                <w:rFonts w:asciiTheme="minorHAnsi" w:eastAsia="Times New Roman" w:hAnsiTheme="minorHAnsi" w:cs="Arial"/>
                <w:color w:val="000000"/>
                <w:sz w:val="16"/>
                <w:szCs w:val="16"/>
              </w:rPr>
              <w:t>owa oraz relatywnie wysoka liczba osób korzystających z noclegów głównie w celach biznesowych</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D7D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CCC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9D9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Rozbudowana baza sportowa i rekreacyjno-wypoczynkowa, szczególnie dla celów lokalnych</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8A8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9B9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0D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D8D8"/>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6E6E"/>
            <w:vAlign w:val="bottom"/>
          </w:tcPr>
          <w:p w:rsidR="001A123D" w:rsidRPr="001A123D" w:rsidRDefault="001A123D" w:rsidP="00B07575">
            <w:pPr>
              <w:spacing w:line="240" w:lineRule="auto"/>
              <w:jc w:val="right"/>
              <w:rPr>
                <w:rFonts w:asciiTheme="minorHAnsi" w:hAnsiTheme="minorHAnsi" w:cs="Arial"/>
                <w:color w:val="000000"/>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Tradycja i doświadczenie w organizacji ważnych wydarzeń kulturalnych - Satyrykon, Legnica Cantat, Festiwal </w:t>
            </w:r>
            <w:r w:rsidR="000C6F1F">
              <w:rPr>
                <w:rFonts w:asciiTheme="minorHAnsi" w:eastAsia="Times New Roman" w:hAnsiTheme="minorHAnsi" w:cs="Arial"/>
                <w:color w:val="000000"/>
                <w:sz w:val="16"/>
                <w:szCs w:val="16"/>
              </w:rPr>
              <w:t>SREBRO, itd.</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8A8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CDC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0D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136"/>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Korzystne położenie komunikacyjne Miasta (A4, S3, dr. Nr 94, E-30)</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272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404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0C0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C8C8"/>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000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0C0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Bliskość Wrocławia - możliwość korzystania z usług wyższego rzędu, usług metropolitalnych, rynku pracy i dużego rynku konsumenckiego</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5D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A5A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BBB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808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Dostępność terenów inwestycyjnych, w tym w rama</w:t>
            </w:r>
            <w:r w:rsidR="000C6F1F">
              <w:rPr>
                <w:rFonts w:asciiTheme="minorHAnsi" w:eastAsia="Times New Roman" w:hAnsiTheme="minorHAnsi" w:cs="Arial"/>
                <w:color w:val="000000"/>
                <w:sz w:val="16"/>
                <w:szCs w:val="16"/>
              </w:rPr>
              <w:t>ch Legnickiej Specjalnej Strefy</w:t>
            </w:r>
            <w:r w:rsidRPr="001A123D">
              <w:rPr>
                <w:rFonts w:asciiTheme="minorHAnsi" w:eastAsia="Times New Roman" w:hAnsiTheme="minorHAnsi" w:cs="Arial"/>
                <w:color w:val="000000"/>
                <w:sz w:val="16"/>
                <w:szCs w:val="16"/>
              </w:rPr>
              <w:t xml:space="preserve"> Ekonomicznej  </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B9B9"/>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454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4E4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949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676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070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4E4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Dobry dostęp do placówek wychowania przedszkolnego i edukacji podstawowej i gimnazjalnej</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919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D1D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3D3"/>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717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BEBE"/>
            <w:vAlign w:val="bottom"/>
          </w:tcPr>
          <w:p w:rsidR="001A123D" w:rsidRPr="001A123D" w:rsidRDefault="001A123D" w:rsidP="00B07575">
            <w:pPr>
              <w:spacing w:line="240" w:lineRule="auto"/>
              <w:jc w:val="right"/>
              <w:rPr>
                <w:rFonts w:asciiTheme="minorHAnsi" w:hAnsiTheme="minorHAnsi" w:cs="Arial"/>
                <w:color w:val="000000"/>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1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Dostęp do usług administracji ponadlokalnej</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9B9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8282"/>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8B8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D6D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Dobre wyposażenie placówek opieki zdrowotnej, funkcjonowanie Wojewódzkiego Szpitala Specjalistycznego</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8A8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CDC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0D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9292"/>
            <w:vAlign w:val="bottom"/>
          </w:tcPr>
          <w:p w:rsidR="001A123D" w:rsidRPr="001A123D" w:rsidRDefault="001A123D" w:rsidP="00B07575">
            <w:pPr>
              <w:spacing w:line="240" w:lineRule="auto"/>
              <w:jc w:val="right"/>
              <w:rPr>
                <w:rFonts w:asciiTheme="minorHAnsi" w:hAnsiTheme="minorHAnsi" w:cs="Arial"/>
                <w:color w:val="000000"/>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Dobrze rozbudowana infrastruktura usług kultury </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464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5F5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9A9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AAA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Korzystny rynek pracy. Relatywnie niski poziom bezrobocia, wzrastająca liczba zarejestrowanych podmiotów gosp.</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151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9B9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A1A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ACA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8A8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373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D8D8"/>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D0D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6E6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000000" w:fill="FFA6A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r>
      <w:tr w:rsidR="006174C8" w:rsidRPr="001A123D" w:rsidTr="002A5CDA">
        <w:trPr>
          <w:trHeight w:val="284"/>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D87F42" w:rsidP="00B07575">
            <w:pPr>
              <w:spacing w:line="240" w:lineRule="auto"/>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Stabiln</w:t>
            </w:r>
            <w:r w:rsidR="001A123D" w:rsidRPr="001A123D">
              <w:rPr>
                <w:rFonts w:asciiTheme="minorHAnsi" w:eastAsia="Times New Roman" w:hAnsiTheme="minorHAnsi" w:cs="Arial"/>
                <w:color w:val="000000"/>
                <w:sz w:val="16"/>
                <w:szCs w:val="16"/>
              </w:rPr>
              <w:t>a kondycja budżetu Miasta</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1C1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3D3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767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D7D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DADA"/>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6E6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Wysoka dostępność do infrastruktury technicznej i usług komunalnych</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4B4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646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6C6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406"/>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Szkolnictwo zawodowe na poziomie ponadgimnazjalnym doposażone i z bogatą ofertą. Współpraca szkół zawodowych z pracodawcami strefy ekonomicznej oraz z wyższymi uczelniami technicznymi</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8E8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9E9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D2D2"/>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B5B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CFC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8F8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757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000000" w:fill="FFD5D5"/>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Liczne instytucje otoczenia biznesu</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646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7D7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BFB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7D7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DADA"/>
            <w:vAlign w:val="bottom"/>
          </w:tcPr>
          <w:p w:rsidR="001A123D" w:rsidRPr="001A123D" w:rsidRDefault="001A123D" w:rsidP="00B07575">
            <w:pPr>
              <w:spacing w:line="240" w:lineRule="auto"/>
              <w:jc w:val="right"/>
              <w:rPr>
                <w:rFonts w:asciiTheme="minorHAnsi" w:hAnsiTheme="minorHAnsi" w:cs="Arial"/>
                <w:color w:val="000000"/>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Specyficzne dziedzictwo kulturowe i historyczne budujące potencjał turystyczny i rozwój kulturalny Legnicy</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4B4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646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6C6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r w:rsidR="006174C8" w:rsidRPr="001A123D" w:rsidTr="002A5CDA">
        <w:trPr>
          <w:trHeight w:val="239"/>
        </w:trPr>
        <w:tc>
          <w:tcPr>
            <w:tcW w:w="4019" w:type="dxa"/>
            <w:tc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tcBorders>
            <w:shd w:val="clear" w:color="auto" w:fill="auto"/>
            <w:vAlign w:val="bottom"/>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Bliskość lotniska we Wrocławiu</w:t>
            </w:r>
          </w:p>
        </w:tc>
        <w:tc>
          <w:tcPr>
            <w:tcW w:w="396" w:type="dxa"/>
            <w:vMerge/>
            <w:tcBorders>
              <w:top w:val="single" w:sz="8" w:space="0" w:color="7B7B7B" w:themeColor="accent3" w:themeShade="BF"/>
              <w:left w:val="single" w:sz="8" w:space="0" w:color="7B7B7B" w:themeColor="accent3" w:themeShade="BF"/>
              <w:bottom w:val="single" w:sz="8" w:space="0" w:color="7B7B7B" w:themeColor="accent3" w:themeShade="BF"/>
              <w:right w:val="single" w:sz="8" w:space="0" w:color="000000" w:themeColor="text1"/>
            </w:tcBorders>
            <w:shd w:val="clear" w:color="auto" w:fill="EDEDED" w:themeFill="accent3" w:themeFillTint="33"/>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8" w:space="0" w:color="000000" w:themeColor="text1"/>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B2B2"/>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71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c>
          <w:tcPr>
            <w:tcW w:w="67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rPr>
                <w:rFonts w:asciiTheme="minorHAnsi" w:hAnsiTheme="minorHAnsi" w:cs="Arial"/>
                <w:color w:val="FFFFFF"/>
                <w:sz w:val="16"/>
                <w:szCs w:val="18"/>
              </w:rPr>
            </w:pPr>
          </w:p>
        </w:tc>
      </w:tr>
    </w:tbl>
    <w:p w:rsidR="001A123D" w:rsidRPr="001B61A7" w:rsidRDefault="001A123D" w:rsidP="001A123D">
      <w:pPr>
        <w:rPr>
          <w:rFonts w:asciiTheme="minorHAnsi" w:hAnsiTheme="minorHAnsi"/>
          <w:sz w:val="20"/>
        </w:rPr>
      </w:pPr>
      <w:r w:rsidRPr="001B61A7">
        <w:rPr>
          <w:rFonts w:asciiTheme="minorHAnsi" w:hAnsiTheme="minorHAnsi"/>
          <w:sz w:val="20"/>
        </w:rPr>
        <w:t>Źródło: Opracowanie własne</w:t>
      </w:r>
      <w:r w:rsidR="008B3862">
        <w:rPr>
          <w:rFonts w:asciiTheme="minorHAnsi" w:hAnsiTheme="minorHAnsi"/>
          <w:sz w:val="20"/>
        </w:rPr>
        <w:t>.</w:t>
      </w:r>
    </w:p>
    <w:p w:rsidR="001A123D" w:rsidRPr="001A123D" w:rsidRDefault="001A123D" w:rsidP="001A123D">
      <w:pPr>
        <w:pStyle w:val="Nagwek2"/>
        <w:rPr>
          <w:rFonts w:asciiTheme="minorHAnsi" w:hAnsiTheme="minorHAnsi"/>
        </w:rPr>
      </w:pPr>
      <w:bookmarkStart w:id="70" w:name="_Toc393798613"/>
      <w:bookmarkStart w:id="71" w:name="_Toc399756013"/>
      <w:bookmarkStart w:id="72" w:name="_Toc399756351"/>
      <w:r w:rsidRPr="001A123D">
        <w:rPr>
          <w:rFonts w:asciiTheme="minorHAnsi" w:hAnsiTheme="minorHAnsi"/>
        </w:rPr>
        <w:t>Korelacje: Słabe strony – Zagrożenia; Zagrożenia – Słabe strony.</w:t>
      </w:r>
      <w:bookmarkEnd w:id="70"/>
      <w:bookmarkEnd w:id="71"/>
      <w:bookmarkEnd w:id="72"/>
    </w:p>
    <w:p w:rsidR="001A123D" w:rsidRPr="001A123D" w:rsidRDefault="001A123D" w:rsidP="001A123D">
      <w:pPr>
        <w:rPr>
          <w:rFonts w:asciiTheme="minorHAnsi" w:hAnsiTheme="minorHAnsi"/>
        </w:rPr>
      </w:pP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Słabymi stronami Legnicy które mogą dodatkowo potęgować zagrożenia dla rozwoju miasta są przede wszystkim: utrzymujące się wysokie wskaźniki przestępczości, relatywnie niskie średnie dochody mieszkańców, słabe połączenia komunikacji zbiorowej z sąsiednimi gminami oraz duże obciążenie ruchem komunikacyjnym wewnętrznego układu drogowego miasta. Wymienione słabe strony będą przede wszystkim potęgować zagrożenia związane z: odpływem wysoko wyedukowanych kadr do innych ośrodków miejskich, negatywnymi tendencjami demograficznymi,  wzrostem uciążliwości związanej ze wzmożonym ruchem komunikacyjnym oraz negatywnym wpływem kryzysu gospodarczego na kondycję przedsiębiorstw.</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Z drugiej strony korelacje pomiędzy zagrożeniami i słabymi stronami są podobne do korelacji pomiędzy słabymi stronami a zagrożeniami. Zagrożeniami, które w największym stopniu mogą osłabiać słabe strony są brak pewności co do realizacji inwestycji w zewnętrzną infrastrukturę drogową, odpływ wykwalifikowanych kadr i mieszkańców do innych miast i gmin, brak wymiany doświadczeń i wiedzy między sektorem nauki, a sektorem przedsiębiorstw oraz oddziaływanie światowego kryzysu gospodarczego na koniunkturę.</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Wynik przeprowadzonej analizy pokazał, iż najniżej zostały ocenione korelacje pomiędzy słabymi stronami i zagrożeniami oraz zagrożeniami i słabymi stronami. Oznacza to, że strategia defensywna nie wydaje się adekwatna dla Miasta Legnicy. Niemniej nie należy bagatelizować ani zagrożeń, ani słabych stron, jednak skupienie się na eliminowaniu zarówno jednych czynników (słabych stron), jak i drugich (zagrożeń) jest w mniejszym stopniu potrzebne miastu niż wykorzystywanie szans i mocnych stron.</w:t>
      </w:r>
    </w:p>
    <w:p w:rsidR="001A123D" w:rsidRDefault="001A123D" w:rsidP="001A123D">
      <w:pPr>
        <w:rPr>
          <w:rFonts w:asciiTheme="minorHAnsi" w:hAnsiTheme="minorHAnsi"/>
        </w:rPr>
      </w:pPr>
    </w:p>
    <w:p w:rsidR="00EA21E6" w:rsidRDefault="00EA21E6" w:rsidP="001A123D">
      <w:pPr>
        <w:rPr>
          <w:rFonts w:asciiTheme="minorHAnsi" w:hAnsiTheme="minorHAnsi"/>
        </w:rPr>
      </w:pPr>
    </w:p>
    <w:p w:rsidR="00EA21E6" w:rsidRDefault="00EA21E6" w:rsidP="001A123D">
      <w:pPr>
        <w:rPr>
          <w:rFonts w:asciiTheme="minorHAnsi" w:hAnsiTheme="minorHAnsi"/>
        </w:rPr>
      </w:pPr>
    </w:p>
    <w:p w:rsidR="00EA21E6" w:rsidRDefault="00EA21E6" w:rsidP="001A123D">
      <w:pPr>
        <w:rPr>
          <w:rFonts w:asciiTheme="minorHAnsi" w:hAnsiTheme="minorHAnsi"/>
        </w:rPr>
      </w:pPr>
    </w:p>
    <w:p w:rsidR="00EA21E6" w:rsidRDefault="00EA21E6" w:rsidP="001A123D">
      <w:pPr>
        <w:rPr>
          <w:rFonts w:asciiTheme="minorHAnsi" w:hAnsiTheme="minorHAnsi"/>
        </w:rPr>
      </w:pPr>
    </w:p>
    <w:p w:rsidR="00EA21E6" w:rsidRDefault="00EA21E6" w:rsidP="001A123D">
      <w:pPr>
        <w:rPr>
          <w:rFonts w:asciiTheme="minorHAnsi" w:hAnsiTheme="minorHAnsi"/>
        </w:rPr>
      </w:pPr>
    </w:p>
    <w:p w:rsidR="00EA21E6" w:rsidRDefault="00EA21E6" w:rsidP="001A123D">
      <w:pPr>
        <w:rPr>
          <w:rFonts w:asciiTheme="minorHAnsi" w:hAnsiTheme="minorHAnsi"/>
        </w:rPr>
      </w:pPr>
    </w:p>
    <w:p w:rsidR="00EA21E6" w:rsidRPr="001A123D" w:rsidRDefault="00EA21E6" w:rsidP="001A123D">
      <w:pPr>
        <w:rPr>
          <w:rFonts w:asciiTheme="minorHAnsi" w:hAnsiTheme="minorHAnsi"/>
        </w:rPr>
      </w:pPr>
    </w:p>
    <w:p w:rsidR="001A123D" w:rsidRPr="001A123D" w:rsidRDefault="001A123D" w:rsidP="001A123D">
      <w:pPr>
        <w:rPr>
          <w:rFonts w:asciiTheme="minorHAnsi" w:hAnsiTheme="minorHAnsi"/>
        </w:rPr>
      </w:pP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47</w:t>
      </w:r>
      <w:r w:rsidRPr="000100D2">
        <w:rPr>
          <w:rFonts w:asciiTheme="minorHAnsi" w:hAnsiTheme="minorHAnsi"/>
          <w:noProof/>
          <w:sz w:val="20"/>
        </w:rPr>
        <w:fldChar w:fldCharType="end"/>
      </w:r>
      <w:r w:rsidRPr="000100D2">
        <w:rPr>
          <w:rFonts w:asciiTheme="minorHAnsi" w:hAnsiTheme="minorHAnsi"/>
          <w:sz w:val="20"/>
        </w:rPr>
        <w:t>. Korelacje słabe strony - zagrożenia, zagrożenia - słabe strony</w:t>
      </w:r>
    </w:p>
    <w:tbl>
      <w:tblPr>
        <w:tblW w:w="10510" w:type="dxa"/>
        <w:tblInd w:w="-597" w:type="dxa"/>
        <w:tblLayout w:type="fixed"/>
        <w:tblCellMar>
          <w:left w:w="70" w:type="dxa"/>
          <w:right w:w="70" w:type="dxa"/>
        </w:tblCellMar>
        <w:tblLook w:val="04A0" w:firstRow="1" w:lastRow="0" w:firstColumn="1" w:lastColumn="0" w:noHBand="0" w:noVBand="1"/>
      </w:tblPr>
      <w:tblGrid>
        <w:gridCol w:w="5671"/>
        <w:gridCol w:w="504"/>
        <w:gridCol w:w="541"/>
        <w:gridCol w:w="504"/>
        <w:gridCol w:w="1000"/>
        <w:gridCol w:w="528"/>
        <w:gridCol w:w="660"/>
        <w:gridCol w:w="541"/>
        <w:gridCol w:w="561"/>
      </w:tblGrid>
      <w:tr w:rsidR="001A123D" w:rsidRPr="001A123D" w:rsidTr="006174C8">
        <w:trPr>
          <w:trHeight w:val="5037"/>
        </w:trPr>
        <w:tc>
          <w:tcPr>
            <w:tcW w:w="6175" w:type="dxa"/>
            <w:gridSpan w:val="2"/>
            <w:vMerge w:val="restart"/>
            <w:tcBorders>
              <w:top w:val="nil"/>
              <w:left w:val="single" w:sz="8" w:space="0" w:color="FFFFFF" w:themeColor="background1"/>
              <w:right w:val="single" w:sz="8" w:space="0" w:color="808080" w:themeColor="background1" w:themeShade="80"/>
            </w:tcBorders>
            <w:shd w:val="clear" w:color="auto" w:fill="auto"/>
            <w:noWrap/>
            <w:vAlign w:val="center"/>
            <w:hideMark/>
          </w:tcPr>
          <w:p w:rsidR="001A123D" w:rsidRPr="001A123D" w:rsidRDefault="001A123D" w:rsidP="00B07575">
            <w:pPr>
              <w:spacing w:line="240" w:lineRule="auto"/>
              <w:jc w:val="center"/>
              <w:rPr>
                <w:rFonts w:asciiTheme="minorHAnsi" w:eastAsia="Times New Roman" w:hAnsiTheme="minorHAnsi" w:cs="Arial"/>
                <w:color w:val="000000" w:themeColor="text1"/>
                <w:sz w:val="16"/>
                <w:szCs w:val="18"/>
              </w:rPr>
            </w:pPr>
            <w:r w:rsidRPr="001A123D">
              <w:rPr>
                <w:rFonts w:asciiTheme="minorHAnsi" w:eastAsia="Times New Roman" w:hAnsiTheme="minorHAnsi" w:cs="Times New Roman"/>
                <w:b/>
                <w:sz w:val="32"/>
                <w:szCs w:val="40"/>
              </w:rPr>
              <w:t>Strategia defensywna</w:t>
            </w:r>
          </w:p>
        </w:tc>
        <w:tc>
          <w:tcPr>
            <w:tcW w:w="54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EA21E6">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 xml:space="preserve">Migracje mieszkańców Legnicy do ościennych gmin i Wrocławia, w tym </w:t>
            </w:r>
            <w:r w:rsidR="00EA21E6">
              <w:rPr>
                <w:rFonts w:asciiTheme="minorHAnsi" w:eastAsia="Times New Roman" w:hAnsiTheme="minorHAnsi" w:cs="Arial"/>
                <w:color w:val="000000" w:themeColor="text1"/>
                <w:sz w:val="16"/>
                <w:szCs w:val="18"/>
              </w:rPr>
              <w:t xml:space="preserve">wysoko wykwalifikowanych </w:t>
            </w:r>
            <w:r w:rsidRPr="001A123D">
              <w:rPr>
                <w:rFonts w:asciiTheme="minorHAnsi" w:eastAsia="Times New Roman" w:hAnsiTheme="minorHAnsi" w:cs="Arial"/>
                <w:color w:val="000000" w:themeColor="text1"/>
                <w:sz w:val="16"/>
                <w:szCs w:val="18"/>
              </w:rPr>
              <w:t>specjalistów</w:t>
            </w:r>
          </w:p>
        </w:tc>
        <w:tc>
          <w:tcPr>
            <w:tcW w:w="5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Negatywne tendencje demograficzne. Wzrost obciążenia demograficznego ludności w wieku produkcyjnym</w:t>
            </w:r>
          </w:p>
        </w:tc>
        <w:tc>
          <w:tcPr>
            <w:tcW w:w="10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Brak pewności co do realizacji zewnętrznych inwestycji drogowych: drogi ekspresowej S-3 na odcinku Legnica-Lubawka, ograniczen</w:t>
            </w:r>
            <w:r w:rsidR="00E274D6">
              <w:rPr>
                <w:rFonts w:asciiTheme="minorHAnsi" w:eastAsia="Times New Roman" w:hAnsiTheme="minorHAnsi" w:cs="Arial"/>
                <w:color w:val="000000" w:themeColor="text1"/>
                <w:sz w:val="16"/>
                <w:szCs w:val="18"/>
              </w:rPr>
              <w:t>ia węzłów drogowych na A4 w związku z</w:t>
            </w:r>
            <w:r w:rsidRPr="001A123D">
              <w:rPr>
                <w:rFonts w:asciiTheme="minorHAnsi" w:eastAsia="Times New Roman" w:hAnsiTheme="minorHAnsi" w:cs="Arial"/>
                <w:color w:val="000000" w:themeColor="text1"/>
                <w:sz w:val="16"/>
                <w:szCs w:val="18"/>
              </w:rPr>
              <w:t xml:space="preserve"> dostosowaniem A-4 do autostrady płatnej. Od ich realizacji zależeć będzie przekierowanie części ruchu na drogę krajową nr 94 i miasto.</w:t>
            </w:r>
          </w:p>
        </w:tc>
        <w:tc>
          <w:tcPr>
            <w:tcW w:w="52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Utrzymanie się niekorzystnych zjawisk gospodarczych spowodowanych światowym kryzysem gospodarczym</w:t>
            </w:r>
          </w:p>
        </w:tc>
        <w:tc>
          <w:tcPr>
            <w:tcW w:w="6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Brak wypracowanych praktyk w zakresie transferu technologii i współpracy pomiędzy sektorem naukowo-badawczym, a przedsiębiorstwami powodujący utrzymywanie się niskiego poziomu innowacyjności w kraju.</w:t>
            </w:r>
          </w:p>
        </w:tc>
        <w:tc>
          <w:tcPr>
            <w:tcW w:w="54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themeColor="text1"/>
                <w:sz w:val="16"/>
                <w:szCs w:val="18"/>
              </w:rPr>
            </w:pPr>
            <w:r w:rsidRPr="001A123D">
              <w:rPr>
                <w:rFonts w:asciiTheme="minorHAnsi" w:eastAsia="Times New Roman" w:hAnsiTheme="minorHAnsi" w:cs="Arial"/>
                <w:color w:val="000000" w:themeColor="text1"/>
                <w:sz w:val="16"/>
                <w:szCs w:val="18"/>
              </w:rPr>
              <w:t>Brak zainteresowania w umiejscawianiu uniwersyteckich centrów naukowo-badawczych w ośrodkach miejskich o znaczeniu regionalnym i lokalnym</w:t>
            </w:r>
          </w:p>
        </w:tc>
        <w:tc>
          <w:tcPr>
            <w:tcW w:w="56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Naturalne trendy zanikania turystyki sentymentalnej</w:t>
            </w:r>
          </w:p>
        </w:tc>
      </w:tr>
      <w:tr w:rsidR="001A123D" w:rsidRPr="001A123D" w:rsidTr="006174C8">
        <w:trPr>
          <w:trHeight w:val="291"/>
        </w:trPr>
        <w:tc>
          <w:tcPr>
            <w:tcW w:w="6175" w:type="dxa"/>
            <w:gridSpan w:val="2"/>
            <w:vMerge/>
            <w:tcBorders>
              <w:left w:val="single" w:sz="8" w:space="0" w:color="FFFFFF" w:themeColor="background1"/>
              <w:bottom w:val="single" w:sz="8" w:space="0" w:color="F4B083" w:themeColor="accent2" w:themeTint="99"/>
              <w:right w:val="single" w:sz="8" w:space="0" w:color="808080" w:themeColor="background1" w:themeShade="80"/>
            </w:tcBorders>
            <w:shd w:val="clear" w:color="000000" w:fill="E6B8B7"/>
            <w:noWrap/>
          </w:tcPr>
          <w:p w:rsidR="001A123D" w:rsidRPr="001A123D" w:rsidRDefault="001A123D" w:rsidP="00B07575">
            <w:pPr>
              <w:spacing w:line="240" w:lineRule="auto"/>
              <w:jc w:val="right"/>
              <w:rPr>
                <w:rFonts w:asciiTheme="minorHAnsi" w:eastAsia="Times New Roman" w:hAnsiTheme="minorHAnsi" w:cs="Arial"/>
                <w:color w:val="000000" w:themeColor="text1"/>
                <w:sz w:val="16"/>
                <w:szCs w:val="18"/>
              </w:rPr>
            </w:pPr>
          </w:p>
        </w:tc>
        <w:tc>
          <w:tcPr>
            <w:tcW w:w="4335"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noWrap/>
            <w:vAlign w:val="center"/>
          </w:tcPr>
          <w:p w:rsidR="001A123D" w:rsidRPr="001A123D" w:rsidRDefault="001A123D" w:rsidP="00B07575">
            <w:pPr>
              <w:spacing w:line="240" w:lineRule="auto"/>
              <w:jc w:val="center"/>
              <w:rPr>
                <w:rFonts w:asciiTheme="minorHAnsi" w:eastAsia="Times New Roman" w:hAnsiTheme="minorHAnsi" w:cs="Arial"/>
                <w:color w:val="3B3838" w:themeColor="background2" w:themeShade="40"/>
                <w:sz w:val="16"/>
                <w:szCs w:val="18"/>
              </w:rPr>
            </w:pPr>
            <w:r w:rsidRPr="001A123D">
              <w:rPr>
                <w:rFonts w:asciiTheme="minorHAnsi" w:eastAsia="Times New Roman" w:hAnsiTheme="minorHAnsi" w:cs="Arial"/>
                <w:color w:val="3B3838" w:themeColor="background2" w:themeShade="40"/>
                <w:sz w:val="20"/>
                <w:szCs w:val="18"/>
              </w:rPr>
              <w:t>Zagrożenia</w:t>
            </w: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noWrap/>
            <w:hideMark/>
          </w:tcPr>
          <w:p w:rsidR="001A123D" w:rsidRPr="001A123D" w:rsidRDefault="001A123D" w:rsidP="000C6F1F">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Brak hali widowiskowo-sportowej o dużej pojemności </w:t>
            </w:r>
            <w:r w:rsidR="000C6F1F">
              <w:rPr>
                <w:rFonts w:asciiTheme="minorHAnsi" w:eastAsia="Times New Roman" w:hAnsiTheme="minorHAnsi" w:cs="Arial"/>
                <w:color w:val="000000"/>
                <w:sz w:val="16"/>
                <w:szCs w:val="18"/>
              </w:rPr>
              <w:t>uniemożliwiający organizację</w:t>
            </w:r>
            <w:r w:rsidRPr="001A123D">
              <w:rPr>
                <w:rFonts w:asciiTheme="minorHAnsi" w:eastAsia="Times New Roman" w:hAnsiTheme="minorHAnsi" w:cs="Arial"/>
                <w:color w:val="000000"/>
                <w:sz w:val="16"/>
                <w:szCs w:val="18"/>
              </w:rPr>
              <w:t xml:space="preserve"> dużych wydarzeń sportowych i kulturowych na terenie Legnicy</w:t>
            </w:r>
          </w:p>
        </w:tc>
        <w:tc>
          <w:tcPr>
            <w:tcW w:w="504" w:type="dxa"/>
            <w:vMerge w:val="restart"/>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extDirection w:val="btLr"/>
            <w:vAlign w:val="center"/>
          </w:tcPr>
          <w:p w:rsidR="001A123D" w:rsidRPr="001A123D" w:rsidRDefault="001A123D" w:rsidP="00B07575">
            <w:pPr>
              <w:spacing w:line="240" w:lineRule="auto"/>
              <w:ind w:left="113" w:right="113"/>
              <w:jc w:val="center"/>
              <w:rPr>
                <w:rFonts w:asciiTheme="minorHAnsi" w:eastAsia="Times New Roman" w:hAnsiTheme="minorHAnsi" w:cs="Arial"/>
                <w:color w:val="FF0000"/>
                <w:sz w:val="16"/>
                <w:szCs w:val="18"/>
              </w:rPr>
            </w:pPr>
            <w:r w:rsidRPr="001A123D">
              <w:rPr>
                <w:rFonts w:asciiTheme="minorHAnsi" w:eastAsia="Times New Roman" w:hAnsiTheme="minorHAnsi" w:cs="Arial"/>
                <w:color w:val="FF0000"/>
                <w:sz w:val="20"/>
                <w:szCs w:val="18"/>
              </w:rPr>
              <w:t>Słabe strony</w:t>
            </w:r>
          </w:p>
        </w:tc>
        <w:tc>
          <w:tcPr>
            <w:tcW w:w="541" w:type="dxa"/>
            <w:tcBorders>
              <w:top w:val="single" w:sz="8" w:space="0" w:color="808080" w:themeColor="background1" w:themeShade="80"/>
              <w:left w:val="single" w:sz="8" w:space="0" w:color="F4B083" w:themeColor="accent2" w:themeTint="99"/>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04"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28"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8" w:space="0" w:color="808080" w:themeColor="background1" w:themeShade="80"/>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Relatywnie niskie średnie dochody mieszkańców</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AAAA"/>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3D3D"/>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1919"/>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Słabe połączenia komunikacji publicznej z sąsiednimi obszarami i okalającymi gminami. Oparcie komunikacji na funkcjonowaniu prywatnych busów</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A4A4"/>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2B2B"/>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Utrzymujące się wysokie wskaźniki przestępczości</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0000"/>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9E9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6666"/>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2B3340">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 xml:space="preserve">Brak </w:t>
            </w:r>
            <w:r w:rsidR="002B3340">
              <w:rPr>
                <w:rFonts w:asciiTheme="minorHAnsi" w:eastAsia="Times New Roman" w:hAnsiTheme="minorHAnsi" w:cs="Arial"/>
                <w:color w:val="000000"/>
                <w:sz w:val="16"/>
                <w:szCs w:val="18"/>
              </w:rPr>
              <w:t>zaangażowania</w:t>
            </w:r>
            <w:r w:rsidRPr="001A123D">
              <w:rPr>
                <w:rFonts w:asciiTheme="minorHAnsi" w:eastAsia="Times New Roman" w:hAnsiTheme="minorHAnsi" w:cs="Arial"/>
                <w:color w:val="000000"/>
                <w:sz w:val="16"/>
                <w:szCs w:val="18"/>
              </w:rPr>
              <w:t xml:space="preserve"> zagranicznych firm działających w LSSE  </w:t>
            </w:r>
            <w:r w:rsidR="002B3340">
              <w:rPr>
                <w:rFonts w:asciiTheme="minorHAnsi" w:eastAsia="Times New Roman" w:hAnsiTheme="minorHAnsi" w:cs="Arial"/>
                <w:color w:val="000000"/>
                <w:sz w:val="16"/>
                <w:szCs w:val="18"/>
              </w:rPr>
              <w:t>w inicjatywy społeczne miasta</w:t>
            </w:r>
            <w:r w:rsidRPr="001A123D">
              <w:rPr>
                <w:rFonts w:asciiTheme="minorHAnsi" w:eastAsia="Times New Roman" w:hAnsiTheme="minorHAnsi" w:cs="Arial"/>
                <w:color w:val="000000"/>
                <w:sz w:val="16"/>
                <w:szCs w:val="18"/>
              </w:rPr>
              <w:t xml:space="preserve"> </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BCBC"/>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4E4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Brak ścieżek rowerowych zintegrowanych z sąsiednimi gminami</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AAAA"/>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Duże obciążenie ruchem komunikacyjnym wewnętrznego układu drogowego</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5151"/>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517"/>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Zanieczyszczenie środowiska: wysokie stężenie zanieczyszczeń powietrza - niska emisja, zanieczyszczenie gleb w pobliżu Huty Miedzi, występowanie dzikich wysypisk</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CACA"/>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7E7E"/>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r>
      <w:tr w:rsidR="001A123D" w:rsidRPr="001A123D" w:rsidTr="002A5CDA">
        <w:trPr>
          <w:trHeight w:val="291"/>
        </w:trPr>
        <w:tc>
          <w:tcPr>
            <w:tcW w:w="5671"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8"/>
              </w:rPr>
            </w:pPr>
            <w:r w:rsidRPr="001A123D">
              <w:rPr>
                <w:rFonts w:asciiTheme="minorHAnsi" w:eastAsia="Times New Roman" w:hAnsiTheme="minorHAnsi" w:cs="Arial"/>
                <w:color w:val="000000"/>
                <w:sz w:val="16"/>
                <w:szCs w:val="18"/>
              </w:rPr>
              <w:t>Wysoki stopień degradacji znacznej części historycznej zabudowy Miasta</w:t>
            </w:r>
          </w:p>
        </w:tc>
        <w:tc>
          <w:tcPr>
            <w:tcW w:w="504"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8" w:space="0" w:color="F4B083" w:themeColor="accent2" w:themeTint="99"/>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1000" w:type="dxa"/>
            <w:tcBorders>
              <w:top w:val="single" w:sz="4" w:space="0" w:color="auto"/>
              <w:left w:val="single" w:sz="4" w:space="0" w:color="auto"/>
              <w:bottom w:val="single" w:sz="4" w:space="0" w:color="auto"/>
              <w:right w:val="single" w:sz="4" w:space="0" w:color="auto"/>
            </w:tcBorders>
            <w:shd w:val="clear" w:color="000000" w:fill="FFBCBC"/>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8"/>
              </w:rPr>
            </w:pPr>
          </w:p>
        </w:tc>
        <w:tc>
          <w:tcPr>
            <w:tcW w:w="561" w:type="dxa"/>
            <w:tcBorders>
              <w:top w:val="single" w:sz="4" w:space="0" w:color="auto"/>
              <w:left w:val="single" w:sz="4" w:space="0" w:color="auto"/>
              <w:bottom w:val="single" w:sz="4" w:space="0" w:color="auto"/>
              <w:right w:val="single" w:sz="4" w:space="0" w:color="auto"/>
            </w:tcBorders>
            <w:shd w:val="clear" w:color="000000" w:fill="FFE7E7"/>
            <w:noWrap/>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8"/>
              </w:rPr>
            </w:pPr>
          </w:p>
        </w:tc>
      </w:tr>
    </w:tbl>
    <w:p w:rsidR="001A123D" w:rsidRPr="001B61A7" w:rsidRDefault="001A123D" w:rsidP="001A123D">
      <w:pPr>
        <w:rPr>
          <w:rFonts w:asciiTheme="minorHAnsi" w:hAnsiTheme="minorHAnsi"/>
          <w:sz w:val="20"/>
        </w:rPr>
      </w:pPr>
      <w:r w:rsidRPr="001B61A7">
        <w:rPr>
          <w:rFonts w:asciiTheme="minorHAnsi" w:hAnsiTheme="minorHAnsi"/>
          <w:sz w:val="20"/>
        </w:rPr>
        <w:t>Źródło: Opracowanie własne</w:t>
      </w:r>
      <w:r w:rsidR="008B3862">
        <w:rPr>
          <w:rFonts w:asciiTheme="minorHAnsi" w:hAnsiTheme="minorHAnsi"/>
          <w:sz w:val="20"/>
        </w:rPr>
        <w:t>.</w:t>
      </w:r>
    </w:p>
    <w:p w:rsidR="001A123D" w:rsidRPr="001A123D" w:rsidRDefault="001A123D" w:rsidP="001A123D">
      <w:pPr>
        <w:rPr>
          <w:rFonts w:asciiTheme="minorHAnsi" w:hAnsiTheme="minorHAnsi"/>
        </w:rPr>
      </w:pPr>
    </w:p>
    <w:p w:rsidR="001A123D" w:rsidRPr="001A123D" w:rsidRDefault="001A123D" w:rsidP="001A123D">
      <w:pPr>
        <w:pStyle w:val="Nagwek2"/>
        <w:rPr>
          <w:rFonts w:asciiTheme="minorHAnsi" w:hAnsiTheme="minorHAnsi"/>
        </w:rPr>
      </w:pPr>
      <w:bookmarkStart w:id="73" w:name="_Toc393798614"/>
      <w:bookmarkStart w:id="74" w:name="_Toc399756014"/>
      <w:bookmarkStart w:id="75" w:name="_Toc399756352"/>
      <w:r w:rsidRPr="001A123D">
        <w:rPr>
          <w:rFonts w:asciiTheme="minorHAnsi" w:hAnsiTheme="minorHAnsi"/>
        </w:rPr>
        <w:t>Korelacje: Słabe strony – Szanse; Szanse – Słabe strony.</w:t>
      </w:r>
      <w:bookmarkEnd w:id="73"/>
      <w:bookmarkEnd w:id="74"/>
      <w:bookmarkEnd w:id="75"/>
    </w:p>
    <w:p w:rsidR="001A123D" w:rsidRPr="001A123D" w:rsidRDefault="001A123D" w:rsidP="001A123D">
      <w:pPr>
        <w:rPr>
          <w:rFonts w:asciiTheme="minorHAnsi" w:hAnsiTheme="minorHAnsi"/>
        </w:rPr>
      </w:pP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Szanse będą wpływać nie tylko na spotęgowanie mocnych stron Legnicy, ale ich właściwe wykorzystanie przyczyni się także do przezwyciężenia słabych stron. Spora liczba korelacji pomiędzy szansami a słabymi stronami będzie mieć dość duże znaczenia dla rozwoju Legnicy. Należy zauważyć, że wiele słabych stron będzie można przezwyciężyć z pomocą fu</w:t>
      </w:r>
      <w:r w:rsidR="00D03212">
        <w:rPr>
          <w:rFonts w:asciiTheme="minorHAnsi" w:hAnsiTheme="minorHAnsi" w:cs="Helvetica"/>
          <w:sz w:val="22"/>
          <w:szCs w:val="18"/>
        </w:rPr>
        <w:t>nduszy zewnętrznych. Polityka i </w:t>
      </w:r>
      <w:r w:rsidRPr="00B07575">
        <w:rPr>
          <w:rFonts w:asciiTheme="minorHAnsi" w:hAnsiTheme="minorHAnsi" w:cs="Helvetica"/>
          <w:sz w:val="22"/>
          <w:szCs w:val="18"/>
        </w:rPr>
        <w:t>wsparcie finansowe Unii Europejskiej skierowane będzie szczególnie na rozwój miejskich obszarów funkcjonalnych, inteligentne specjalizacje oraz rozwój oparty o zintegrowane działania samorządów lokalnych, co znacząco wpłynie na zniwelowanie słabych stron związanych z szeroko pojętym układem komunikacyjnym i transportem zbiorowym, zanieczyszczeniem środowiska, złym stanem zabytków, czy brakami w infrastrukturze społecznej.  Istotne dla przezwyciężenia słabych stron będą również: umiejscowienie Legnicy w nadrzędnych dokumentach strategicznych i planistycznych, przedłużenie funkcjonowania Specjalnej Strefy Ekonomicznej oraz podstawy dla rozwoju sektora wydobywczego (pokłady węgla brunatnego, działalność KGHM S.A.). Szanse te pozwolą przede wszystkim przezwyciężyć słabe strony związane z niewystarczającym poziomem płac,  brakiem integracji inwestorów zagranicznych z lokalnymi przedsiębiorstwami, czy zanieczyszczeniem środowiska.</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Należy również zwrócić uwagę na słabe strony, które mogą zahamować wykorzystanie szans. Brak hali widowiskowo-sportowej i niedostatecznie zintegrowana sieć tras rowerowych może zahamować rozwój kultury fizycznej i sportu wśród mieszkańców. Niedostateczne zaangażowanie firm działających w Legnickiej Specjalnej Strefie Ekonomicznej może osłabić pozytywne oddziaływanie na gospodarkę miasta oraz efekt mnożnikowy związany z przedłużeniem jej funkcjonowania.  Niski poziom dochodów wpływa na mniejszy popyt konsumpcyjny i korzystanie z usług i infrastruktury kulturowej czy rekreacyjno-sportowej.</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Strategia konkurencyjna to strategia oparta na korelacji szans i słabych stron. Mimo, iż analiza wykazała, że nie stanowi ona strategii wiodącej dla Legnicy to z pewnością należy wziąć pod uwagę jej wybrane elementy, a szczególnie te, które związane są z niewystarczającym rozwojem systemu komunikacji publicznej, brakiem hali widowiskowo-sportowej blokującym rozwój sportu i kultury, znaczną degradacją części zabytkowych obszarów miasta, czy zanieczyszczeniem środowiska. Posiadanie słabych stron w tym zakresie może przyczyniać się do niewykorzystania nadchodzących szans, które to z kolei są istotne dla spotęgowania istniejących już mocnych stron. A zatem do działań bezpośrednio wywodzących się ze strategii ofensywnej należałoby dodać działania wynikające ze strategii konkurencyjnej. Dalszemu przygotowaniu terenów inwestycyjnych i rozbudowie połączeń zewnętrznego układu komunikacyjnego powinny więc towarzyszyć remonty i rozbudowa sieci dróg wewnętrznych,  działania służące utrzymaniu wysoko wykwalifikowanych kadr w Legnicy powinny być ukierunkowane na jak najlepsze dostosowanie oferty edukacyjnej szkół i uczelni do wymogów rynku pracy, rozwój akademicki miasta nie będzie miał miejsca p</w:t>
      </w:r>
      <w:r w:rsidR="0066375B">
        <w:rPr>
          <w:rFonts w:asciiTheme="minorHAnsi" w:hAnsiTheme="minorHAnsi" w:cs="Helvetica"/>
          <w:sz w:val="22"/>
          <w:szCs w:val="18"/>
        </w:rPr>
        <w:t>rzy braku wymiany doświadczeń i </w:t>
      </w:r>
      <w:r w:rsidRPr="00B07575">
        <w:rPr>
          <w:rFonts w:asciiTheme="minorHAnsi" w:hAnsiTheme="minorHAnsi" w:cs="Helvetica"/>
          <w:sz w:val="22"/>
          <w:szCs w:val="18"/>
        </w:rPr>
        <w:t xml:space="preserve">współpracy szkół wyższych z przedsiębiorcami, wsparcie podmiotów gospodarczych powinno nie tylko prowadzić do wzrostu ich kapitału, ale także do wzrostu płac pracowników, zrównoważony rozwój gospodarczy miasta będzie nieskuteczny jeżeli rozbudowa zakładów przyczyni się do wzmożonej dewastacji środowiska naturalnego. </w:t>
      </w:r>
    </w:p>
    <w:p w:rsidR="001A123D" w:rsidRPr="00B07575" w:rsidRDefault="001A123D" w:rsidP="001A123D">
      <w:pPr>
        <w:spacing w:before="60" w:after="120"/>
        <w:rPr>
          <w:rFonts w:asciiTheme="minorHAnsi" w:hAnsiTheme="minorHAnsi" w:cs="Helvetica"/>
          <w:sz w:val="22"/>
          <w:szCs w:val="18"/>
        </w:rPr>
      </w:pPr>
      <w:r w:rsidRPr="00B07575">
        <w:rPr>
          <w:rFonts w:asciiTheme="minorHAnsi" w:hAnsiTheme="minorHAnsi" w:cs="Helvetica"/>
          <w:sz w:val="22"/>
          <w:szCs w:val="18"/>
        </w:rPr>
        <w:t xml:space="preserve">Wybrana strategia ofensywna ma ukierunkowywać politykę miasta w kierunku prorozwojowym, służącym osiągnięciu zamierzonej wizji, obrazu Legnicy odzwierciedlającego jej potencjał i aspiracje, poprzez wykorzystanie posiadanych mocnych stron i występujących w </w:t>
      </w:r>
      <w:r w:rsidR="0066375B">
        <w:rPr>
          <w:rFonts w:asciiTheme="minorHAnsi" w:hAnsiTheme="minorHAnsi" w:cs="Helvetica"/>
          <w:sz w:val="22"/>
          <w:szCs w:val="18"/>
        </w:rPr>
        <w:t>otoczeniu szans. Jej właściwe i </w:t>
      </w:r>
      <w:r w:rsidRPr="00B07575">
        <w:rPr>
          <w:rFonts w:asciiTheme="minorHAnsi" w:hAnsiTheme="minorHAnsi" w:cs="Helvetica"/>
          <w:sz w:val="22"/>
          <w:szCs w:val="18"/>
        </w:rPr>
        <w:t>skuteczne wdrażanie nie może odbyć się jednak bez stopniowego usuwania posiadanych słabych stron i zniwelowania pojawiających się zagrożeń. Dlatego też, aby wzmocnić posiadane potencjały konieczne jest wsparcie działań wynikających ze strategii ofens</w:t>
      </w:r>
      <w:r w:rsidR="0066375B">
        <w:rPr>
          <w:rFonts w:asciiTheme="minorHAnsi" w:hAnsiTheme="minorHAnsi" w:cs="Helvetica"/>
          <w:sz w:val="22"/>
          <w:szCs w:val="18"/>
        </w:rPr>
        <w:t>ywnej, działaniami zalecanymi w </w:t>
      </w:r>
      <w:r w:rsidRPr="00B07575">
        <w:rPr>
          <w:rFonts w:asciiTheme="minorHAnsi" w:hAnsiTheme="minorHAnsi" w:cs="Helvetica"/>
          <w:sz w:val="22"/>
          <w:szCs w:val="18"/>
        </w:rPr>
        <w:t>ramach innych strategii, po to aby zlikwidować bariery prorozwojo</w:t>
      </w:r>
      <w:r w:rsidR="0066375B">
        <w:rPr>
          <w:rFonts w:asciiTheme="minorHAnsi" w:hAnsiTheme="minorHAnsi" w:cs="Helvetica"/>
          <w:sz w:val="22"/>
          <w:szCs w:val="18"/>
        </w:rPr>
        <w:t>we, ograniczyć wpływ zagrożeń i </w:t>
      </w:r>
      <w:r w:rsidRPr="00B07575">
        <w:rPr>
          <w:rFonts w:asciiTheme="minorHAnsi" w:hAnsiTheme="minorHAnsi" w:cs="Helvetica"/>
          <w:sz w:val="22"/>
          <w:szCs w:val="18"/>
        </w:rPr>
        <w:t>w pełni wykorzystać pojawiające się szanse, by za kilka lat Legnica stała się nowoczesnym, przyjaznym, sprawnie funkcjonującym miastem.</w:t>
      </w:r>
    </w:p>
    <w:p w:rsidR="001A123D" w:rsidRPr="001A123D" w:rsidRDefault="001A123D" w:rsidP="001A123D">
      <w:pPr>
        <w:rPr>
          <w:rFonts w:asciiTheme="minorHAnsi" w:hAnsiTheme="minorHAnsi"/>
        </w:rPr>
      </w:pPr>
    </w:p>
    <w:p w:rsidR="001A123D" w:rsidRDefault="001A123D" w:rsidP="001A123D">
      <w:pPr>
        <w:rPr>
          <w:rFonts w:asciiTheme="minorHAnsi" w:hAnsiTheme="minorHAnsi"/>
        </w:rPr>
      </w:pPr>
    </w:p>
    <w:p w:rsidR="00B07575" w:rsidRPr="001A123D" w:rsidRDefault="00B07575" w:rsidP="001A123D">
      <w:pPr>
        <w:rPr>
          <w:rFonts w:asciiTheme="minorHAnsi" w:hAnsiTheme="minorHAnsi"/>
        </w:rPr>
      </w:pPr>
    </w:p>
    <w:p w:rsidR="001A123D" w:rsidRPr="000100D2" w:rsidRDefault="001A123D" w:rsidP="001A123D">
      <w:pPr>
        <w:pStyle w:val="Legenda"/>
        <w:keepNext/>
        <w:rPr>
          <w:rFonts w:asciiTheme="minorHAnsi" w:hAnsiTheme="minorHAnsi"/>
          <w:sz w:val="20"/>
        </w:rPr>
      </w:pPr>
      <w:r w:rsidRPr="000100D2">
        <w:rPr>
          <w:rFonts w:asciiTheme="minorHAnsi" w:hAnsiTheme="minorHAnsi"/>
          <w:sz w:val="20"/>
        </w:rPr>
        <w:t xml:space="preserve">Tabela </w:t>
      </w:r>
      <w:r w:rsidRPr="000100D2">
        <w:rPr>
          <w:rFonts w:asciiTheme="minorHAnsi" w:hAnsiTheme="minorHAnsi"/>
          <w:sz w:val="20"/>
        </w:rPr>
        <w:fldChar w:fldCharType="begin"/>
      </w:r>
      <w:r w:rsidRPr="000100D2">
        <w:rPr>
          <w:rFonts w:asciiTheme="minorHAnsi" w:hAnsiTheme="minorHAnsi"/>
          <w:sz w:val="20"/>
        </w:rPr>
        <w:instrText xml:space="preserve"> SEQ Tabela \* ARABIC </w:instrText>
      </w:r>
      <w:r w:rsidRPr="000100D2">
        <w:rPr>
          <w:rFonts w:asciiTheme="minorHAnsi" w:hAnsiTheme="minorHAnsi"/>
          <w:sz w:val="20"/>
        </w:rPr>
        <w:fldChar w:fldCharType="separate"/>
      </w:r>
      <w:r w:rsidR="007B2916">
        <w:rPr>
          <w:rFonts w:asciiTheme="minorHAnsi" w:hAnsiTheme="minorHAnsi"/>
          <w:noProof/>
          <w:sz w:val="20"/>
        </w:rPr>
        <w:t>48</w:t>
      </w:r>
      <w:r w:rsidRPr="000100D2">
        <w:rPr>
          <w:rFonts w:asciiTheme="minorHAnsi" w:hAnsiTheme="minorHAnsi"/>
          <w:noProof/>
          <w:sz w:val="20"/>
        </w:rPr>
        <w:fldChar w:fldCharType="end"/>
      </w:r>
      <w:r w:rsidRPr="000100D2">
        <w:rPr>
          <w:rFonts w:asciiTheme="minorHAnsi" w:hAnsiTheme="minorHAnsi"/>
          <w:sz w:val="20"/>
        </w:rPr>
        <w:t>. Korelacje słabe strony - szanse, szanse - słabe strony</w:t>
      </w:r>
    </w:p>
    <w:tbl>
      <w:tblPr>
        <w:tblW w:w="11010" w:type="dxa"/>
        <w:tblInd w:w="-814" w:type="dxa"/>
        <w:tblLayout w:type="fixed"/>
        <w:tblCellMar>
          <w:left w:w="70" w:type="dxa"/>
          <w:right w:w="70" w:type="dxa"/>
        </w:tblCellMar>
        <w:tblLook w:val="04A0" w:firstRow="1" w:lastRow="0" w:firstColumn="1" w:lastColumn="0" w:noHBand="0" w:noVBand="1"/>
      </w:tblPr>
      <w:tblGrid>
        <w:gridCol w:w="4703"/>
        <w:gridCol w:w="391"/>
        <w:gridCol w:w="424"/>
        <w:gridCol w:w="531"/>
        <w:gridCol w:w="851"/>
        <w:gridCol w:w="567"/>
        <w:gridCol w:w="567"/>
        <w:gridCol w:w="425"/>
        <w:gridCol w:w="425"/>
        <w:gridCol w:w="433"/>
        <w:gridCol w:w="459"/>
        <w:gridCol w:w="526"/>
        <w:gridCol w:w="708"/>
      </w:tblGrid>
      <w:tr w:rsidR="001A123D" w:rsidRPr="001A123D" w:rsidTr="006174C8">
        <w:trPr>
          <w:trHeight w:val="6402"/>
        </w:trPr>
        <w:tc>
          <w:tcPr>
            <w:tcW w:w="5094" w:type="dxa"/>
            <w:gridSpan w:val="2"/>
            <w:vMerge w:val="restart"/>
            <w:tcBorders>
              <w:top w:val="nil"/>
              <w:left w:val="single" w:sz="8" w:space="0" w:color="FFFFFF" w:themeColor="background1"/>
              <w:right w:val="single" w:sz="8" w:space="0" w:color="8496B0" w:themeColor="text2" w:themeTint="99"/>
            </w:tcBorders>
            <w:shd w:val="clear" w:color="auto" w:fill="auto"/>
            <w:noWrap/>
            <w:vAlign w:val="center"/>
            <w:hideMark/>
          </w:tcPr>
          <w:p w:rsidR="001A123D" w:rsidRPr="001A123D" w:rsidRDefault="001A123D" w:rsidP="00B07575">
            <w:pPr>
              <w:spacing w:line="240" w:lineRule="auto"/>
              <w:jc w:val="center"/>
              <w:rPr>
                <w:rFonts w:asciiTheme="minorHAnsi" w:eastAsia="Times New Roman" w:hAnsiTheme="minorHAnsi" w:cs="Arial"/>
                <w:color w:val="000000"/>
                <w:sz w:val="16"/>
                <w:szCs w:val="16"/>
              </w:rPr>
            </w:pPr>
            <w:r w:rsidRPr="001A123D">
              <w:rPr>
                <w:rFonts w:asciiTheme="minorHAnsi" w:eastAsia="Times New Roman" w:hAnsiTheme="minorHAnsi" w:cs="Times New Roman"/>
                <w:b/>
                <w:sz w:val="32"/>
                <w:szCs w:val="40"/>
              </w:rPr>
              <w:t>Strategia konkurencyjna</w:t>
            </w:r>
          </w:p>
        </w:tc>
        <w:tc>
          <w:tcPr>
            <w:tcW w:w="424"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Wykorzystanie dla rozwoju miasta kolejnego okresu budżetowego UE</w:t>
            </w:r>
          </w:p>
        </w:tc>
        <w:tc>
          <w:tcPr>
            <w:tcW w:w="531"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Wzrost znaczenia polityki miejskiej – nowe instrumenty wspierające rozwój miejskich obszarów funkcjonalnych</w:t>
            </w:r>
          </w:p>
        </w:tc>
        <w:tc>
          <w:tcPr>
            <w:tcW w:w="851"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Umiejscowienie Legnicy w ważnych dokumentach strategicznych na szczeblu centralnym i wojewódzkim: Legnica miejskim obszarem funkcjonalnym o znaczeniu regionalnym, położenie w</w:t>
            </w:r>
            <w:r w:rsidR="000C6F1F">
              <w:rPr>
                <w:rFonts w:asciiTheme="minorHAnsi" w:eastAsia="Times New Roman" w:hAnsiTheme="minorHAnsi" w:cs="Arial"/>
                <w:color w:val="000000"/>
                <w:sz w:val="16"/>
                <w:szCs w:val="16"/>
              </w:rPr>
              <w:t xml:space="preserve"> pasmach rozwojowych: Autostradzie</w:t>
            </w:r>
            <w:r w:rsidRPr="001A123D">
              <w:rPr>
                <w:rFonts w:asciiTheme="minorHAnsi" w:eastAsia="Times New Roman" w:hAnsiTheme="minorHAnsi" w:cs="Arial"/>
                <w:color w:val="000000"/>
                <w:sz w:val="16"/>
                <w:szCs w:val="16"/>
              </w:rPr>
              <w:t xml:space="preserve"> Nowej Gospodarki, Legnicko-Głogowskim Obszarze Przemysłowym,</w:t>
            </w:r>
            <w:r w:rsidR="000C6F1F">
              <w:rPr>
                <w:rFonts w:asciiTheme="minorHAnsi" w:eastAsia="Times New Roman" w:hAnsiTheme="minorHAnsi" w:cs="Arial"/>
                <w:color w:val="000000"/>
                <w:sz w:val="16"/>
                <w:szCs w:val="16"/>
              </w:rPr>
              <w:t xml:space="preserve"> </w:t>
            </w:r>
            <w:r w:rsidRPr="001A123D">
              <w:rPr>
                <w:rFonts w:asciiTheme="minorHAnsi" w:eastAsia="Times New Roman" w:hAnsiTheme="minorHAnsi" w:cs="Arial"/>
                <w:color w:val="000000"/>
                <w:sz w:val="16"/>
                <w:szCs w:val="16"/>
              </w:rPr>
              <w:t>Obszarze Rolniczym</w:t>
            </w:r>
          </w:p>
        </w:tc>
        <w:tc>
          <w:tcPr>
            <w:tcW w:w="567"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Posiadanie zasobów naturalnych dla rozwoju nowych gałęzi gospodarki: złoża węgla brunatnego, grunty rolnicze o wysokich parametrach jakościowych gleb</w:t>
            </w:r>
          </w:p>
        </w:tc>
        <w:tc>
          <w:tcPr>
            <w:tcW w:w="567"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Działalność krajowego potentata KGHM: rynek pracy, nowe inwestycje, przedsiębiorstwa kooperujące, wysokie stawki wynagrodzeń, wysokie emerytury górnicze</w:t>
            </w:r>
          </w:p>
        </w:tc>
        <w:tc>
          <w:tcPr>
            <w:tcW w:w="425"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Przedłużenie funkcjonowania LSSE do 2026 r., utrzymanie ulg inwestycyjnych dla nowych firm</w:t>
            </w:r>
          </w:p>
        </w:tc>
        <w:tc>
          <w:tcPr>
            <w:tcW w:w="425"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Podnoszący się wskaźnik wykształcenia społeczeństwa</w:t>
            </w:r>
          </w:p>
        </w:tc>
        <w:tc>
          <w:tcPr>
            <w:tcW w:w="433"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Rozbudowa i modernizacja zew. układu komunikacyjnego. Rozbudowa </w:t>
            </w:r>
            <w:r w:rsidR="000C6F1F">
              <w:rPr>
                <w:rFonts w:asciiTheme="minorHAnsi" w:eastAsia="Times New Roman" w:hAnsiTheme="minorHAnsi" w:cs="Arial"/>
                <w:color w:val="000000"/>
                <w:sz w:val="16"/>
                <w:szCs w:val="16"/>
              </w:rPr>
              <w:t>trasy S3, magistrali kolejowej E</w:t>
            </w:r>
            <w:r w:rsidRPr="001A123D">
              <w:rPr>
                <w:rFonts w:asciiTheme="minorHAnsi" w:eastAsia="Times New Roman" w:hAnsiTheme="minorHAnsi" w:cs="Arial"/>
                <w:color w:val="000000"/>
                <w:sz w:val="16"/>
                <w:szCs w:val="16"/>
              </w:rPr>
              <w:t xml:space="preserve">-30, </w:t>
            </w:r>
          </w:p>
        </w:tc>
        <w:tc>
          <w:tcPr>
            <w:tcW w:w="459" w:type="dxa"/>
            <w:tcBorders>
              <w:top w:val="single" w:sz="8" w:space="0" w:color="8496B0" w:themeColor="text2" w:themeTint="99"/>
              <w:left w:val="single" w:sz="4" w:space="0" w:color="auto"/>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B07575">
            <w:pPr>
              <w:rPr>
                <w:rFonts w:asciiTheme="minorHAnsi" w:hAnsiTheme="minorHAnsi" w:cs="Arial"/>
                <w:color w:val="000000"/>
                <w:sz w:val="16"/>
                <w:szCs w:val="16"/>
              </w:rPr>
            </w:pPr>
            <w:r w:rsidRPr="001A123D">
              <w:rPr>
                <w:rFonts w:asciiTheme="minorHAnsi" w:hAnsiTheme="minorHAnsi" w:cs="Arial"/>
                <w:color w:val="000000"/>
                <w:sz w:val="16"/>
                <w:szCs w:val="16"/>
              </w:rPr>
              <w:t>Rozwijająca się moda na uprawianie sportu, rekreacji i zdrowy tryb życia w społeczeństwie</w:t>
            </w:r>
          </w:p>
        </w:tc>
        <w:tc>
          <w:tcPr>
            <w:tcW w:w="526"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EA21E6">
            <w:pPr>
              <w:rPr>
                <w:rFonts w:asciiTheme="minorHAnsi" w:hAnsiTheme="minorHAnsi" w:cs="Arial"/>
                <w:color w:val="000000"/>
                <w:sz w:val="16"/>
                <w:szCs w:val="16"/>
              </w:rPr>
            </w:pPr>
            <w:r w:rsidRPr="001A123D">
              <w:rPr>
                <w:rFonts w:asciiTheme="minorHAnsi" w:hAnsiTheme="minorHAnsi" w:cs="Arial"/>
                <w:color w:val="000000"/>
                <w:sz w:val="16"/>
                <w:szCs w:val="16"/>
              </w:rPr>
              <w:t>Wzrastający udział i znaczenie szkolnictwa zawodowego w</w:t>
            </w:r>
            <w:r w:rsidR="00EA21E6">
              <w:rPr>
                <w:rFonts w:asciiTheme="minorHAnsi" w:hAnsiTheme="minorHAnsi" w:cs="Arial"/>
                <w:color w:val="000000"/>
                <w:sz w:val="16"/>
                <w:szCs w:val="16"/>
              </w:rPr>
              <w:t xml:space="preserve"> edukacji ponadgimnazjalnej.  Wzrastająca</w:t>
            </w:r>
            <w:r w:rsidRPr="001A123D">
              <w:rPr>
                <w:rFonts w:asciiTheme="minorHAnsi" w:hAnsiTheme="minorHAnsi" w:cs="Arial"/>
                <w:color w:val="000000"/>
                <w:sz w:val="16"/>
                <w:szCs w:val="16"/>
              </w:rPr>
              <w:t xml:space="preserve"> świadomość wyboru kierunku kształcenia zgodnego z potrzebami rynku pracy.</w:t>
            </w:r>
          </w:p>
        </w:tc>
        <w:tc>
          <w:tcPr>
            <w:tcW w:w="708" w:type="dxa"/>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auto"/>
            <w:textDirection w:val="btLr"/>
          </w:tcPr>
          <w:p w:rsidR="001A123D" w:rsidRPr="001A123D" w:rsidRDefault="001A123D" w:rsidP="00B07575">
            <w:pPr>
              <w:rPr>
                <w:rFonts w:asciiTheme="minorHAnsi" w:hAnsiTheme="minorHAnsi" w:cs="Arial"/>
                <w:color w:val="000000"/>
                <w:sz w:val="16"/>
                <w:szCs w:val="16"/>
              </w:rPr>
            </w:pPr>
            <w:r w:rsidRPr="001A123D">
              <w:rPr>
                <w:rFonts w:asciiTheme="minorHAnsi" w:hAnsiTheme="minorHAnsi" w:cs="Arial"/>
                <w:color w:val="000000"/>
                <w:sz w:val="16"/>
                <w:szCs w:val="16"/>
              </w:rPr>
              <w:t xml:space="preserve">Dynamicznie rozwijający się rynek usług świadczonych i pobieranych za pomocą usług teleinformatycznych umożliwiający mniejszym </w:t>
            </w:r>
            <w:r w:rsidR="000C6F1F">
              <w:rPr>
                <w:rFonts w:asciiTheme="minorHAnsi" w:hAnsiTheme="minorHAnsi" w:cs="Arial"/>
                <w:color w:val="000000"/>
                <w:sz w:val="16"/>
                <w:szCs w:val="16"/>
              </w:rPr>
              <w:t>ośrodkom miejskim funkcjonowanie</w:t>
            </w:r>
            <w:r w:rsidRPr="001A123D">
              <w:rPr>
                <w:rFonts w:asciiTheme="minorHAnsi" w:hAnsiTheme="minorHAnsi" w:cs="Arial"/>
                <w:color w:val="000000"/>
                <w:sz w:val="16"/>
                <w:szCs w:val="16"/>
              </w:rPr>
              <w:t xml:space="preserve"> na rynku globalnym</w:t>
            </w:r>
          </w:p>
        </w:tc>
      </w:tr>
      <w:tr w:rsidR="001A123D" w:rsidRPr="001A123D" w:rsidTr="006174C8">
        <w:trPr>
          <w:trHeight w:val="512"/>
        </w:trPr>
        <w:tc>
          <w:tcPr>
            <w:tcW w:w="5094" w:type="dxa"/>
            <w:gridSpan w:val="2"/>
            <w:vMerge/>
            <w:tcBorders>
              <w:left w:val="single" w:sz="8" w:space="0" w:color="FFFFFF" w:themeColor="background1"/>
              <w:bottom w:val="single" w:sz="8" w:space="0" w:color="F4B083" w:themeColor="accent2" w:themeTint="99"/>
              <w:right w:val="single" w:sz="8" w:space="0" w:color="8496B0" w:themeColor="text2" w:themeTint="99"/>
            </w:tcBorders>
            <w:shd w:val="clear" w:color="000000" w:fill="E6B8B7"/>
          </w:tcPr>
          <w:p w:rsidR="001A123D" w:rsidRPr="001A123D" w:rsidRDefault="001A123D" w:rsidP="00B07575">
            <w:pPr>
              <w:spacing w:line="240" w:lineRule="auto"/>
              <w:ind w:left="113" w:right="113"/>
              <w:jc w:val="center"/>
              <w:rPr>
                <w:rFonts w:asciiTheme="minorHAnsi" w:eastAsia="Times New Roman" w:hAnsiTheme="minorHAnsi" w:cs="Arial"/>
                <w:color w:val="000000"/>
                <w:sz w:val="16"/>
                <w:szCs w:val="16"/>
              </w:rPr>
            </w:pPr>
          </w:p>
        </w:tc>
        <w:tc>
          <w:tcPr>
            <w:tcW w:w="5916" w:type="dxa"/>
            <w:gridSpan w:val="11"/>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D5DCE4" w:themeFill="text2" w:themeFillTint="33"/>
            <w:vAlign w:val="center"/>
          </w:tcPr>
          <w:p w:rsidR="001A123D" w:rsidRPr="001A123D" w:rsidRDefault="001A123D" w:rsidP="00B07575">
            <w:pPr>
              <w:spacing w:line="240" w:lineRule="auto"/>
              <w:jc w:val="center"/>
              <w:rPr>
                <w:rFonts w:asciiTheme="minorHAnsi" w:eastAsia="Times New Roman" w:hAnsiTheme="minorHAnsi" w:cs="Arial"/>
                <w:color w:val="2E74B5" w:themeColor="accent1" w:themeShade="BF"/>
                <w:sz w:val="20"/>
                <w:szCs w:val="16"/>
              </w:rPr>
            </w:pPr>
            <w:r w:rsidRPr="001A123D">
              <w:rPr>
                <w:rFonts w:asciiTheme="minorHAnsi" w:eastAsia="Times New Roman" w:hAnsiTheme="minorHAnsi" w:cs="Arial"/>
                <w:color w:val="2E74B5" w:themeColor="accent1" w:themeShade="BF"/>
                <w:sz w:val="20"/>
                <w:szCs w:val="16"/>
              </w:rPr>
              <w:t>Szanse</w:t>
            </w:r>
          </w:p>
        </w:tc>
      </w:tr>
      <w:tr w:rsidR="006174C8" w:rsidRPr="001A123D" w:rsidTr="002A5CDA">
        <w:trPr>
          <w:trHeight w:val="512"/>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0C6F1F">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Brak hali widowiskowo-sportowej o dużej pojemności </w:t>
            </w:r>
            <w:r w:rsidR="000C6F1F">
              <w:rPr>
                <w:rFonts w:asciiTheme="minorHAnsi" w:eastAsia="Times New Roman" w:hAnsiTheme="minorHAnsi" w:cs="Arial"/>
                <w:color w:val="000000"/>
                <w:sz w:val="16"/>
                <w:szCs w:val="16"/>
              </w:rPr>
              <w:t>uniemożliwiający organizację</w:t>
            </w:r>
            <w:r w:rsidRPr="001A123D">
              <w:rPr>
                <w:rFonts w:asciiTheme="minorHAnsi" w:eastAsia="Times New Roman" w:hAnsiTheme="minorHAnsi" w:cs="Arial"/>
                <w:color w:val="000000"/>
                <w:sz w:val="16"/>
                <w:szCs w:val="16"/>
              </w:rPr>
              <w:t xml:space="preserve"> dużych wydarzeń sportowych i kulturowych na terenie Legnicy</w:t>
            </w:r>
          </w:p>
        </w:tc>
        <w:tc>
          <w:tcPr>
            <w:tcW w:w="391" w:type="dxa"/>
            <w:vMerge w:val="restart"/>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extDirection w:val="btLr"/>
            <w:vAlign w:val="center"/>
          </w:tcPr>
          <w:p w:rsidR="001A123D" w:rsidRPr="001A123D" w:rsidRDefault="001A123D" w:rsidP="00B07575">
            <w:pPr>
              <w:spacing w:line="240" w:lineRule="auto"/>
              <w:ind w:left="113" w:right="113"/>
              <w:jc w:val="center"/>
              <w:rPr>
                <w:rFonts w:asciiTheme="minorHAnsi" w:eastAsia="Times New Roman" w:hAnsiTheme="minorHAnsi" w:cs="Arial"/>
                <w:color w:val="FF0000"/>
                <w:sz w:val="16"/>
                <w:szCs w:val="16"/>
              </w:rPr>
            </w:pPr>
            <w:r w:rsidRPr="001A123D">
              <w:rPr>
                <w:rFonts w:asciiTheme="minorHAnsi" w:eastAsia="Times New Roman" w:hAnsiTheme="minorHAnsi" w:cs="Arial"/>
                <w:color w:val="FF0000"/>
                <w:sz w:val="20"/>
                <w:szCs w:val="16"/>
              </w:rPr>
              <w:t>Słabe strony</w:t>
            </w:r>
          </w:p>
        </w:tc>
        <w:tc>
          <w:tcPr>
            <w:tcW w:w="424" w:type="dxa"/>
            <w:tcBorders>
              <w:top w:val="single" w:sz="8" w:space="0" w:color="8496B0" w:themeColor="text2" w:themeTint="99"/>
              <w:left w:val="single" w:sz="8" w:space="0" w:color="F4B083" w:themeColor="accent2" w:themeTint="99"/>
              <w:bottom w:val="single" w:sz="4" w:space="0" w:color="auto"/>
              <w:right w:val="single" w:sz="4" w:space="0" w:color="auto"/>
            </w:tcBorders>
            <w:shd w:val="clear" w:color="000000" w:fill="FF474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8" w:space="0" w:color="8496B0" w:themeColor="text2" w:themeTint="99"/>
              <w:left w:val="single" w:sz="4" w:space="0" w:color="auto"/>
              <w:bottom w:val="single" w:sz="4" w:space="0" w:color="auto"/>
              <w:right w:val="single" w:sz="4" w:space="0" w:color="auto"/>
            </w:tcBorders>
            <w:shd w:val="clear" w:color="000000" w:fill="FFADA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8" w:space="0" w:color="8496B0" w:themeColor="text2" w:themeTint="99"/>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000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273"/>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Relatywnie niskie średnie dochody mieszkańców</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BEB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8282"/>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6969"/>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C1C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C7C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26" w:type="dxa"/>
            <w:tcBorders>
              <w:top w:val="single" w:sz="4" w:space="0" w:color="auto"/>
              <w:left w:val="single" w:sz="4" w:space="0" w:color="auto"/>
              <w:bottom w:val="single" w:sz="4" w:space="0" w:color="auto"/>
              <w:right w:val="single" w:sz="4" w:space="0" w:color="auto"/>
            </w:tcBorders>
            <w:shd w:val="clear" w:color="000000" w:fill="FFC7C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BEB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r>
      <w:tr w:rsidR="006174C8" w:rsidRPr="001A123D" w:rsidTr="002A5CDA">
        <w:trPr>
          <w:trHeight w:val="576"/>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Słabe połączenia komunikacji publicznej z sąsiednimi obszarami i okalającymi gminami. Oparcie komunikacji na funkcjonowaniu prywatnych busów</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474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ADAD"/>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606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B0B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297"/>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Utrzymujące się wysokie wskaźniki przestępczości</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ABAB"/>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C1C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494"/>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2B3340">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 xml:space="preserve">Brak </w:t>
            </w:r>
            <w:r w:rsidR="002B3340">
              <w:rPr>
                <w:rFonts w:asciiTheme="minorHAnsi" w:eastAsia="Times New Roman" w:hAnsiTheme="minorHAnsi" w:cs="Arial"/>
                <w:color w:val="000000"/>
                <w:sz w:val="16"/>
                <w:szCs w:val="16"/>
              </w:rPr>
              <w:t>zaangażowania</w:t>
            </w:r>
            <w:r w:rsidRPr="001A123D">
              <w:rPr>
                <w:rFonts w:asciiTheme="minorHAnsi" w:eastAsia="Times New Roman" w:hAnsiTheme="minorHAnsi" w:cs="Arial"/>
                <w:color w:val="000000"/>
                <w:sz w:val="16"/>
                <w:szCs w:val="16"/>
              </w:rPr>
              <w:t xml:space="preserve"> zagranicznych firm działających w LSSE  </w:t>
            </w:r>
            <w:r w:rsidR="002B3340">
              <w:rPr>
                <w:rFonts w:asciiTheme="minorHAnsi" w:eastAsia="Times New Roman" w:hAnsiTheme="minorHAnsi" w:cs="Arial"/>
                <w:color w:val="000000"/>
                <w:sz w:val="16"/>
                <w:szCs w:val="16"/>
              </w:rPr>
              <w:t>w inicjatywy społeczne miasta</w:t>
            </w:r>
            <w:r w:rsidRPr="001A123D">
              <w:rPr>
                <w:rFonts w:asciiTheme="minorHAnsi" w:eastAsia="Times New Roman" w:hAnsiTheme="minorHAnsi" w:cs="Arial"/>
                <w:color w:val="000000"/>
                <w:sz w:val="16"/>
                <w:szCs w:val="16"/>
              </w:rPr>
              <w:t xml:space="preserve"> </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B6B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CCC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0000"/>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283"/>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Brak ścieżek rowerowych zintegrowanych z sąsiednimi gminami</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575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B4B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565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419"/>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Duże obciążenie ruchem komunikacyjnym wewnętrznego układu drogowego</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6666"/>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7878"/>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BFB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7F7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582"/>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Zanieczyszczenie środowiska: wysokie stężenie zanieczyszczeń powietrza - niska emisja, zanieczyszczenie gleb w pobliżu Huty Miedzi, występowanie dzikich wysypisk</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575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B4B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B7B7"/>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7C7C"/>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C1C1"/>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8E8E"/>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r w:rsidR="006174C8" w:rsidRPr="001A123D" w:rsidTr="002A5CDA">
        <w:trPr>
          <w:trHeight w:val="290"/>
        </w:trPr>
        <w:tc>
          <w:tcPr>
            <w:tcW w:w="4703" w:type="dxa"/>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auto"/>
            <w:hideMark/>
          </w:tcPr>
          <w:p w:rsidR="001A123D" w:rsidRPr="001A123D" w:rsidRDefault="001A123D" w:rsidP="00B07575">
            <w:pPr>
              <w:spacing w:line="240" w:lineRule="auto"/>
              <w:rPr>
                <w:rFonts w:asciiTheme="minorHAnsi" w:eastAsia="Times New Roman" w:hAnsiTheme="minorHAnsi" w:cs="Arial"/>
                <w:color w:val="000000"/>
                <w:sz w:val="16"/>
                <w:szCs w:val="16"/>
              </w:rPr>
            </w:pPr>
            <w:r w:rsidRPr="001A123D">
              <w:rPr>
                <w:rFonts w:asciiTheme="minorHAnsi" w:eastAsia="Times New Roman" w:hAnsiTheme="minorHAnsi" w:cs="Arial"/>
                <w:color w:val="000000"/>
                <w:sz w:val="16"/>
                <w:szCs w:val="16"/>
              </w:rPr>
              <w:t>Wysoki stopień degradacji znacznej części historycznej zabudowy Miasta</w:t>
            </w:r>
          </w:p>
        </w:tc>
        <w:tc>
          <w:tcPr>
            <w:tcW w:w="391" w:type="dxa"/>
            <w:vMerge/>
            <w:tc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cBorders>
            <w:shd w:val="clear" w:color="auto" w:fill="FBE4D5" w:themeFill="accent2" w:themeFillTint="33"/>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424" w:type="dxa"/>
            <w:tcBorders>
              <w:top w:val="single" w:sz="4" w:space="0" w:color="auto"/>
              <w:left w:val="single" w:sz="8" w:space="0" w:color="F4B083" w:themeColor="accent2" w:themeTint="99"/>
              <w:bottom w:val="single" w:sz="4" w:space="0" w:color="auto"/>
              <w:right w:val="single" w:sz="4" w:space="0" w:color="auto"/>
            </w:tcBorders>
            <w:shd w:val="clear" w:color="000000" w:fill="FF4F4F"/>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000000" w:fill="FF6262"/>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FFB4B4"/>
            <w:vAlign w:val="bottom"/>
          </w:tcPr>
          <w:p w:rsidR="001A123D" w:rsidRPr="001A123D" w:rsidRDefault="001A123D" w:rsidP="00B07575">
            <w:pPr>
              <w:spacing w:line="240" w:lineRule="auto"/>
              <w:jc w:val="right"/>
              <w:rPr>
                <w:rFonts w:asciiTheme="minorHAnsi" w:eastAsia="Times New Roman" w:hAnsiTheme="minorHAnsi" w:cs="Arial"/>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spacing w:line="240" w:lineRule="auto"/>
              <w:jc w:val="right"/>
              <w:rPr>
                <w:rFonts w:asciiTheme="minorHAnsi" w:eastAsia="Times New Roman" w:hAnsiTheme="minorHAnsi" w:cs="Arial"/>
                <w:color w:val="FFFFFF"/>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526"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1A123D" w:rsidRPr="001A123D" w:rsidRDefault="001A123D" w:rsidP="00B07575">
            <w:pPr>
              <w:jc w:val="right"/>
              <w:rPr>
                <w:rFonts w:asciiTheme="minorHAnsi" w:hAnsiTheme="minorHAnsi" w:cs="Arial"/>
                <w:color w:val="FFFFFF"/>
                <w:sz w:val="18"/>
                <w:szCs w:val="18"/>
              </w:rPr>
            </w:pPr>
          </w:p>
        </w:tc>
      </w:tr>
    </w:tbl>
    <w:p w:rsidR="001A123D" w:rsidRPr="00EA21E6" w:rsidRDefault="001A123D" w:rsidP="001A123D">
      <w:pPr>
        <w:rPr>
          <w:rFonts w:asciiTheme="minorHAnsi" w:hAnsiTheme="minorHAnsi"/>
          <w:sz w:val="22"/>
        </w:rPr>
      </w:pPr>
      <w:r w:rsidRPr="001B61A7">
        <w:rPr>
          <w:rFonts w:asciiTheme="minorHAnsi" w:hAnsiTheme="minorHAnsi"/>
          <w:sz w:val="20"/>
        </w:rPr>
        <w:t>Źródło: Opracowanie własne</w:t>
      </w:r>
      <w:r w:rsidR="008B3862">
        <w:rPr>
          <w:rFonts w:asciiTheme="minorHAnsi" w:hAnsiTheme="minorHAnsi"/>
          <w:sz w:val="20"/>
        </w:rPr>
        <w:t>.</w:t>
      </w: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sectPr w:rsidR="001A123D" w:rsidRPr="001A123D" w:rsidSect="00B07575">
          <w:footerReference w:type="default" r:id="rId73"/>
          <w:pgSz w:w="11906" w:h="16838"/>
          <w:pgMar w:top="1417" w:right="1417" w:bottom="1417" w:left="1417" w:header="708" w:footer="708" w:gutter="0"/>
          <w:cols w:space="708"/>
          <w:docGrid w:linePitch="360"/>
        </w:sectPr>
      </w:pPr>
    </w:p>
    <w:p w:rsidR="001A123D" w:rsidRPr="001A123D" w:rsidRDefault="001A123D" w:rsidP="001A123D">
      <w:pPr>
        <w:pStyle w:val="Nagwek1"/>
        <w:rPr>
          <w:rFonts w:asciiTheme="minorHAnsi" w:hAnsiTheme="minorHAnsi"/>
        </w:rPr>
      </w:pPr>
      <w:bookmarkStart w:id="76" w:name="_Toc399756353"/>
      <w:r w:rsidRPr="001A123D">
        <w:rPr>
          <w:rFonts w:asciiTheme="minorHAnsi" w:hAnsiTheme="minorHAnsi"/>
        </w:rPr>
        <w:lastRenderedPageBreak/>
        <w:t>Wizja rozwoju Miasta Legnicy</w:t>
      </w:r>
      <w:bookmarkEnd w:id="76"/>
    </w:p>
    <w:p w:rsidR="001A123D" w:rsidRDefault="001A123D" w:rsidP="001A123D">
      <w:pPr>
        <w:rPr>
          <w:rFonts w:asciiTheme="minorHAnsi" w:hAnsiTheme="minorHAnsi"/>
        </w:rPr>
      </w:pPr>
    </w:p>
    <w:p w:rsidR="00EE0EA2" w:rsidRPr="001A123D" w:rsidRDefault="00EE0EA2" w:rsidP="001A123D">
      <w:pPr>
        <w:rPr>
          <w:rFonts w:asciiTheme="minorHAnsi" w:hAnsiTheme="minorHAnsi"/>
        </w:rPr>
      </w:pPr>
    </w:p>
    <w:p w:rsidR="00EE0EA2" w:rsidRPr="00EE0EA2" w:rsidRDefault="00EE0EA2" w:rsidP="00EE0EA2">
      <w:pPr>
        <w:rPr>
          <w:rFonts w:asciiTheme="minorHAnsi" w:hAnsiTheme="minorHAnsi"/>
          <w:color w:val="1F4E79" w:themeColor="accent1" w:themeShade="80"/>
          <w:sz w:val="22"/>
        </w:rPr>
      </w:pPr>
      <w:r w:rsidRPr="00EE0EA2">
        <w:rPr>
          <w:noProof/>
          <w:lang w:eastAsia="pl-PL"/>
        </w:rPr>
        <mc:AlternateContent>
          <mc:Choice Requires="wps">
            <w:drawing>
              <wp:anchor distT="0" distB="0" distL="114300" distR="114300" simplePos="0" relativeHeight="251683840" behindDoc="0" locked="0" layoutInCell="1" allowOverlap="1" wp14:anchorId="325AB644" wp14:editId="5D0F0EFD">
                <wp:simplePos x="0" y="0"/>
                <wp:positionH relativeFrom="column">
                  <wp:posOffset>1365089</wp:posOffset>
                </wp:positionH>
                <wp:positionV relativeFrom="paragraph">
                  <wp:posOffset>104140</wp:posOffset>
                </wp:positionV>
                <wp:extent cx="4012442" cy="1201003"/>
                <wp:effectExtent l="0" t="0" r="0" b="0"/>
                <wp:wrapNone/>
                <wp:docPr id="51" name="pole tekstowe 5"/>
                <wp:cNvGraphicFramePr/>
                <a:graphic xmlns:a="http://schemas.openxmlformats.org/drawingml/2006/main">
                  <a:graphicData uri="http://schemas.microsoft.com/office/word/2010/wordprocessingShape">
                    <wps:wsp>
                      <wps:cNvSpPr txBox="1"/>
                      <wps:spPr>
                        <a:xfrm>
                          <a:off x="0" y="0"/>
                          <a:ext cx="4012442" cy="1201003"/>
                        </a:xfrm>
                        <a:prstGeom prst="rect">
                          <a:avLst/>
                        </a:prstGeom>
                        <a:noFill/>
                      </wps:spPr>
                      <wps:txbx>
                        <w:txbxContent>
                          <w:p w:rsidR="00A469F2" w:rsidRPr="00EE0EA2" w:rsidRDefault="00A469F2" w:rsidP="00EE0EA2">
                            <w:pPr>
                              <w:pStyle w:val="NormalnyWeb"/>
                              <w:spacing w:before="0" w:beforeAutospacing="0" w:after="0"/>
                              <w:rPr>
                                <w:sz w:val="10"/>
                              </w:rPr>
                            </w:pPr>
                            <w:r w:rsidRPr="00EE0EA2">
                              <w:rPr>
                                <w:rFonts w:asciiTheme="minorHAnsi" w:eastAsia="Calibri" w:hAnsi="Calibri" w:cs="Segoe UI"/>
                                <w:b/>
                                <w:bCs/>
                                <w:color w:val="ED7D31" w:themeColor="accent2"/>
                                <w:kern w:val="24"/>
                                <w:sz w:val="32"/>
                                <w:szCs w:val="64"/>
                              </w:rPr>
                              <w:t>LEGNICA</w:t>
                            </w:r>
                            <w:r w:rsidRPr="00EE0EA2">
                              <w:rPr>
                                <w:rFonts w:asciiTheme="minorHAnsi" w:eastAsia="Calibri" w:hAnsi="Calibri" w:cs="Segoe UI"/>
                                <w:b/>
                                <w:bCs/>
                                <w:color w:val="004993"/>
                                <w:kern w:val="24"/>
                                <w:sz w:val="32"/>
                                <w:szCs w:val="64"/>
                              </w:rPr>
                              <w:t xml:space="preserve"> </w:t>
                            </w:r>
                            <w:r w:rsidRPr="00EE0EA2">
                              <w:rPr>
                                <w:rFonts w:asciiTheme="minorHAnsi" w:eastAsia="Calibri" w:hAnsi="Calibri" w:cs="Segoe UI"/>
                                <w:color w:val="004993"/>
                                <w:kern w:val="24"/>
                                <w:sz w:val="32"/>
                                <w:szCs w:val="64"/>
                              </w:rPr>
                              <w:t>innowacyjnym,</w:t>
                            </w:r>
                            <w:r w:rsidRPr="00EE0EA2">
                              <w:rPr>
                                <w:rFonts w:asciiTheme="minorHAnsi" w:eastAsia="Calibri" w:hAnsi="Calibri" w:cs="Segoe UI"/>
                                <w:b/>
                                <w:bCs/>
                                <w:color w:val="004993"/>
                                <w:kern w:val="24"/>
                                <w:sz w:val="32"/>
                                <w:szCs w:val="64"/>
                              </w:rPr>
                              <w:t xml:space="preserve"> </w:t>
                            </w:r>
                            <w:r w:rsidRPr="00EE0EA2">
                              <w:rPr>
                                <w:rFonts w:asciiTheme="minorHAnsi" w:eastAsia="Calibri" w:hAnsi="Calibri" w:cs="Segoe UI"/>
                                <w:color w:val="004993"/>
                                <w:kern w:val="24"/>
                                <w:sz w:val="32"/>
                                <w:szCs w:val="64"/>
                              </w:rPr>
                              <w:t>regionalnym ośrodkiem wzrostu, kształtującym usługi administracji, nauki, zdrowia, kultury, sportu oraz turystyki w wymiarze ponadlokalnym.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e tekstowe 5" o:spid="_x0000_s1064" type="#_x0000_t202" style="position:absolute;left:0;text-align:left;margin-left:107.5pt;margin-top:8.2pt;width:315.95pt;height:9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4XmwEAAB0DAAAOAAAAZHJzL2Uyb0RvYy54bWysUk1v2zAMvQ/ofxB0b/yxdBiMOMW2or0M&#10;24BuP0CRqVioJKqSEjv/fpScpsN2G3qhJJJ6fI/k5na2hh0hRI2u582q5gycxEG7fc9//by//shZ&#10;TMINwqCDnp8g8tvt1bvN5DtocUQzQGAE4mI3+Z6PKfmuqqIcwYq4Qg+OggqDFYmeYV8NQUyEbk3V&#10;1vWHasIw+IASYiTv3RLk24KvFMj0XakIiZmeE7dUbCh2l2213YhuH4QftTzTEP/BwgrtqOgF6k4k&#10;wQ5B/wNltQwYUaWVRFuhUlpC0UBqmvovNY+j8FC0UHOiv7Qpvh2s/Hb8EZgeen7TcOaEpRl5NMAS&#10;PMWEE7Cb3KPJx45SHz0lp/kzzjTrF38kZ5Y+q2DzSaIYxanbp0uHYU5MknNdN+163XImKdZkyfX7&#10;jFO9fvchpgdAy/Kl54FGWDorjl9jWlJfUnI1h/famOzPHBcu+Zbm3Vx0tReiOxxOxH+iafc8Ph9E&#10;AM5CMl+wLMeC9umQUOlSKMMsf87oNINC9bwvech/vkvW61ZvfwMAAP//AwBQSwMEFAAGAAgAAAAh&#10;AJpNOdjeAAAACgEAAA8AAABkcnMvZG93bnJldi54bWxMj8tuwjAQRfeV+AdrKrErNiiJIMRBqBXb&#10;VqUPiZ2JhyRqPI5iQ9K/73TVLkfn6s65xW5ynbjhEFpPGpYLBQKp8ralWsP72+FhDSJEQ9Z0nlDD&#10;NwbYlbO7wuTWj/SKt2OsBZdQyI2GJsY+lzJUDToTFr5HYnbxgzORz6GWdjAjl7tOrpTKpDMt8YfG&#10;9PjYYPV1vDoNH8+X02eiXuonl/ajn5Qkt5Faz++n/RZExCn+heFXn9WhZKezv5INotOwWqa8JTLI&#10;EhAcWCfZBsSZiUpTkGUh/08ofwAAAP//AwBQSwECLQAUAAYACAAAACEAtoM4kv4AAADhAQAAEwAA&#10;AAAAAAAAAAAAAAAAAAAAW0NvbnRlbnRfVHlwZXNdLnhtbFBLAQItABQABgAIAAAAIQA4/SH/1gAA&#10;AJQBAAALAAAAAAAAAAAAAAAAAC8BAABfcmVscy8ucmVsc1BLAQItABQABgAIAAAAIQA9It4XmwEA&#10;AB0DAAAOAAAAAAAAAAAAAAAAAC4CAABkcnMvZTJvRG9jLnhtbFBLAQItABQABgAIAAAAIQCaTTnY&#10;3gAAAAoBAAAPAAAAAAAAAAAAAAAAAPUDAABkcnMvZG93bnJldi54bWxQSwUGAAAAAAQABADzAAAA&#10;AAUAAAAA&#10;" filled="f" stroked="f">
                <v:textbox>
                  <w:txbxContent>
                    <w:p w:rsidR="00960314" w:rsidRPr="00EE0EA2" w:rsidRDefault="00960314" w:rsidP="00EE0EA2">
                      <w:pPr>
                        <w:pStyle w:val="NormalnyWeb"/>
                        <w:spacing w:before="0" w:beforeAutospacing="0" w:after="0"/>
                        <w:rPr>
                          <w:sz w:val="10"/>
                        </w:rPr>
                      </w:pPr>
                      <w:r w:rsidRPr="00EE0EA2">
                        <w:rPr>
                          <w:rFonts w:asciiTheme="minorHAnsi" w:eastAsia="Calibri" w:hAnsi="Calibri" w:cs="Segoe UI"/>
                          <w:b/>
                          <w:bCs/>
                          <w:color w:val="ED7D31" w:themeColor="accent2"/>
                          <w:kern w:val="24"/>
                          <w:sz w:val="32"/>
                          <w:szCs w:val="64"/>
                        </w:rPr>
                        <w:t>LEGNICA</w:t>
                      </w:r>
                      <w:r w:rsidRPr="00EE0EA2">
                        <w:rPr>
                          <w:rFonts w:asciiTheme="minorHAnsi" w:eastAsia="Calibri" w:hAnsi="Calibri" w:cs="Segoe UI"/>
                          <w:b/>
                          <w:bCs/>
                          <w:color w:val="004993"/>
                          <w:kern w:val="24"/>
                          <w:sz w:val="32"/>
                          <w:szCs w:val="64"/>
                        </w:rPr>
                        <w:t xml:space="preserve"> </w:t>
                      </w:r>
                      <w:r w:rsidRPr="00EE0EA2">
                        <w:rPr>
                          <w:rFonts w:asciiTheme="minorHAnsi" w:eastAsia="Calibri" w:hAnsi="Calibri" w:cs="Segoe UI"/>
                          <w:color w:val="004993"/>
                          <w:kern w:val="24"/>
                          <w:sz w:val="32"/>
                          <w:szCs w:val="64"/>
                        </w:rPr>
                        <w:t>innowacyjnym,</w:t>
                      </w:r>
                      <w:r w:rsidRPr="00EE0EA2">
                        <w:rPr>
                          <w:rFonts w:asciiTheme="minorHAnsi" w:eastAsia="Calibri" w:hAnsi="Calibri" w:cs="Segoe UI"/>
                          <w:b/>
                          <w:bCs/>
                          <w:color w:val="004993"/>
                          <w:kern w:val="24"/>
                          <w:sz w:val="32"/>
                          <w:szCs w:val="64"/>
                        </w:rPr>
                        <w:t xml:space="preserve"> </w:t>
                      </w:r>
                      <w:r w:rsidRPr="00EE0EA2">
                        <w:rPr>
                          <w:rFonts w:asciiTheme="minorHAnsi" w:eastAsia="Calibri" w:hAnsi="Calibri" w:cs="Segoe UI"/>
                          <w:color w:val="004993"/>
                          <w:kern w:val="24"/>
                          <w:sz w:val="32"/>
                          <w:szCs w:val="64"/>
                        </w:rPr>
                        <w:t>regionalnym ośrodkiem wzrostu, kształtującym usługi administracji, nauki, zdrowia, kultury, sportu oraz turystyki w wymiarze ponadlokalnym.</w:t>
                      </w:r>
                    </w:p>
                  </w:txbxContent>
                </v:textbox>
              </v:shape>
            </w:pict>
          </mc:Fallback>
        </mc:AlternateContent>
      </w:r>
      <w:r>
        <w:rPr>
          <w:noProof/>
          <w:lang w:eastAsia="pl-PL"/>
        </w:rPr>
        <w:drawing>
          <wp:inline distT="0" distB="0" distL="0" distR="0" wp14:anchorId="25BEFA45" wp14:editId="2A93F44C">
            <wp:extent cx="1364776" cy="1400907"/>
            <wp:effectExtent l="0" t="0" r="6985" b="8890"/>
            <wp:docPr id="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rotWithShape="1">
                    <a:blip r:embed="rId74" cstate="print">
                      <a:extLst>
                        <a:ext uri="{28A0092B-C50C-407E-A947-70E740481C1C}">
                          <a14:useLocalDpi xmlns:a14="http://schemas.microsoft.com/office/drawing/2010/main" val="0"/>
                        </a:ext>
                      </a:extLst>
                    </a:blip>
                    <a:srcRect l="7377" t="17737" r="61479" b="16384"/>
                    <a:stretch/>
                  </pic:blipFill>
                  <pic:spPr>
                    <a:xfrm>
                      <a:off x="0" y="0"/>
                      <a:ext cx="1371111" cy="1407409"/>
                    </a:xfrm>
                    <a:prstGeom prst="rect">
                      <a:avLst/>
                    </a:prstGeom>
                  </pic:spPr>
                </pic:pic>
              </a:graphicData>
            </a:graphic>
          </wp:inline>
        </w:drawing>
      </w:r>
      <w:r w:rsidRPr="001A123D">
        <w:rPr>
          <w:rFonts w:asciiTheme="minorHAnsi" w:hAnsiTheme="minorHAnsi"/>
          <w:b/>
          <w:color w:val="FFFFFF" w:themeColor="background1"/>
          <w:sz w:val="32"/>
        </w:rPr>
        <w:t>ponadlokalnym”</w:t>
      </w:r>
    </w:p>
    <w:p w:rsidR="00EE0EA2" w:rsidRDefault="00EE0EA2" w:rsidP="001A123D">
      <w:pPr>
        <w:rPr>
          <w:rFonts w:asciiTheme="minorHAnsi" w:hAnsiTheme="minorHAnsi"/>
          <w:sz w:val="22"/>
        </w:rPr>
      </w:pPr>
    </w:p>
    <w:p w:rsidR="001A123D" w:rsidRPr="00B07575" w:rsidRDefault="001A123D" w:rsidP="001A123D">
      <w:pPr>
        <w:rPr>
          <w:rFonts w:asciiTheme="minorHAnsi" w:hAnsiTheme="minorHAnsi"/>
          <w:sz w:val="22"/>
        </w:rPr>
      </w:pPr>
      <w:r w:rsidRPr="00B07575">
        <w:rPr>
          <w:rFonts w:asciiTheme="minorHAnsi" w:hAnsiTheme="minorHAnsi"/>
          <w:sz w:val="22"/>
        </w:rPr>
        <w:t>Powyższe sformułowanie wizji rozwoju wynika z roli Legnicy, okre</w:t>
      </w:r>
      <w:r w:rsidR="00316E79">
        <w:rPr>
          <w:rFonts w:asciiTheme="minorHAnsi" w:hAnsiTheme="minorHAnsi"/>
          <w:sz w:val="22"/>
        </w:rPr>
        <w:t>ślonej na szczeblu centralnym i </w:t>
      </w:r>
      <w:r w:rsidRPr="00B07575">
        <w:rPr>
          <w:rFonts w:asciiTheme="minorHAnsi" w:hAnsiTheme="minorHAnsi"/>
          <w:sz w:val="22"/>
        </w:rPr>
        <w:t>wojewódzkim, jako regionalnego ośrodka wzrostu. Legnica ma być miastem, które poprzez swoją politykę rozwojową prowadzi do zrównoważonego rozwoju całego regionu, a w szczególności Legnicko-Głogow</w:t>
      </w:r>
      <w:r w:rsidR="00B05573">
        <w:rPr>
          <w:rFonts w:asciiTheme="minorHAnsi" w:hAnsiTheme="minorHAnsi"/>
          <w:sz w:val="22"/>
        </w:rPr>
        <w:t xml:space="preserve">skiego Obszaru Funkcjonalnego. </w:t>
      </w:r>
      <w:r w:rsidRPr="00B07575">
        <w:rPr>
          <w:rFonts w:asciiTheme="minorHAnsi" w:hAnsiTheme="minorHAnsi"/>
          <w:sz w:val="22"/>
        </w:rPr>
        <w:t>Ma być miastem wiodącym, zabezpieczającym potrzeby mieszkańców, umożliwiającym im dostęp do szeroko rozumianych usług publicznych, rynku pracy, edukacji, rozrywki i kultury, wskazującym kierunki i integrującym działania gmin LGOF.</w:t>
      </w:r>
    </w:p>
    <w:p w:rsidR="001A123D" w:rsidRPr="00B07575" w:rsidRDefault="001A123D" w:rsidP="001A123D">
      <w:pPr>
        <w:rPr>
          <w:rFonts w:asciiTheme="minorHAnsi" w:hAnsiTheme="minorHAnsi"/>
          <w:sz w:val="22"/>
        </w:rPr>
      </w:pPr>
    </w:p>
    <w:p w:rsidR="001A123D" w:rsidRPr="00B07575" w:rsidRDefault="001A123D" w:rsidP="001A123D">
      <w:pPr>
        <w:rPr>
          <w:rFonts w:asciiTheme="minorHAnsi" w:hAnsiTheme="minorHAnsi"/>
          <w:sz w:val="22"/>
        </w:rPr>
      </w:pPr>
      <w:r w:rsidRPr="00B07575">
        <w:rPr>
          <w:rFonts w:asciiTheme="minorHAnsi" w:hAnsiTheme="minorHAnsi"/>
          <w:sz w:val="22"/>
        </w:rPr>
        <w:t xml:space="preserve">Spełnienie tego nadrzędnego postulatu wizji warunkuje osiągnięcie </w:t>
      </w:r>
      <w:r w:rsidR="003F35F9">
        <w:rPr>
          <w:rFonts w:asciiTheme="minorHAnsi" w:hAnsiTheme="minorHAnsi"/>
          <w:sz w:val="22"/>
        </w:rPr>
        <w:t>9</w:t>
      </w:r>
      <w:r w:rsidRPr="00B07575">
        <w:rPr>
          <w:rFonts w:asciiTheme="minorHAnsi" w:hAnsiTheme="minorHAnsi"/>
          <w:sz w:val="22"/>
        </w:rPr>
        <w:t xml:space="preserve"> komplementarnych elementów wizji rozwoju. Elementy te obrazują jak w perspektywie około 10 lat ma wyglądać Legnica, jakim miastem chce być, jaki typ społeczeństwa chce budować, do jakich celów chce aspirować, na bazie jakich potencjałów chce umacniać swój kapitał rozwojowy i pozycję konkurencyjną.</w:t>
      </w:r>
    </w:p>
    <w:p w:rsidR="001A123D" w:rsidRPr="00B07575" w:rsidRDefault="001A123D" w:rsidP="001A123D">
      <w:pPr>
        <w:rPr>
          <w:rFonts w:asciiTheme="minorHAnsi" w:hAnsiTheme="minorHAnsi"/>
          <w:sz w:val="22"/>
        </w:rPr>
      </w:pPr>
    </w:p>
    <w:p w:rsidR="001A123D" w:rsidRPr="00B07575" w:rsidRDefault="00B05573" w:rsidP="001A123D">
      <w:pPr>
        <w:rPr>
          <w:rFonts w:asciiTheme="minorHAnsi" w:hAnsiTheme="minorHAnsi"/>
          <w:sz w:val="22"/>
        </w:rPr>
      </w:pPr>
      <w:r>
        <w:rPr>
          <w:rFonts w:asciiTheme="minorHAnsi" w:hAnsiTheme="minorHAnsi"/>
          <w:sz w:val="22"/>
        </w:rPr>
        <w:t>Wartości</w:t>
      </w:r>
      <w:r w:rsidR="001A123D" w:rsidRPr="00B07575">
        <w:rPr>
          <w:rFonts w:asciiTheme="minorHAnsi" w:hAnsiTheme="minorHAnsi"/>
          <w:sz w:val="22"/>
        </w:rPr>
        <w:t xml:space="preserve"> te zostały p</w:t>
      </w:r>
      <w:r>
        <w:rPr>
          <w:rFonts w:asciiTheme="minorHAnsi" w:hAnsiTheme="minorHAnsi"/>
          <w:sz w:val="22"/>
        </w:rPr>
        <w:t>rzedstawione poniżej. Do każdej</w:t>
      </w:r>
      <w:r w:rsidR="001A123D" w:rsidRPr="00B07575">
        <w:rPr>
          <w:rFonts w:asciiTheme="minorHAnsi" w:hAnsiTheme="minorHAnsi"/>
          <w:sz w:val="22"/>
        </w:rPr>
        <w:t xml:space="preserve"> z nich zostały dopasowane czynniki rozwojowe wypracowane na podstawie diagnozy oraz warsztatów strategicznych, które mogą mieć znaczący wpływ na powodzenie ich realizacji. Mocne strony stanowią potencjał, wypracowaną bazę, na której można budować nowy obraz miasta, szanse z kolei ukazują czynniki mogące przyśpieszyć, stymulować niektóre procesy rozwojowe lub niwelować posiadane niedoskonałości i bariery. Słabe strony ukazują obecne problemy i ograniczenia, których usunięcie jest niezbędne dla prawidłowego osiągnięcia zamierzonej wizji miasta. Zagrożenia obrazują zaś czynniki zewnętrzne, negatywne trendy</w:t>
      </w:r>
      <w:r w:rsidR="00055096">
        <w:rPr>
          <w:rFonts w:asciiTheme="minorHAnsi" w:hAnsiTheme="minorHAnsi"/>
          <w:sz w:val="22"/>
        </w:rPr>
        <w:t>,</w:t>
      </w:r>
      <w:r w:rsidR="001A123D" w:rsidRPr="00B07575">
        <w:rPr>
          <w:rFonts w:asciiTheme="minorHAnsi" w:hAnsiTheme="minorHAnsi"/>
          <w:sz w:val="22"/>
        </w:rPr>
        <w:t xml:space="preserve"> które mogą uniemożliwić urzeczywistnienie się zakładanego obrazu Legnicy. </w:t>
      </w:r>
    </w:p>
    <w:p w:rsidR="001A123D" w:rsidRPr="00B07575" w:rsidRDefault="001A123D" w:rsidP="001A123D">
      <w:pPr>
        <w:rPr>
          <w:rFonts w:asciiTheme="minorHAnsi" w:hAnsiTheme="minorHAnsi"/>
          <w:sz w:val="22"/>
        </w:rPr>
      </w:pPr>
    </w:p>
    <w:p w:rsidR="001A123D" w:rsidRPr="001A123D" w:rsidRDefault="001A123D" w:rsidP="008B02E3">
      <w:pPr>
        <w:tabs>
          <w:tab w:val="left" w:pos="4253"/>
          <w:tab w:val="left" w:pos="4395"/>
          <w:tab w:val="left" w:pos="4678"/>
        </w:tabs>
        <w:rPr>
          <w:rFonts w:asciiTheme="minorHAnsi" w:hAnsiTheme="minorHAnsi"/>
        </w:rPr>
      </w:pPr>
      <w:r w:rsidRPr="001A123D">
        <w:rPr>
          <w:rFonts w:asciiTheme="minorHAnsi" w:hAnsiTheme="minorHAnsi"/>
          <w:noProof/>
          <w:lang w:eastAsia="pl-PL"/>
        </w:rPr>
        <w:lastRenderedPageBreak/>
        <w:drawing>
          <wp:inline distT="0" distB="0" distL="0" distR="0" wp14:anchorId="090FC92D" wp14:editId="3DA5745A">
            <wp:extent cx="5648325" cy="4631376"/>
            <wp:effectExtent l="38100" t="0" r="85725" b="0"/>
            <wp:docPr id="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A123D" w:rsidRPr="001A123D" w:rsidRDefault="001A123D" w:rsidP="00A64671">
      <w:pPr>
        <w:tabs>
          <w:tab w:val="left" w:pos="4820"/>
        </w:tabs>
        <w:rPr>
          <w:rFonts w:asciiTheme="minorHAnsi" w:hAnsiTheme="minorHAnsi"/>
        </w:rPr>
      </w:pPr>
      <w:r w:rsidRPr="001A123D">
        <w:rPr>
          <w:rFonts w:asciiTheme="minorHAnsi" w:hAnsiTheme="minorHAnsi"/>
          <w:noProof/>
          <w:lang w:eastAsia="pl-PL"/>
        </w:rPr>
        <w:lastRenderedPageBreak/>
        <w:drawing>
          <wp:inline distT="0" distB="0" distL="0" distR="0" wp14:anchorId="0F6D7298" wp14:editId="74D1F926">
            <wp:extent cx="6043930" cy="8265226"/>
            <wp:effectExtent l="38100" t="0" r="1397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A123D" w:rsidRDefault="001A123D" w:rsidP="001A123D">
      <w:pPr>
        <w:rPr>
          <w:rFonts w:asciiTheme="minorHAnsi" w:hAnsiTheme="minorHAnsi"/>
        </w:rPr>
      </w:pPr>
    </w:p>
    <w:p w:rsidR="001A123D" w:rsidRDefault="001A123D" w:rsidP="003E2754">
      <w:pPr>
        <w:tabs>
          <w:tab w:val="left" w:pos="4253"/>
          <w:tab w:val="left" w:pos="4678"/>
        </w:tabs>
        <w:rPr>
          <w:rFonts w:asciiTheme="minorHAnsi" w:hAnsiTheme="minorHAnsi"/>
        </w:rPr>
      </w:pPr>
      <w:r w:rsidRPr="001A123D">
        <w:rPr>
          <w:rFonts w:asciiTheme="minorHAnsi" w:hAnsiTheme="minorHAnsi"/>
          <w:noProof/>
          <w:lang w:eastAsia="pl-PL"/>
        </w:rPr>
        <w:lastRenderedPageBreak/>
        <w:drawing>
          <wp:inline distT="0" distB="0" distL="0" distR="0" wp14:anchorId="36500F08" wp14:editId="385D72DC">
            <wp:extent cx="5486400" cy="3633850"/>
            <wp:effectExtent l="38100" t="19050" r="19050" b="24130"/>
            <wp:docPr id="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4E3C3C" w:rsidRDefault="004E3C3C" w:rsidP="003E2754">
      <w:pPr>
        <w:tabs>
          <w:tab w:val="left" w:pos="4253"/>
          <w:tab w:val="left" w:pos="4678"/>
        </w:tabs>
        <w:rPr>
          <w:rFonts w:asciiTheme="minorHAnsi" w:hAnsiTheme="minorHAnsi"/>
        </w:rPr>
      </w:pPr>
    </w:p>
    <w:p w:rsidR="004E3C3C" w:rsidRPr="001A123D" w:rsidRDefault="004E3C3C" w:rsidP="003E2754">
      <w:pPr>
        <w:tabs>
          <w:tab w:val="left" w:pos="4253"/>
          <w:tab w:val="left" w:pos="4678"/>
        </w:tabs>
        <w:rPr>
          <w:rFonts w:asciiTheme="minorHAnsi" w:hAnsiTheme="minorHAnsi"/>
        </w:rPr>
      </w:pPr>
    </w:p>
    <w:p w:rsidR="001A123D" w:rsidRPr="001A123D" w:rsidRDefault="001A123D" w:rsidP="001A123D">
      <w:pPr>
        <w:rPr>
          <w:rFonts w:asciiTheme="minorHAnsi" w:hAnsiTheme="minorHAnsi"/>
        </w:rPr>
      </w:pPr>
      <w:r w:rsidRPr="001A123D">
        <w:rPr>
          <w:rFonts w:asciiTheme="minorHAnsi" w:hAnsiTheme="minorHAnsi"/>
          <w:noProof/>
          <w:lang w:eastAsia="pl-PL"/>
        </w:rPr>
        <w:drawing>
          <wp:inline distT="0" distB="0" distL="0" distR="0" wp14:anchorId="740C2A4D" wp14:editId="11BFB7A6">
            <wp:extent cx="5486400" cy="4631376"/>
            <wp:effectExtent l="19050" t="0" r="19050" b="0"/>
            <wp:docPr id="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A123D" w:rsidRDefault="001A123D" w:rsidP="001A123D">
      <w:pPr>
        <w:rPr>
          <w:rFonts w:asciiTheme="minorHAnsi" w:hAnsiTheme="minorHAnsi"/>
        </w:rPr>
      </w:pPr>
      <w:r w:rsidRPr="001A123D">
        <w:rPr>
          <w:rFonts w:asciiTheme="minorHAnsi" w:hAnsiTheme="minorHAnsi"/>
          <w:noProof/>
          <w:lang w:eastAsia="pl-PL"/>
        </w:rPr>
        <w:lastRenderedPageBreak/>
        <w:drawing>
          <wp:inline distT="0" distB="0" distL="0" distR="0" wp14:anchorId="02F50F89" wp14:editId="0E619F0A">
            <wp:extent cx="5486400" cy="5314950"/>
            <wp:effectExtent l="19050" t="0" r="1905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01618F" w:rsidRPr="001A123D" w:rsidRDefault="0001618F" w:rsidP="001A123D">
      <w:pPr>
        <w:rPr>
          <w:rFonts w:asciiTheme="minorHAnsi" w:hAnsiTheme="minorHAnsi"/>
        </w:rPr>
      </w:pPr>
    </w:p>
    <w:p w:rsidR="001A123D" w:rsidRDefault="0001618F" w:rsidP="001A123D">
      <w:pPr>
        <w:rPr>
          <w:rFonts w:asciiTheme="minorHAnsi" w:hAnsiTheme="minorHAnsi"/>
        </w:rPr>
      </w:pPr>
      <w:r w:rsidRPr="001A123D">
        <w:rPr>
          <w:rFonts w:asciiTheme="minorHAnsi" w:hAnsiTheme="minorHAnsi"/>
          <w:noProof/>
          <w:lang w:eastAsia="pl-PL"/>
        </w:rPr>
        <w:lastRenderedPageBreak/>
        <w:drawing>
          <wp:inline distT="0" distB="0" distL="0" distR="0" wp14:anchorId="521EF2D0" wp14:editId="0855FE8A">
            <wp:extent cx="5505450" cy="4762005"/>
            <wp:effectExtent l="38100" t="0" r="0" b="0"/>
            <wp:docPr id="7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4E3C3C" w:rsidRDefault="004E3C3C" w:rsidP="001A123D">
      <w:pPr>
        <w:rPr>
          <w:rFonts w:asciiTheme="minorHAnsi" w:hAnsiTheme="minorHAnsi"/>
        </w:rPr>
      </w:pPr>
    </w:p>
    <w:p w:rsidR="004E3C3C" w:rsidRPr="001A123D" w:rsidRDefault="004E3C3C" w:rsidP="001A123D">
      <w:pPr>
        <w:rPr>
          <w:rFonts w:asciiTheme="minorHAnsi" w:hAnsiTheme="minorHAnsi"/>
        </w:rPr>
      </w:pPr>
    </w:p>
    <w:p w:rsidR="001A123D" w:rsidRPr="001A123D" w:rsidRDefault="001A123D" w:rsidP="001A123D">
      <w:pPr>
        <w:rPr>
          <w:rFonts w:asciiTheme="minorHAnsi" w:hAnsiTheme="minorHAnsi"/>
        </w:rPr>
      </w:pPr>
      <w:r w:rsidRPr="001A123D">
        <w:rPr>
          <w:rFonts w:asciiTheme="minorHAnsi" w:hAnsiTheme="minorHAnsi"/>
          <w:noProof/>
          <w:lang w:eastAsia="pl-PL"/>
        </w:rPr>
        <w:drawing>
          <wp:inline distT="0" distB="0" distL="0" distR="0" wp14:anchorId="6612B9F7" wp14:editId="77751DA8">
            <wp:extent cx="5664530" cy="3372485"/>
            <wp:effectExtent l="38100" t="19050" r="0" b="0"/>
            <wp:docPr id="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r w:rsidRPr="001A123D">
        <w:rPr>
          <w:rFonts w:asciiTheme="minorHAnsi" w:hAnsiTheme="minorHAnsi"/>
          <w:noProof/>
          <w:lang w:eastAsia="pl-PL"/>
        </w:rPr>
        <w:lastRenderedPageBreak/>
        <w:drawing>
          <wp:inline distT="0" distB="0" distL="0" distR="0" wp14:anchorId="62FFA992" wp14:editId="05192354">
            <wp:extent cx="5486400" cy="3686175"/>
            <wp:effectExtent l="38100" t="0" r="19050" b="9525"/>
            <wp:docPr id="6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1A123D" w:rsidRPr="001A123D" w:rsidRDefault="001A123D" w:rsidP="001A123D">
      <w:pPr>
        <w:rPr>
          <w:rFonts w:asciiTheme="minorHAnsi" w:hAnsiTheme="minorHAnsi"/>
        </w:rPr>
      </w:pPr>
    </w:p>
    <w:p w:rsidR="001A123D" w:rsidRPr="001A123D" w:rsidRDefault="001A123D" w:rsidP="001A123D">
      <w:pPr>
        <w:rPr>
          <w:rFonts w:asciiTheme="minorHAnsi" w:hAnsiTheme="minorHAnsi"/>
        </w:rPr>
      </w:pPr>
      <w:r w:rsidRPr="001A123D">
        <w:rPr>
          <w:rFonts w:asciiTheme="minorHAnsi" w:hAnsiTheme="minorHAnsi"/>
          <w:noProof/>
          <w:lang w:eastAsia="pl-PL"/>
        </w:rPr>
        <w:drawing>
          <wp:inline distT="0" distB="0" distL="0" distR="0" wp14:anchorId="306D0676" wp14:editId="619DB881">
            <wp:extent cx="5762625" cy="4714875"/>
            <wp:effectExtent l="247650" t="0" r="0" b="0"/>
            <wp:docPr id="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D05F91" w:rsidRDefault="008C1ADA" w:rsidP="008C1ADA">
      <w:pPr>
        <w:pStyle w:val="Nagwek1"/>
      </w:pPr>
      <w:bookmarkStart w:id="77" w:name="_Toc399756354"/>
      <w:r>
        <w:lastRenderedPageBreak/>
        <w:t>Cele s</w:t>
      </w:r>
      <w:r w:rsidR="00A73044">
        <w:t>trategiczne i główne wyzwania.</w:t>
      </w:r>
      <w:bookmarkEnd w:id="77"/>
    </w:p>
    <w:p w:rsidR="008C1ADA" w:rsidRDefault="008C1ADA" w:rsidP="008C1ADA"/>
    <w:p w:rsidR="00583CC7" w:rsidRDefault="00583CC7" w:rsidP="008C1ADA">
      <w:pPr>
        <w:rPr>
          <w:rFonts w:asciiTheme="minorHAnsi" w:hAnsiTheme="minorHAnsi"/>
          <w:sz w:val="22"/>
        </w:rPr>
      </w:pPr>
      <w:r>
        <w:rPr>
          <w:rFonts w:asciiTheme="minorHAnsi" w:hAnsiTheme="minorHAnsi"/>
          <w:sz w:val="22"/>
        </w:rPr>
        <w:t>Wartości wizji rozwoju Legnicy wskazują kierunek oczekiwanych zmian, a także</w:t>
      </w:r>
      <w:r w:rsidR="00282226">
        <w:rPr>
          <w:rFonts w:asciiTheme="minorHAnsi" w:hAnsiTheme="minorHAnsi"/>
          <w:sz w:val="22"/>
        </w:rPr>
        <w:t xml:space="preserve"> prz</w:t>
      </w:r>
      <w:r w:rsidR="00B05573">
        <w:rPr>
          <w:rFonts w:asciiTheme="minorHAnsi" w:hAnsiTheme="minorHAnsi"/>
          <w:sz w:val="22"/>
        </w:rPr>
        <w:t>e</w:t>
      </w:r>
      <w:r w:rsidR="00282226">
        <w:rPr>
          <w:rFonts w:asciiTheme="minorHAnsi" w:hAnsiTheme="minorHAnsi"/>
          <w:sz w:val="22"/>
        </w:rPr>
        <w:t>dstawiają</w:t>
      </w:r>
      <w:r>
        <w:rPr>
          <w:rFonts w:asciiTheme="minorHAnsi" w:hAnsiTheme="minorHAnsi"/>
          <w:sz w:val="22"/>
        </w:rPr>
        <w:t xml:space="preserve"> obraz miasta</w:t>
      </w:r>
      <w:r w:rsidR="00AC3F48">
        <w:rPr>
          <w:rFonts w:asciiTheme="minorHAnsi" w:hAnsiTheme="minorHAnsi"/>
          <w:sz w:val="22"/>
        </w:rPr>
        <w:t>,</w:t>
      </w:r>
      <w:r>
        <w:rPr>
          <w:rFonts w:asciiTheme="minorHAnsi" w:hAnsiTheme="minorHAnsi"/>
          <w:sz w:val="22"/>
        </w:rPr>
        <w:t xml:space="preserve"> jakim</w:t>
      </w:r>
      <w:r w:rsidR="0068428C">
        <w:rPr>
          <w:rFonts w:asciiTheme="minorHAnsi" w:hAnsiTheme="minorHAnsi"/>
          <w:sz w:val="22"/>
        </w:rPr>
        <w:t xml:space="preserve"> </w:t>
      </w:r>
      <w:r w:rsidR="00282226">
        <w:rPr>
          <w:rFonts w:asciiTheme="minorHAnsi" w:hAnsiTheme="minorHAnsi"/>
          <w:sz w:val="22"/>
        </w:rPr>
        <w:t xml:space="preserve">Legnica </w:t>
      </w:r>
      <w:r w:rsidR="0068428C">
        <w:rPr>
          <w:rFonts w:asciiTheme="minorHAnsi" w:hAnsiTheme="minorHAnsi"/>
          <w:sz w:val="22"/>
        </w:rPr>
        <w:t>w </w:t>
      </w:r>
      <w:r>
        <w:rPr>
          <w:rFonts w:asciiTheme="minorHAnsi" w:hAnsiTheme="minorHAnsi"/>
          <w:sz w:val="22"/>
        </w:rPr>
        <w:t>przyszłości powinna się stać.</w:t>
      </w:r>
      <w:r w:rsidR="00B05573">
        <w:rPr>
          <w:rFonts w:asciiTheme="minorHAnsi" w:hAnsiTheme="minorHAnsi"/>
          <w:sz w:val="22"/>
        </w:rPr>
        <w:t xml:space="preserve"> Zakres celów strategicznych stanowi konkretyzację przyjętych wartości wizji rozwoju, a także konkluzj</w:t>
      </w:r>
      <w:r w:rsidR="00055096">
        <w:rPr>
          <w:rFonts w:asciiTheme="minorHAnsi" w:hAnsiTheme="minorHAnsi"/>
          <w:sz w:val="22"/>
        </w:rPr>
        <w:t>i strategicznych</w:t>
      </w:r>
      <w:r w:rsidR="00AC3F48">
        <w:rPr>
          <w:rFonts w:asciiTheme="minorHAnsi" w:hAnsiTheme="minorHAnsi"/>
          <w:sz w:val="22"/>
        </w:rPr>
        <w:t>,</w:t>
      </w:r>
      <w:r w:rsidR="00055096">
        <w:rPr>
          <w:rFonts w:asciiTheme="minorHAnsi" w:hAnsiTheme="minorHAnsi"/>
          <w:sz w:val="22"/>
        </w:rPr>
        <w:t xml:space="preserve"> wynikających z </w:t>
      </w:r>
      <w:r w:rsidR="00B05573">
        <w:rPr>
          <w:rFonts w:asciiTheme="minorHAnsi" w:hAnsiTheme="minorHAnsi"/>
          <w:sz w:val="22"/>
        </w:rPr>
        <w:t>przeprowadzonych analiz stanu i</w:t>
      </w:r>
      <w:r w:rsidR="00055096">
        <w:rPr>
          <w:rFonts w:asciiTheme="minorHAnsi" w:hAnsiTheme="minorHAnsi"/>
          <w:sz w:val="22"/>
        </w:rPr>
        <w:t xml:space="preserve"> potencjału rozwojowego miasta. </w:t>
      </w:r>
      <w:r>
        <w:rPr>
          <w:rFonts w:asciiTheme="minorHAnsi" w:hAnsiTheme="minorHAnsi"/>
          <w:sz w:val="22"/>
        </w:rPr>
        <w:t xml:space="preserve">Osiągnięcie </w:t>
      </w:r>
      <w:r w:rsidR="00282226">
        <w:rPr>
          <w:rFonts w:asciiTheme="minorHAnsi" w:hAnsiTheme="minorHAnsi"/>
          <w:sz w:val="22"/>
        </w:rPr>
        <w:t xml:space="preserve">zamierzonego poziomu rozwoju </w:t>
      </w:r>
      <w:r>
        <w:rPr>
          <w:rFonts w:asciiTheme="minorHAnsi" w:hAnsiTheme="minorHAnsi"/>
          <w:sz w:val="22"/>
        </w:rPr>
        <w:t>społecznego, gospodarczego oraz przestrzennego miasta odpowia</w:t>
      </w:r>
      <w:r w:rsidR="00282226">
        <w:rPr>
          <w:rFonts w:asciiTheme="minorHAnsi" w:hAnsiTheme="minorHAnsi"/>
          <w:sz w:val="22"/>
        </w:rPr>
        <w:t>dającego</w:t>
      </w:r>
      <w:r w:rsidR="00AC3F48">
        <w:rPr>
          <w:rFonts w:asciiTheme="minorHAnsi" w:hAnsiTheme="minorHAnsi"/>
          <w:sz w:val="22"/>
        </w:rPr>
        <w:t>,</w:t>
      </w:r>
      <w:r w:rsidR="00282226">
        <w:rPr>
          <w:rFonts w:asciiTheme="minorHAnsi" w:hAnsiTheme="minorHAnsi"/>
          <w:sz w:val="22"/>
        </w:rPr>
        <w:t xml:space="preserve"> przyjętej wizji</w:t>
      </w:r>
      <w:r>
        <w:rPr>
          <w:rFonts w:asciiTheme="minorHAnsi" w:hAnsiTheme="minorHAnsi"/>
          <w:sz w:val="22"/>
        </w:rPr>
        <w:t xml:space="preserve"> będzie możliwe dzięki realizacji</w:t>
      </w:r>
      <w:r w:rsidR="008C1ADA">
        <w:rPr>
          <w:rFonts w:asciiTheme="minorHAnsi" w:hAnsiTheme="minorHAnsi"/>
          <w:sz w:val="22"/>
        </w:rPr>
        <w:t xml:space="preserve"> p</w:t>
      </w:r>
      <w:r w:rsidR="00981FAC">
        <w:rPr>
          <w:rFonts w:asciiTheme="minorHAnsi" w:hAnsiTheme="minorHAnsi"/>
          <w:sz w:val="22"/>
        </w:rPr>
        <w:t>ięciu celów strategicznych, takich jak:</w:t>
      </w:r>
    </w:p>
    <w:p w:rsidR="00E1625A" w:rsidRDefault="00E1625A" w:rsidP="008C1ADA">
      <w:pPr>
        <w:rPr>
          <w:rFonts w:asciiTheme="minorHAnsi" w:hAnsiTheme="minorHAnsi"/>
          <w:sz w:val="22"/>
        </w:rPr>
      </w:pPr>
    </w:p>
    <w:p w:rsidR="001B61A7" w:rsidRDefault="00E1625A" w:rsidP="008C1ADA">
      <w:pPr>
        <w:rPr>
          <w:rFonts w:asciiTheme="minorHAnsi" w:hAnsiTheme="minorHAnsi"/>
          <w:sz w:val="22"/>
        </w:rPr>
      </w:pPr>
      <w:r w:rsidRPr="00E1625A">
        <w:rPr>
          <w:noProof/>
          <w:lang w:eastAsia="pl-PL"/>
        </w:rPr>
        <mc:AlternateContent>
          <mc:Choice Requires="wps">
            <w:drawing>
              <wp:anchor distT="0" distB="0" distL="114300" distR="114300" simplePos="0" relativeHeight="251695104" behindDoc="0" locked="0" layoutInCell="1" allowOverlap="1" wp14:anchorId="7ABC0C52" wp14:editId="1B318F5E">
                <wp:simplePos x="0" y="0"/>
                <wp:positionH relativeFrom="column">
                  <wp:posOffset>3470267</wp:posOffset>
                </wp:positionH>
                <wp:positionV relativeFrom="paragraph">
                  <wp:posOffset>36739</wp:posOffset>
                </wp:positionV>
                <wp:extent cx="2214245" cy="1353787"/>
                <wp:effectExtent l="0" t="0" r="0" b="0"/>
                <wp:wrapNone/>
                <wp:docPr id="80" name="Prostokąt z rogami ściętymi po przekątnej 5"/>
                <wp:cNvGraphicFramePr/>
                <a:graphic xmlns:a="http://schemas.openxmlformats.org/drawingml/2006/main">
                  <a:graphicData uri="http://schemas.microsoft.com/office/word/2010/wordprocessingShape">
                    <wps:wsp>
                      <wps:cNvSpPr/>
                      <wps:spPr>
                        <a:xfrm>
                          <a:off x="0" y="0"/>
                          <a:ext cx="2214245" cy="1353787"/>
                        </a:xfrm>
                        <a:prstGeom prst="snip2DiagRect">
                          <a:avLst/>
                        </a:prstGeom>
                        <a:solidFill>
                          <a:schemeClr val="bg1">
                            <a:lumMod val="50000"/>
                          </a:schemeClr>
                        </a:solidFill>
                        <a:ln>
                          <a:noFill/>
                        </a:ln>
                      </wps:spPr>
                      <wps:style>
                        <a:lnRef idx="2">
                          <a:schemeClr val="accent2"/>
                        </a:lnRef>
                        <a:fillRef idx="1">
                          <a:schemeClr val="lt1"/>
                        </a:fillRef>
                        <a:effectRef idx="0">
                          <a:schemeClr val="accent2"/>
                        </a:effectRef>
                        <a:fontRef idx="minor">
                          <a:schemeClr val="dk1"/>
                        </a:fontRef>
                      </wps:style>
                      <wps:txbx>
                        <w:txbxContent>
                          <w:p w:rsidR="00A469F2" w:rsidRDefault="00A469F2" w:rsidP="00E1625A">
                            <w:pPr>
                              <w:pStyle w:val="NormalnyWeb"/>
                              <w:spacing w:before="0" w:beforeAutospacing="0" w:after="0"/>
                              <w:rPr>
                                <w:rFonts w:asciiTheme="minorHAnsi" w:hAnsi="Calibri" w:cstheme="minorBidi"/>
                                <w:b/>
                                <w:bCs/>
                                <w:i/>
                                <w:iCs/>
                                <w:color w:val="FFFFFF" w:themeColor="background1"/>
                                <w:kern w:val="24"/>
                                <w:szCs w:val="40"/>
                              </w:rPr>
                            </w:pPr>
                            <w:r w:rsidRPr="00E1625A">
                              <w:rPr>
                                <w:rFonts w:asciiTheme="minorHAnsi" w:hAnsi="Calibri" w:cstheme="minorBidi"/>
                                <w:b/>
                                <w:bCs/>
                                <w:color w:val="FFFFFF" w:themeColor="background1"/>
                                <w:kern w:val="24"/>
                                <w:szCs w:val="40"/>
                              </w:rPr>
                              <w:t xml:space="preserve">Cel strategiczny II - </w:t>
                            </w:r>
                            <w:r w:rsidRPr="00E1625A">
                              <w:rPr>
                                <w:rFonts w:asciiTheme="minorHAnsi" w:hAnsi="Calibri" w:cstheme="minorBidi"/>
                                <w:b/>
                                <w:bCs/>
                                <w:i/>
                                <w:iCs/>
                                <w:color w:val="FFFFFF" w:themeColor="background1"/>
                                <w:kern w:val="24"/>
                                <w:szCs w:val="40"/>
                              </w:rPr>
                              <w:t>Wzrost znaczenia Legnicy jako regionalnego ośrodka edukacji, kultury, turystyki</w:t>
                            </w:r>
                          </w:p>
                          <w:p w:rsidR="00A469F2" w:rsidRPr="00E1625A" w:rsidRDefault="00A469F2" w:rsidP="00E1625A">
                            <w:pPr>
                              <w:pStyle w:val="NormalnyWeb"/>
                              <w:spacing w:before="0" w:beforeAutospacing="0" w:after="0"/>
                              <w:rPr>
                                <w:rFonts w:asciiTheme="minorHAnsi" w:hAnsi="Calibri" w:cstheme="minorBidi"/>
                                <w:b/>
                                <w:bCs/>
                                <w:i/>
                                <w:iCs/>
                                <w:color w:val="FFFFFF" w:themeColor="background1"/>
                                <w:kern w:val="24"/>
                                <w:szCs w:val="40"/>
                              </w:rPr>
                            </w:pPr>
                            <w:r w:rsidRPr="00E1625A">
                              <w:rPr>
                                <w:rFonts w:asciiTheme="minorHAnsi" w:hAnsi="Calibri" w:cstheme="minorBidi"/>
                                <w:b/>
                                <w:bCs/>
                                <w:i/>
                                <w:iCs/>
                                <w:color w:val="FFFFFF" w:themeColor="background1"/>
                                <w:kern w:val="24"/>
                                <w:szCs w:val="40"/>
                              </w:rPr>
                              <w:t xml:space="preserve">i sportu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5" o:spid="_x0000_s1065" style="position:absolute;left:0;text-align:left;margin-left:273.25pt;margin-top:2.9pt;width:174.35pt;height:10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245,1353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9jPgIAAKwEAAAOAAAAZHJzL2Uyb0RvYy54bWysVNtu0zAYvkfiHazc0xy2sqpqOqFV44ZD&#10;tcEDuI6TmNn+je026e55CMTrjPfit5OlMJCQEL1wffi/7/uPWV32SpIDt06ALpN8liWEawaV0E2Z&#10;fPxw/WKREOeprqgEzcvkyF1yuX7+bNWZJS+gBVlxS5BEu2VnyqT13izT1LGWK+pmYLjGxxqsoh6P&#10;tkkrSztkVzItsuxl2oGtjAXGncPbzfCYrCN/XXPm39e1457IMkHffFxtXHdhTdcrumwsNa1goxv0&#10;H7xQVGgUnag21FOyt+I3KiWYBQe1nzFQKdS1YDzGgNHk2ZNobltqeIwFk+PMlCb3/2jZu8PWElGV&#10;yQLTo6nCGm3RQw93D188uScWGqoE+f6NiYev/ohbA8TYex7eNf9E5iGHnXFLpLo1WzueHG5DQvra&#10;qvCPoZI+5v045Z33njC8LIr8vDifJ4ThW342P7tYXATW9AQ31vnXHBRKOyyi08IUG0GbG6xwTDw9&#10;vHF+wDzaBlkHUlTXQsp4CF3Fr6QlB4r9sGvyCJV79Raq4W6e4W/Ujk0YzKMnvzBJHfg0BOZBNNyk&#10;IQ1D4HHnj5IHO6lveI1JDqFGxYl5EKWMce2LUTZaB1iN5BNwcPUJUPp8BI22AcZj20/A7O+KEyKq&#10;gvYTWAkN9k8E1d2kPNg/Rj/EHML3/a6PnVXEyMLVDqojtluH84Y1/LynlifEenkFw3hSzVrA6WR+&#10;ENXwau+hFrGwJ4JRC0ciVmYc3zBzP5+j1ekjs/4BAAD//wMAUEsDBBQABgAIAAAAIQAuZupA4QAA&#10;AAkBAAAPAAAAZHJzL2Rvd25yZXYueG1sTI9BS8NAEIXvgv9hGcGb3SSYksZsilREvAimInjbZqdJ&#10;NDsbstsm7a93PNXbPN7jzfeK9Wx7ccTRd44UxIsIBFLtTEeNgo/t810GwgdNRveOUMEJPazL66tC&#10;58ZN9I7HKjSCS8jnWkEbwpBL6esWrfYLNyCxt3ej1YHl2Egz6onLbS+TKFpKqzviD60ecNNi/VMd&#10;rIL95ryNP7/PU+ZfX2z95aq37umk1O3N/PgAIuAcLmH4w2d0KJlp5w5kvOgVpPfLlKN88AL2s1Wa&#10;gNgpSOJVBLIs5P8F5S8AAAD//wMAUEsBAi0AFAAGAAgAAAAhALaDOJL+AAAA4QEAABMAAAAAAAAA&#10;AAAAAAAAAAAAAFtDb250ZW50X1R5cGVzXS54bWxQSwECLQAUAAYACAAAACEAOP0h/9YAAACUAQAA&#10;CwAAAAAAAAAAAAAAAAAvAQAAX3JlbHMvLnJlbHNQSwECLQAUAAYACAAAACEAn7+/Yz4CAACsBAAA&#10;DgAAAAAAAAAAAAAAAAAuAgAAZHJzL2Uyb0RvYy54bWxQSwECLQAUAAYACAAAACEALmbqQOEAAAAJ&#10;AQAADwAAAAAAAAAAAAAAAACYBAAAZHJzL2Rvd25yZXYueG1sUEsFBgAAAAAEAAQA8wAAAKYFAAAA&#10;AA==&#10;" adj="-11796480,,5400" path="m,l1988609,r225636,225636l2214245,1353787r,l225636,1353787,,1128151,,xe" fillcolor="#7f7f7f [1612]" stroked="f" strokeweight="1pt">
                <v:stroke joinstyle="miter"/>
                <v:formulas/>
                <v:path arrowok="t" o:connecttype="custom" o:connectlocs="0,0;1988609,0;2214245,225636;2214245,1353787;2214245,1353787;225636,1353787;0,1128151;0,0" o:connectangles="0,0,0,0,0,0,0,0" textboxrect="0,0,2214245,1353787"/>
                <v:textbox>
                  <w:txbxContent>
                    <w:p w:rsidR="00960314" w:rsidRDefault="00960314" w:rsidP="00E1625A">
                      <w:pPr>
                        <w:pStyle w:val="NormalnyWeb"/>
                        <w:spacing w:before="0" w:beforeAutospacing="0" w:after="0"/>
                        <w:rPr>
                          <w:rFonts w:asciiTheme="minorHAnsi" w:hAnsi="Calibri" w:cstheme="minorBidi"/>
                          <w:b/>
                          <w:bCs/>
                          <w:i/>
                          <w:iCs/>
                          <w:color w:val="FFFFFF" w:themeColor="background1"/>
                          <w:kern w:val="24"/>
                          <w:szCs w:val="40"/>
                        </w:rPr>
                      </w:pPr>
                      <w:r w:rsidRPr="00E1625A">
                        <w:rPr>
                          <w:rFonts w:asciiTheme="minorHAnsi" w:hAnsi="Calibri" w:cstheme="minorBidi"/>
                          <w:b/>
                          <w:bCs/>
                          <w:color w:val="FFFFFF" w:themeColor="background1"/>
                          <w:kern w:val="24"/>
                          <w:szCs w:val="40"/>
                        </w:rPr>
                        <w:t xml:space="preserve">Cel strategiczny II - </w:t>
                      </w:r>
                      <w:r w:rsidRPr="00E1625A">
                        <w:rPr>
                          <w:rFonts w:asciiTheme="minorHAnsi" w:hAnsi="Calibri" w:cstheme="minorBidi"/>
                          <w:b/>
                          <w:bCs/>
                          <w:i/>
                          <w:iCs/>
                          <w:color w:val="FFFFFF" w:themeColor="background1"/>
                          <w:kern w:val="24"/>
                          <w:szCs w:val="40"/>
                        </w:rPr>
                        <w:t>Wzrost znaczenia Legnicy jako regionalnego ośrodka edukacji, kultury, turystyki</w:t>
                      </w:r>
                    </w:p>
                    <w:p w:rsidR="00960314" w:rsidRPr="00E1625A" w:rsidRDefault="00960314" w:rsidP="00E1625A">
                      <w:pPr>
                        <w:pStyle w:val="NormalnyWeb"/>
                        <w:spacing w:before="0" w:beforeAutospacing="0" w:after="0"/>
                        <w:rPr>
                          <w:rFonts w:asciiTheme="minorHAnsi" w:hAnsi="Calibri" w:cstheme="minorBidi"/>
                          <w:b/>
                          <w:bCs/>
                          <w:i/>
                          <w:iCs/>
                          <w:color w:val="FFFFFF" w:themeColor="background1"/>
                          <w:kern w:val="24"/>
                          <w:szCs w:val="40"/>
                        </w:rPr>
                      </w:pPr>
                      <w:r w:rsidRPr="00E1625A">
                        <w:rPr>
                          <w:rFonts w:asciiTheme="minorHAnsi" w:hAnsi="Calibri" w:cstheme="minorBidi"/>
                          <w:b/>
                          <w:bCs/>
                          <w:i/>
                          <w:iCs/>
                          <w:color w:val="FFFFFF" w:themeColor="background1"/>
                          <w:kern w:val="24"/>
                          <w:szCs w:val="40"/>
                        </w:rPr>
                        <w:t xml:space="preserve">i sportu </w:t>
                      </w:r>
                    </w:p>
                  </w:txbxContent>
                </v:textbox>
              </v:shape>
            </w:pict>
          </mc:Fallback>
        </mc:AlternateContent>
      </w:r>
      <w:r w:rsidRPr="00E1625A">
        <w:rPr>
          <w:noProof/>
          <w:lang w:eastAsia="pl-PL"/>
        </w:rPr>
        <mc:AlternateContent>
          <mc:Choice Requires="wps">
            <w:drawing>
              <wp:anchor distT="0" distB="0" distL="114300" distR="114300" simplePos="0" relativeHeight="251688960" behindDoc="0" locked="0" layoutInCell="1" allowOverlap="1" wp14:anchorId="5755BA13" wp14:editId="0ED05C32">
                <wp:simplePos x="0" y="0"/>
                <wp:positionH relativeFrom="column">
                  <wp:posOffset>25985</wp:posOffset>
                </wp:positionH>
                <wp:positionV relativeFrom="paragraph">
                  <wp:posOffset>33886</wp:posOffset>
                </wp:positionV>
                <wp:extent cx="2214698" cy="1303540"/>
                <wp:effectExtent l="0" t="0" r="0" b="0"/>
                <wp:wrapNone/>
                <wp:docPr id="65" name="Prostokąt z rogami ściętymi po przekątnej 4"/>
                <wp:cNvGraphicFramePr/>
                <a:graphic xmlns:a="http://schemas.openxmlformats.org/drawingml/2006/main">
                  <a:graphicData uri="http://schemas.microsoft.com/office/word/2010/wordprocessingShape">
                    <wps:wsp>
                      <wps:cNvSpPr/>
                      <wps:spPr>
                        <a:xfrm>
                          <a:off x="0" y="0"/>
                          <a:ext cx="2214698" cy="1303540"/>
                        </a:xfrm>
                        <a:prstGeom prst="snip2DiagRect">
                          <a:avLst/>
                        </a:prstGeom>
                        <a:solidFill>
                          <a:srgbClr val="FF0000"/>
                        </a:solidFill>
                        <a:ln>
                          <a:noFill/>
                        </a:ln>
                      </wps:spPr>
                      <wps:style>
                        <a:lnRef idx="2">
                          <a:schemeClr val="accent2"/>
                        </a:lnRef>
                        <a:fillRef idx="1">
                          <a:schemeClr val="lt1"/>
                        </a:fillRef>
                        <a:effectRef idx="0">
                          <a:schemeClr val="accent2"/>
                        </a:effectRef>
                        <a:fontRef idx="minor">
                          <a:schemeClr val="dk1"/>
                        </a:fontRef>
                      </wps:style>
                      <wps:txbx>
                        <w:txbxContent>
                          <w:p w:rsidR="00A469F2" w:rsidRPr="00E1625A" w:rsidRDefault="00A469F2"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I  - </w:t>
                            </w:r>
                            <w:r w:rsidRPr="00E1625A">
                              <w:rPr>
                                <w:rFonts w:asciiTheme="minorHAnsi" w:hAnsi="Calibri" w:cstheme="minorBidi"/>
                                <w:b/>
                                <w:bCs/>
                                <w:i/>
                                <w:iCs/>
                                <w:color w:val="FFFFFF" w:themeColor="background1"/>
                                <w:kern w:val="24"/>
                              </w:rPr>
                              <w:t>Rozwój nowoczesnej gospodarki opartej na innowacjach oraz podnoszenie atrakcyjności inwestycyjnej Miasta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4" o:spid="_x0000_s1066" style="position:absolute;left:0;text-align:left;margin-left:2.05pt;margin-top:2.65pt;width:174.4pt;height:10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698,130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UhNAIAAIkEAAAOAAAAZHJzL2Uyb0RvYy54bWysVMuO0zAU3SPxD1b2NI92KqjajtBUZYOg&#10;moEPcB0nMWP7Gttt0tnzEYjfGf6LayeTMtAVogvXj3vuuec+srzulCRHbp0AvUrySZYQrhmUQter&#10;5POn7avXCXGe6pJK0HyVnLhLrtcvXyxbs+AFNCBLbgk60W7RmlXSeG8WaepYwxV1EzBc42MFVlGP&#10;R1unpaUtelcyLbJsnrZgS2OBcefwdtM/Juvov6o48x+rynFP5CrB2HxcbVz3YU3XS7qoLTWNYEMY&#10;9B+iUFRoJB1dbain5GDFX66UYBYcVH7CQKVQVYLxqAHV5Nkfau4aanjUgslxZkyT+39u2YfjzhJR&#10;rpL5VUI0VVijHUbo4f7xmycPxEJNlSA/fzDx+N2fcGuAGPvAw7vmX8gs5LA1boGu7szODieH25CQ&#10;rrIq/KNU0sW8n8a8884ThpdFkc/mb7BTGL7l02x6NYuVSc9wY51/x0EhtcMiOi1MsRG0vsUKx8TT&#10;43vnkRsxT7aB1oEU5VZIGQ+23t9IS44Uu2G7zfAXgkfIMzOpg7GGAOufw00aNPaq4s6fJA92Ut/y&#10;CjMYdMRIYu/ykYcyxrUvBqJoHWAVOh+B+SWg9PkAGmwDjMeeHoHZJeBzxhERWUH7EayEBnvJQXk/&#10;Mvf2T+p7zUG+7/ZdbJtiGoIMV3soT9hLLQ4TFujrgVqeEOvlDfSzRzVrAEeP+Z5Uw9uDh0rEqp0d&#10;DFzY77Eyw2yGgfr9HK3OX5D1LwAAAP//AwBQSwMEFAAGAAgAAAAhABjtPIfcAAAABwEAAA8AAABk&#10;cnMvZG93bnJldi54bWxMjk1Lw0AURfeC/2F4gjs7+WiLjZkUFVwKthW6fU1ek2DmTchM0uiv97my&#10;y8u9nHvy7Ww7NdHgW8cG4kUEirh0Vcu1gc/D28MjKB+QK+wck4Fv8rAtbm9yzCp34R1N+1ArgbDP&#10;0EATQp9p7cuGLPqF64mlO7vBYpA41Loa8CJw2+kkitbaYsvy0GBPrw2VX/vRGlidd1P6gqOe5uOP&#10;dYeP43Lznhpzfzc/P4EKNIf/MfzpizoU4nRyI1dedQaWsQwFlYKSNl0lG1AnA0kcrUEXub72L34B&#10;AAD//wMAUEsBAi0AFAAGAAgAAAAhALaDOJL+AAAA4QEAABMAAAAAAAAAAAAAAAAAAAAAAFtDb250&#10;ZW50X1R5cGVzXS54bWxQSwECLQAUAAYACAAAACEAOP0h/9YAAACUAQAACwAAAAAAAAAAAAAAAAAv&#10;AQAAX3JlbHMvLnJlbHNQSwECLQAUAAYACAAAACEA88IlITQCAACJBAAADgAAAAAAAAAAAAAAAAAu&#10;AgAAZHJzL2Uyb0RvYy54bWxQSwECLQAUAAYACAAAACEAGO08h9wAAAAHAQAADwAAAAAAAAAAAAAA&#10;AACOBAAAZHJzL2Rvd25yZXYueG1sUEsFBgAAAAAEAAQA8wAAAJcFAAAAAA==&#10;" adj="-11796480,,5400" path="m,l1997437,r217261,217261l2214698,1303540r,l217261,1303540,,1086279,,xe" fillcolor="red" stroked="f" strokeweight="1pt">
                <v:stroke joinstyle="miter"/>
                <v:formulas/>
                <v:path arrowok="t" o:connecttype="custom" o:connectlocs="0,0;1997437,0;2214698,217261;2214698,1303540;2214698,1303540;217261,1303540;0,1086279;0,0" o:connectangles="0,0,0,0,0,0,0,0" textboxrect="0,0,2214698,1303540"/>
                <v:textbox>
                  <w:txbxContent>
                    <w:p w:rsidR="00960314" w:rsidRPr="00E1625A" w:rsidRDefault="00960314"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I  - </w:t>
                      </w:r>
                      <w:r w:rsidRPr="00E1625A">
                        <w:rPr>
                          <w:rFonts w:asciiTheme="minorHAnsi" w:hAnsi="Calibri" w:cstheme="minorBidi"/>
                          <w:b/>
                          <w:bCs/>
                          <w:i/>
                          <w:iCs/>
                          <w:color w:val="FFFFFF" w:themeColor="background1"/>
                          <w:kern w:val="24"/>
                        </w:rPr>
                        <w:t>Rozwój nowoczesnej gospodarki opartej na innowacjach oraz podnoszenie atrakcyjności inwestycyjnej Miasta</w:t>
                      </w:r>
                    </w:p>
                  </w:txbxContent>
                </v:textbox>
              </v:shape>
            </w:pict>
          </mc:Fallback>
        </mc:AlternateContent>
      </w:r>
    </w:p>
    <w:p w:rsidR="00E1625A" w:rsidRDefault="00981FAC" w:rsidP="00E1625A">
      <w:pPr>
        <w:rPr>
          <w:rFonts w:asciiTheme="minorHAnsi" w:hAnsiTheme="minorHAnsi"/>
          <w:sz w:val="22"/>
        </w:rPr>
      </w:pPr>
      <w:r w:rsidRPr="00E1625A">
        <w:rPr>
          <w:rFonts w:asciiTheme="minorHAnsi" w:hAnsiTheme="minorHAnsi"/>
          <w:sz w:val="22"/>
        </w:rPr>
        <w:t xml:space="preserve"> </w:t>
      </w:r>
    </w:p>
    <w:p w:rsidR="00E1625A" w:rsidRDefault="00E1625A" w:rsidP="00E1625A">
      <w:pPr>
        <w:rPr>
          <w:rFonts w:asciiTheme="minorHAnsi" w:hAnsiTheme="minorHAnsi"/>
          <w:sz w:val="22"/>
        </w:rPr>
      </w:pPr>
    </w:p>
    <w:p w:rsidR="00E1625A" w:rsidRDefault="00E1625A" w:rsidP="00E1625A">
      <w:pPr>
        <w:rPr>
          <w:rFonts w:asciiTheme="minorHAnsi" w:hAnsiTheme="minorHAnsi"/>
          <w:sz w:val="22"/>
        </w:rPr>
      </w:pPr>
    </w:p>
    <w:p w:rsidR="00E1625A" w:rsidRDefault="00E1625A" w:rsidP="00E1625A">
      <w:pPr>
        <w:rPr>
          <w:rFonts w:asciiTheme="minorHAnsi" w:hAnsiTheme="minorHAnsi"/>
          <w:sz w:val="22"/>
        </w:rPr>
      </w:pPr>
    </w:p>
    <w:p w:rsidR="00E1625A" w:rsidRDefault="00E1625A" w:rsidP="00E1625A">
      <w:pPr>
        <w:rPr>
          <w:rFonts w:asciiTheme="minorHAnsi" w:hAnsiTheme="minorHAnsi"/>
          <w:sz w:val="22"/>
        </w:rPr>
      </w:pPr>
      <w:r w:rsidRPr="00E1625A">
        <w:rPr>
          <w:noProof/>
          <w:lang w:eastAsia="pl-PL"/>
        </w:rPr>
        <mc:AlternateContent>
          <mc:Choice Requires="wps">
            <w:drawing>
              <wp:anchor distT="0" distB="0" distL="114300" distR="114300" simplePos="0" relativeHeight="251691008" behindDoc="0" locked="0" layoutInCell="1" allowOverlap="1" wp14:anchorId="6A6DB637" wp14:editId="0DF443D6">
                <wp:simplePos x="0" y="0"/>
                <wp:positionH relativeFrom="column">
                  <wp:posOffset>1759989</wp:posOffset>
                </wp:positionH>
                <wp:positionV relativeFrom="paragraph">
                  <wp:posOffset>152350</wp:posOffset>
                </wp:positionV>
                <wp:extent cx="2214698" cy="1304996"/>
                <wp:effectExtent l="0" t="0" r="0" b="9525"/>
                <wp:wrapNone/>
                <wp:docPr id="67" name="Prostokąt z rogami ściętymi po przekątnej 6"/>
                <wp:cNvGraphicFramePr/>
                <a:graphic xmlns:a="http://schemas.openxmlformats.org/drawingml/2006/main">
                  <a:graphicData uri="http://schemas.microsoft.com/office/word/2010/wordprocessingShape">
                    <wps:wsp>
                      <wps:cNvSpPr/>
                      <wps:spPr>
                        <a:xfrm>
                          <a:off x="0" y="0"/>
                          <a:ext cx="2214698" cy="1304996"/>
                        </a:xfrm>
                        <a:prstGeom prst="snip2DiagRect">
                          <a:avLst/>
                        </a:prstGeom>
                        <a:solidFill>
                          <a:srgbClr val="FFC000"/>
                        </a:solidFill>
                        <a:ln>
                          <a:noFill/>
                        </a:ln>
                      </wps:spPr>
                      <wps:style>
                        <a:lnRef idx="2">
                          <a:schemeClr val="accent2"/>
                        </a:lnRef>
                        <a:fillRef idx="1">
                          <a:schemeClr val="lt1"/>
                        </a:fillRef>
                        <a:effectRef idx="0">
                          <a:schemeClr val="accent2"/>
                        </a:effectRef>
                        <a:fontRef idx="minor">
                          <a:schemeClr val="dk1"/>
                        </a:fontRef>
                      </wps:style>
                      <wps:txbx>
                        <w:txbxContent>
                          <w:p w:rsidR="00A469F2" w:rsidRDefault="00A469F2" w:rsidP="00E1625A">
                            <w:pPr>
                              <w:pStyle w:val="NormalnyWeb"/>
                              <w:spacing w:before="0" w:beforeAutospacing="0" w:after="0"/>
                              <w:rPr>
                                <w:rFonts w:asciiTheme="minorHAnsi" w:hAnsi="Calibri" w:cstheme="minorBidi"/>
                                <w:b/>
                                <w:bCs/>
                                <w:i/>
                                <w:iCs/>
                                <w:color w:val="FFFFFF" w:themeColor="background1"/>
                                <w:kern w:val="24"/>
                              </w:rPr>
                            </w:pPr>
                            <w:r w:rsidRPr="00E1625A">
                              <w:rPr>
                                <w:rFonts w:asciiTheme="minorHAnsi" w:hAnsi="Calibri" w:cstheme="minorBidi"/>
                                <w:b/>
                                <w:bCs/>
                                <w:color w:val="FFFFFF" w:themeColor="background1"/>
                                <w:kern w:val="24"/>
                              </w:rPr>
                              <w:t xml:space="preserve">Cel strategiczny III - </w:t>
                            </w:r>
                            <w:r w:rsidRPr="00E1625A">
                              <w:rPr>
                                <w:rFonts w:asciiTheme="minorHAnsi" w:hAnsi="Calibri" w:cstheme="minorBidi"/>
                                <w:b/>
                                <w:bCs/>
                                <w:i/>
                                <w:iCs/>
                                <w:color w:val="FFFFFF" w:themeColor="background1"/>
                                <w:kern w:val="24"/>
                              </w:rPr>
                              <w:t>Poprawa jakości</w:t>
                            </w:r>
                          </w:p>
                          <w:p w:rsidR="00A469F2" w:rsidRPr="00E1625A" w:rsidRDefault="00A469F2" w:rsidP="00E1625A">
                            <w:pPr>
                              <w:pStyle w:val="NormalnyWeb"/>
                              <w:spacing w:before="0" w:beforeAutospacing="0" w:after="0"/>
                            </w:pPr>
                            <w:r w:rsidRPr="00E1625A">
                              <w:rPr>
                                <w:rFonts w:asciiTheme="minorHAnsi" w:hAnsi="Calibri" w:cstheme="minorBidi"/>
                                <w:b/>
                                <w:bCs/>
                                <w:i/>
                                <w:iCs/>
                                <w:color w:val="FFFFFF" w:themeColor="background1"/>
                                <w:kern w:val="24"/>
                              </w:rPr>
                              <w:t>i warunków życia Legniczan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6" o:spid="_x0000_s1067" style="position:absolute;left:0;text-align:left;margin-left:138.6pt;margin-top:12pt;width:174.4pt;height:10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698,1304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nxNgIAAIkEAAAOAAAAZHJzL2Uyb0RvYy54bWysVMuO0zAU3SPxD1b2NA+qQqumI9SqbBCM&#10;ZuADXMdJzNi+xnbbdPZ8BOJ3Zv6LayfNMNAVYuP4cc85PvdeZ3nVKUkO3DoBukzySZYQrhlUQjdl&#10;8uXz9tXbhDhPdUUlaF4mJ+6Sq9XLF8ujWfACWpAVtwRJtFscTZm03ptFmjrWckXdBAzXeFiDVdTj&#10;0jZpZekR2ZVMiyybpUewlbHAuHO4u+kPk1Xkr2vO/Ke6dtwTWSZ4Nx9HG8ddGNPVki4aS00r2HAN&#10;+g+3UFRoFB2pNtRTsrfiLyolmAUHtZ8wUCnUtWA8ekA3efaHm9uWGh69YHKcGdPk/h8t+3i4tkRU&#10;ZTJ7kxBNFdboGm/o4e7huyf3xEJDlSCPP5l4+OFPODVAjL3n4Vzzr2QWcng0boFUt+baDiuH05CQ&#10;rrYqfNEq6WLeT2PeeecJw82iyKezOXYKw7P8dTadzyNr+gQ31vn3HBRKOyyi08IUG0GbG6xwTDw9&#10;fHAetRFzjg2yDqSotkLKuLDNbi0tOVDshu12nWWxARDyLEzqEKwhwHrGsJMGj72rOPMnyUOc1De8&#10;xgwGH/EmsXf5qEMZ49oXIUsoFKMDrEbyEZhfAkqfD6AhNsB47OkRmF0CPlccEVEVtB/BSmiwlwiq&#10;u1G5jz+77z0H+77bdbFtium5/juoTthLR3xMWKBve2p5QqyXa+jfHtWsBXx6zPeiGt7tPdQiVi1w&#10;9gSDFvZ7TNjwNsOD+n0do57+IKtfAAAA//8DAFBLAwQUAAYACAAAACEAcdQJ6t8AAAAKAQAADwAA&#10;AGRycy9kb3ducmV2LnhtbEyPwU7DMBBE70j8g7VIXFDrYEEKIU6FIvXACbWA1N7c2MQBex3FbhL+&#10;nuVUbrO7o9k35Xr2jo1miF1ACbfLDJjBJugOWwnvb5vFA7CYFGrlAhoJPybCurq8KFWhw4RbM+5S&#10;yygEY6Ek2JT6gvPYWONVXIbeIN0+w+BVonFouR7UROHecZFlOfeqQ/pgVW9qa5rv3clTyvZQT1+v&#10;qb7Z233Xj27TvqgPKa+v5ucnYMnM6WyGP3xCh4qYjuGEOjInQaxWgqwk7qgTGXKRkzjSQjzeA69K&#10;/r9C9QsAAP//AwBQSwECLQAUAAYACAAAACEAtoM4kv4AAADhAQAAEwAAAAAAAAAAAAAAAAAAAAAA&#10;W0NvbnRlbnRfVHlwZXNdLnhtbFBLAQItABQABgAIAAAAIQA4/SH/1gAAAJQBAAALAAAAAAAAAAAA&#10;AAAAAC8BAABfcmVscy8ucmVsc1BLAQItABQABgAIAAAAIQCvEYnxNgIAAIkEAAAOAAAAAAAAAAAA&#10;AAAAAC4CAABkcnMvZTJvRG9jLnhtbFBLAQItABQABgAIAAAAIQBx1Anq3wAAAAoBAAAPAAAAAAAA&#10;AAAAAAAAAJAEAABkcnMvZG93bnJldi54bWxQSwUGAAAAAAQABADzAAAAnAUAAAAA&#10;" adj="-11796480,,5400" path="m,l1997194,r217504,217504l2214698,1304996r,l217504,1304996,,1087492,,xe" fillcolor="#ffc000" stroked="f" strokeweight="1pt">
                <v:stroke joinstyle="miter"/>
                <v:formulas/>
                <v:path arrowok="t" o:connecttype="custom" o:connectlocs="0,0;1997194,0;2214698,217504;2214698,1304996;2214698,1304996;217504,1304996;0,1087492;0,0" o:connectangles="0,0,0,0,0,0,0,0" textboxrect="0,0,2214698,1304996"/>
                <v:textbox>
                  <w:txbxContent>
                    <w:p w:rsidR="00960314" w:rsidRDefault="00960314" w:rsidP="00E1625A">
                      <w:pPr>
                        <w:pStyle w:val="NormalnyWeb"/>
                        <w:spacing w:before="0" w:beforeAutospacing="0" w:after="0"/>
                        <w:rPr>
                          <w:rFonts w:asciiTheme="minorHAnsi" w:hAnsi="Calibri" w:cstheme="minorBidi"/>
                          <w:b/>
                          <w:bCs/>
                          <w:i/>
                          <w:iCs/>
                          <w:color w:val="FFFFFF" w:themeColor="background1"/>
                          <w:kern w:val="24"/>
                        </w:rPr>
                      </w:pPr>
                      <w:r w:rsidRPr="00E1625A">
                        <w:rPr>
                          <w:rFonts w:asciiTheme="minorHAnsi" w:hAnsi="Calibri" w:cstheme="minorBidi"/>
                          <w:b/>
                          <w:bCs/>
                          <w:color w:val="FFFFFF" w:themeColor="background1"/>
                          <w:kern w:val="24"/>
                        </w:rPr>
                        <w:t xml:space="preserve">Cel strategiczny III - </w:t>
                      </w:r>
                      <w:r w:rsidRPr="00E1625A">
                        <w:rPr>
                          <w:rFonts w:asciiTheme="minorHAnsi" w:hAnsi="Calibri" w:cstheme="minorBidi"/>
                          <w:b/>
                          <w:bCs/>
                          <w:i/>
                          <w:iCs/>
                          <w:color w:val="FFFFFF" w:themeColor="background1"/>
                          <w:kern w:val="24"/>
                        </w:rPr>
                        <w:t>Poprawa jakości</w:t>
                      </w:r>
                    </w:p>
                    <w:p w:rsidR="00960314" w:rsidRPr="00E1625A" w:rsidRDefault="00960314" w:rsidP="00E1625A">
                      <w:pPr>
                        <w:pStyle w:val="NormalnyWeb"/>
                        <w:spacing w:before="0" w:beforeAutospacing="0" w:after="0"/>
                      </w:pPr>
                      <w:r w:rsidRPr="00E1625A">
                        <w:rPr>
                          <w:rFonts w:asciiTheme="minorHAnsi" w:hAnsi="Calibri" w:cstheme="minorBidi"/>
                          <w:b/>
                          <w:bCs/>
                          <w:i/>
                          <w:iCs/>
                          <w:color w:val="FFFFFF" w:themeColor="background1"/>
                          <w:kern w:val="24"/>
                        </w:rPr>
                        <w:t>i warunków życia Legniczan</w:t>
                      </w:r>
                    </w:p>
                  </w:txbxContent>
                </v:textbox>
              </v:shape>
            </w:pict>
          </mc:Fallback>
        </mc:AlternateContent>
      </w:r>
    </w:p>
    <w:p w:rsidR="00E1625A" w:rsidRDefault="00E1625A" w:rsidP="00E1625A">
      <w:pPr>
        <w:rPr>
          <w:rFonts w:asciiTheme="minorHAnsi" w:hAnsiTheme="minorHAnsi"/>
          <w:sz w:val="22"/>
        </w:rPr>
      </w:pPr>
    </w:p>
    <w:p w:rsidR="00E1625A" w:rsidRDefault="00E1625A" w:rsidP="00E1625A">
      <w:pPr>
        <w:rPr>
          <w:rFonts w:asciiTheme="minorHAnsi" w:hAnsiTheme="minorHAnsi"/>
          <w:sz w:val="22"/>
        </w:rPr>
      </w:pPr>
    </w:p>
    <w:p w:rsidR="00E1625A" w:rsidRPr="00E1625A" w:rsidRDefault="00E1625A" w:rsidP="00E1625A">
      <w:pPr>
        <w:rPr>
          <w:rFonts w:asciiTheme="minorHAnsi" w:hAnsiTheme="minorHAnsi"/>
          <w:sz w:val="22"/>
        </w:rPr>
      </w:pPr>
      <w:r w:rsidRPr="00E1625A">
        <w:rPr>
          <w:noProof/>
          <w:lang w:eastAsia="pl-PL"/>
        </w:rPr>
        <mc:AlternateContent>
          <mc:Choice Requires="wps">
            <w:drawing>
              <wp:anchor distT="0" distB="0" distL="114300" distR="114300" simplePos="0" relativeHeight="251689984" behindDoc="0" locked="0" layoutInCell="1" allowOverlap="1" wp14:anchorId="6EDB12C6" wp14:editId="656C324F">
                <wp:simplePos x="0" y="0"/>
                <wp:positionH relativeFrom="column">
                  <wp:posOffset>11486169</wp:posOffset>
                </wp:positionH>
                <wp:positionV relativeFrom="paragraph">
                  <wp:posOffset>5490709</wp:posOffset>
                </wp:positionV>
                <wp:extent cx="2214698" cy="1304996"/>
                <wp:effectExtent l="0" t="0" r="0" b="9525"/>
                <wp:wrapNone/>
                <wp:docPr id="66" name="Prostokąt z rogami ściętymi po przekątnej 8"/>
                <wp:cNvGraphicFramePr/>
                <a:graphic xmlns:a="http://schemas.openxmlformats.org/drawingml/2006/main">
                  <a:graphicData uri="http://schemas.microsoft.com/office/word/2010/wordprocessingShape">
                    <wps:wsp>
                      <wps:cNvSpPr/>
                      <wps:spPr>
                        <a:xfrm>
                          <a:off x="0" y="0"/>
                          <a:ext cx="2214698" cy="1304996"/>
                        </a:xfrm>
                        <a:prstGeom prst="snip2DiagRect">
                          <a:avLst/>
                        </a:prstGeom>
                        <a:solidFill>
                          <a:srgbClr val="00B050"/>
                        </a:solidFill>
                        <a:ln>
                          <a:noFill/>
                        </a:ln>
                      </wps:spPr>
                      <wps:style>
                        <a:lnRef idx="2">
                          <a:schemeClr val="accent2"/>
                        </a:lnRef>
                        <a:fillRef idx="1">
                          <a:schemeClr val="lt1"/>
                        </a:fillRef>
                        <a:effectRef idx="0">
                          <a:schemeClr val="accent2"/>
                        </a:effectRef>
                        <a:fontRef idx="minor">
                          <a:schemeClr val="dk1"/>
                        </a:fontRef>
                      </wps:style>
                      <wps:txbx>
                        <w:txbxContent>
                          <w:p w:rsidR="00A469F2" w:rsidRPr="00E1625A" w:rsidRDefault="00A469F2"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V – </w:t>
                            </w:r>
                            <w:r w:rsidRPr="00E1625A">
                              <w:rPr>
                                <w:rFonts w:asciiTheme="minorHAnsi" w:hAnsi="Calibri" w:cstheme="minorBidi"/>
                                <w:b/>
                                <w:bCs/>
                                <w:i/>
                                <w:iCs/>
                                <w:color w:val="FFFFFF" w:themeColor="background1"/>
                                <w:kern w:val="24"/>
                              </w:rPr>
                              <w:t xml:space="preserve">Ochrona i kształtowanie środowiska przyrodniczego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8" o:spid="_x0000_s1068" style="position:absolute;left:0;text-align:left;margin-left:904.4pt;margin-top:432.35pt;width:174.4pt;height:10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698,1304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NpMwIAAIkEAAAOAAAAZHJzL2Uyb0RvYy54bWysVMty0zAU3TPDP2i0J37QZppMnA40UzYM&#10;dFr4AEWWbVFZV0hK7HTPRzD8TvkvrmTXoZAVw0bW455z77kPry77VpG9sE6CLmg2SykRmkMpdV3Q&#10;z5+uX11Q4jzTJVOgRUEPwtHL9csXq84sRQ4NqFJYgiTaLTtT0MZ7s0wSxxvRMjcDIzQ+VmBb5vFo&#10;66S0rEP2ViV5ms6TDmxpLHDhHN5uhke6jvxVJbj/WFVOeKIKirH5uNq4bsOarFdsWVtmGsnHMNg/&#10;RNEyqdHpRLVhnpGdlX9RtZJbcFD5GYc2gaqSXEQNqCZL/1Bz1zAjohZMjjNTmtz/o+Uf9jeWyLKg&#10;8zklmrVYoxuM0MP94zdPHoiFmrWS/PzB5eN3f8CtAWLsgwjvWnwhFyGHnXFLpLozN3Y8OdyGhPSV&#10;bcMXpZI+5v0w5V30nnC8zPPsbL7ATuH4lr1OzxaLeWBNjnBjnX8noEXXDovotDT5RrL6FiscE8/2&#10;750fME+2wa0DJctrqVQ82Hp7pSzZs9AN6dv0PDYAunlmpnQw1hBgA2O4SYLGQVXc+YMSwU7pW1Fh&#10;BoOOGEnsXTH5YZwL7fNRT7QOsArJJ2B2Cqh8NoJG2wATsacnYHoK+NzjhIheQfsJ3EoN9hRBeT95&#10;Huyf1A+ag3zfb/vYNvl5CDJcbaE8YC91OExYoK87ZgUl1qsrGGaPad4Ajh73g1MNb3YeKhmrdiQY&#10;fWG/xwYYZzMM1O/naHX8g6x/AQAA//8DAFBLAwQUAAYACAAAACEA7TXokOIAAAAOAQAADwAAAGRy&#10;cy9kb3ducmV2LnhtbEyPQU+DQBSE7yb+h80z8WZ3wQoUWRpj0kPjpdYe9LaFVyCyu4R9LfjvfZ7s&#10;cTKTmW+K9Wx7ccExdN5piBYKBLrK151rNBw+Ng8ZiEDG1ab3DjX8YIB1eXtTmLz2k3vHy54awSUu&#10;5EZDSzTkUoaqRWvCwg/o2Dv50RpiOTayHs3E5baXsVKJtKZzvNCaAV9brL73Z6uBwm7odtHnl1lu&#10;ttu3aabH6bDS+v5ufnkGQTjTfxj+8BkdSmY6+rOrg+hZZypjdtKQJcsUBEfi6ClNQBzZVKmKQZaF&#10;vL5R/gIAAP//AwBQSwECLQAUAAYACAAAACEAtoM4kv4AAADhAQAAEwAAAAAAAAAAAAAAAAAAAAAA&#10;W0NvbnRlbnRfVHlwZXNdLnhtbFBLAQItABQABgAIAAAAIQA4/SH/1gAAAJQBAAALAAAAAAAAAAAA&#10;AAAAAC8BAABfcmVscy8ucmVsc1BLAQItABQABgAIAAAAIQCOmeNpMwIAAIkEAAAOAAAAAAAAAAAA&#10;AAAAAC4CAABkcnMvZTJvRG9jLnhtbFBLAQItABQABgAIAAAAIQDtNeiQ4gAAAA4BAAAPAAAAAAAA&#10;AAAAAAAAAI0EAABkcnMvZG93bnJldi54bWxQSwUGAAAAAAQABADzAAAAnAUAAAAA&#10;" adj="-11796480,,5400" path="m,l1997194,r217504,217504l2214698,1304996r,l217504,1304996,,1087492,,xe" fillcolor="#00b050" stroked="f" strokeweight="1pt">
                <v:stroke joinstyle="miter"/>
                <v:formulas/>
                <v:path arrowok="t" o:connecttype="custom" o:connectlocs="0,0;1997194,0;2214698,217504;2214698,1304996;2214698,1304996;217504,1304996;0,1087492;0,0" o:connectangles="0,0,0,0,0,0,0,0" textboxrect="0,0,2214698,1304996"/>
                <v:textbox>
                  <w:txbxContent>
                    <w:p w:rsidR="00960314" w:rsidRPr="00E1625A" w:rsidRDefault="00960314"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V – </w:t>
                      </w:r>
                      <w:r w:rsidRPr="00E1625A">
                        <w:rPr>
                          <w:rFonts w:asciiTheme="minorHAnsi" w:hAnsi="Calibri" w:cstheme="minorBidi"/>
                          <w:b/>
                          <w:bCs/>
                          <w:i/>
                          <w:iCs/>
                          <w:color w:val="FFFFFF" w:themeColor="background1"/>
                          <w:kern w:val="24"/>
                        </w:rPr>
                        <w:t xml:space="preserve">Ochrona i kształtowanie środowiska przyrodniczego </w:t>
                      </w:r>
                    </w:p>
                  </w:txbxContent>
                </v:textbox>
              </v:shape>
            </w:pict>
          </mc:Fallback>
        </mc:AlternateContent>
      </w:r>
      <w:r w:rsidRPr="00E1625A">
        <w:rPr>
          <w:noProof/>
          <w:lang w:eastAsia="pl-PL"/>
        </w:rPr>
        <mc:AlternateContent>
          <mc:Choice Requires="wps">
            <w:drawing>
              <wp:anchor distT="0" distB="0" distL="114300" distR="114300" simplePos="0" relativeHeight="251692032" behindDoc="0" locked="0" layoutInCell="1" allowOverlap="1" wp14:anchorId="02D2EEA0" wp14:editId="71190F25">
                <wp:simplePos x="0" y="0"/>
                <wp:positionH relativeFrom="column">
                  <wp:posOffset>11343665</wp:posOffset>
                </wp:positionH>
                <wp:positionV relativeFrom="paragraph">
                  <wp:posOffset>-3094965</wp:posOffset>
                </wp:positionV>
                <wp:extent cx="2214698" cy="1303540"/>
                <wp:effectExtent l="0" t="0" r="0" b="0"/>
                <wp:wrapNone/>
                <wp:docPr id="68" name="Prostokąt z rogami ściętymi po przekątnej 5"/>
                <wp:cNvGraphicFramePr/>
                <a:graphic xmlns:a="http://schemas.openxmlformats.org/drawingml/2006/main">
                  <a:graphicData uri="http://schemas.microsoft.com/office/word/2010/wordprocessingShape">
                    <wps:wsp>
                      <wps:cNvSpPr/>
                      <wps:spPr>
                        <a:xfrm>
                          <a:off x="0" y="0"/>
                          <a:ext cx="2214698" cy="1303540"/>
                        </a:xfrm>
                        <a:prstGeom prst="snip2DiagRect">
                          <a:avLst/>
                        </a:prstGeom>
                        <a:solidFill>
                          <a:schemeClr val="bg1">
                            <a:lumMod val="50000"/>
                          </a:schemeClr>
                        </a:solidFill>
                        <a:ln>
                          <a:noFill/>
                        </a:ln>
                      </wps:spPr>
                      <wps:style>
                        <a:lnRef idx="2">
                          <a:schemeClr val="accent2"/>
                        </a:lnRef>
                        <a:fillRef idx="1">
                          <a:schemeClr val="lt1"/>
                        </a:fillRef>
                        <a:effectRef idx="0">
                          <a:schemeClr val="accent2"/>
                        </a:effectRef>
                        <a:fontRef idx="minor">
                          <a:schemeClr val="dk1"/>
                        </a:fontRef>
                      </wps:style>
                      <wps:txbx>
                        <w:txbxContent>
                          <w:p w:rsidR="00A469F2" w:rsidRPr="00E1625A" w:rsidRDefault="00A469F2"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II - </w:t>
                            </w:r>
                            <w:r w:rsidRPr="00E1625A">
                              <w:rPr>
                                <w:rFonts w:asciiTheme="minorHAnsi" w:hAnsi="Calibri" w:cstheme="minorBidi"/>
                                <w:b/>
                                <w:bCs/>
                                <w:i/>
                                <w:iCs/>
                                <w:color w:val="FFFFFF" w:themeColor="background1"/>
                                <w:kern w:val="24"/>
                              </w:rPr>
                              <w:t xml:space="preserve">Wzrost znaczenia Legnicy jako regionalnego ośrodka edukacji, kultury, turystyki i sportu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9" style="position:absolute;left:0;text-align:left;margin-left:893.2pt;margin-top:-243.7pt;width:174.4pt;height:10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698,130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g7QAIAAKwEAAAOAAAAZHJzL2Uyb0RvYy54bWysVElu2zAU3RfoHQjtaw2JjdawHBQx0k0H&#10;I2kPQFOUxIbkZ0nakrPvIYpcJ71XPylFDtICBYp6QXP4770/anXRK0kO3DoBukzyWZYQrhlUQjdl&#10;8uXz1avXCXGe6opK0LxMjtwlF+uXL1adWfICWpAVtwRJtFt2pkxa780yTR1ruaJuBoZrfKzBKurx&#10;aJu0srRDdiXTIssWaQe2MhYYdw5vN8Njso78dc2Z/1TXjnsiywR983G1cd2FNV2v6LKx1LSCjW7Q&#10;f/BCUaFRdKLaUE/J3orfqJRgFhzUfsZApVDXgvEYA0aTZ8+iuWmp4TEWTI4zU5rc/6NlHw9bS0RV&#10;JguslKYKa7RFDz3cPnz35I5YaKgS5Oc9Ew8//BG3Boixdzy8a/6VzEMOO+OWSHVjtnY8OdyGhPS1&#10;VeEfQyV9zPtxyjvvPWF4WRT5+eIN6jN8y8+ys/l5rEx6ghvr/DsOCqUdFtFpYYqNoM01Vjgmnh7e&#10;O4/aiHm0DbIOpKiuhJTxELqKX0pLDhT7YdfkESr36gNUw908w1+ICHliEwbz4fSUSerApyEwD8bh&#10;Jg1pGAKPO3+UPNhJfc1rTHIINSpOzIMoZYxrX4yy0TrAaiSfgIOrz4DS5yNotA0wHtt+AmZ/V5wQ&#10;URW0n8BKaLB/IqhuJ+XB/jH6IeYQvu93feysYhGcDFc7qI7Ybh3OG9bw255anhDr5SUM40k1awGn&#10;k/lBVMPbvYdaxMKeCEYtHIlYmXF8w8w9PUer00dm/QsAAP//AwBQSwMEFAAGAAgAAAAhAFGDoOji&#10;AAAADwEAAA8AAABkcnMvZG93bnJldi54bWxMj81OwzAQhO9IvIO1SNxaJ6a0IcSpKiRUDlwovXBz&#10;48WJ8E+w3TZ9e5YT3HZ2R7PfNOvJWXbCmIbgJZTzAhj6LujBGwn79+dZBSxl5bWywaOECyZYt9dX&#10;jap1OPs3PO2yYRTiU60k9DmPNeep69GpNA8jerp9huhUJhkN11GdKdxZLopiyZ0aPH3o1YhPPXZf&#10;u6OT4DbG2ofXF1Wa7feHm+Jli/tBytubafMILOOU/8zwi0/o0BLTIRy9TsySXlXLBXklzBbViiby&#10;iPLuXgA70E5UogTeNvx/j/YHAAD//wMAUEsBAi0AFAAGAAgAAAAhALaDOJL+AAAA4QEAABMAAAAA&#10;AAAAAAAAAAAAAAAAAFtDb250ZW50X1R5cGVzXS54bWxQSwECLQAUAAYACAAAACEAOP0h/9YAAACU&#10;AQAACwAAAAAAAAAAAAAAAAAvAQAAX3JlbHMvLnJlbHNQSwECLQAUAAYACAAAACEAjNn4O0ACAACs&#10;BAAADgAAAAAAAAAAAAAAAAAuAgAAZHJzL2Uyb0RvYy54bWxQSwECLQAUAAYACAAAACEAUYOg6OIA&#10;AAAPAQAADwAAAAAAAAAAAAAAAACaBAAAZHJzL2Rvd25yZXYueG1sUEsFBgAAAAAEAAQA8wAAAKkF&#10;AAAAAA==&#10;" adj="-11796480,,5400" path="m,l1997437,r217261,217261l2214698,1303540r,l217261,1303540,,1086279,,xe" fillcolor="#7f7f7f [1612]" stroked="f" strokeweight="1pt">
                <v:stroke joinstyle="miter"/>
                <v:formulas/>
                <v:path arrowok="t" o:connecttype="custom" o:connectlocs="0,0;1997437,0;2214698,217261;2214698,1303540;2214698,1303540;217261,1303540;0,1086279;0,0" o:connectangles="0,0,0,0,0,0,0,0" textboxrect="0,0,2214698,1303540"/>
                <v:textbox>
                  <w:txbxContent>
                    <w:p w:rsidR="00960314" w:rsidRPr="00E1625A" w:rsidRDefault="00960314" w:rsidP="00E1625A">
                      <w:pPr>
                        <w:pStyle w:val="NormalnyWeb"/>
                        <w:spacing w:before="0" w:beforeAutospacing="0" w:after="0"/>
                      </w:pPr>
                      <w:r w:rsidRPr="00E1625A">
                        <w:rPr>
                          <w:rFonts w:asciiTheme="minorHAnsi" w:hAnsi="Calibri" w:cstheme="minorBidi"/>
                          <w:b/>
                          <w:bCs/>
                          <w:color w:val="FFFFFF" w:themeColor="background1"/>
                          <w:kern w:val="24"/>
                        </w:rPr>
                        <w:t xml:space="preserve">Cel strategiczny II - </w:t>
                      </w:r>
                      <w:r w:rsidRPr="00E1625A">
                        <w:rPr>
                          <w:rFonts w:asciiTheme="minorHAnsi" w:hAnsi="Calibri" w:cstheme="minorBidi"/>
                          <w:b/>
                          <w:bCs/>
                          <w:i/>
                          <w:iCs/>
                          <w:color w:val="FFFFFF" w:themeColor="background1"/>
                          <w:kern w:val="24"/>
                        </w:rPr>
                        <w:t xml:space="preserve">Wzrost znaczenia Legnicy jako regionalnego ośrodka edukacji, kultury, turystyki i sportu </w:t>
                      </w:r>
                    </w:p>
                  </w:txbxContent>
                </v:textbox>
              </v:shape>
            </w:pict>
          </mc:Fallback>
        </mc:AlternateContent>
      </w:r>
    </w:p>
    <w:p w:rsidR="001B61A7" w:rsidRPr="00CD57B9" w:rsidRDefault="001B61A7" w:rsidP="001B61A7">
      <w:pPr>
        <w:pStyle w:val="Akapitzlist"/>
        <w:rPr>
          <w:rFonts w:asciiTheme="minorHAnsi" w:hAnsiTheme="minorHAnsi"/>
          <w:sz w:val="22"/>
        </w:rPr>
      </w:pPr>
    </w:p>
    <w:p w:rsidR="00E1625A" w:rsidRDefault="00E1625A" w:rsidP="008C1ADA">
      <w:pPr>
        <w:rPr>
          <w:rFonts w:asciiTheme="minorHAnsi" w:hAnsiTheme="minorHAnsi"/>
          <w:sz w:val="22"/>
        </w:rPr>
      </w:pPr>
      <w:r w:rsidRPr="00E1625A">
        <w:rPr>
          <w:noProof/>
          <w:lang w:eastAsia="pl-PL"/>
        </w:rPr>
        <mc:AlternateContent>
          <mc:Choice Requires="wps">
            <w:drawing>
              <wp:anchor distT="0" distB="0" distL="114300" distR="114300" simplePos="0" relativeHeight="251697152" behindDoc="0" locked="0" layoutInCell="1" allowOverlap="1" wp14:anchorId="6966DFEC" wp14:editId="2AA95DA4">
                <wp:simplePos x="0" y="0"/>
                <wp:positionH relativeFrom="column">
                  <wp:posOffset>3470068</wp:posOffset>
                </wp:positionH>
                <wp:positionV relativeFrom="paragraph">
                  <wp:posOffset>189865</wp:posOffset>
                </wp:positionV>
                <wp:extent cx="2202369" cy="1303020"/>
                <wp:effectExtent l="0" t="0" r="7620" b="0"/>
                <wp:wrapNone/>
                <wp:docPr id="109" name="Prostokąt z rogami ściętymi po przekątnej 8"/>
                <wp:cNvGraphicFramePr/>
                <a:graphic xmlns:a="http://schemas.openxmlformats.org/drawingml/2006/main">
                  <a:graphicData uri="http://schemas.microsoft.com/office/word/2010/wordprocessingShape">
                    <wps:wsp>
                      <wps:cNvSpPr/>
                      <wps:spPr>
                        <a:xfrm>
                          <a:off x="0" y="0"/>
                          <a:ext cx="2202369" cy="1303020"/>
                        </a:xfrm>
                        <a:prstGeom prst="snip2DiagRect">
                          <a:avLst/>
                        </a:prstGeom>
                        <a:solidFill>
                          <a:srgbClr val="00B050"/>
                        </a:solidFill>
                        <a:ln w="25400" cap="flat" cmpd="sng" algn="ctr">
                          <a:noFill/>
                          <a:prstDash val="solid"/>
                        </a:ln>
                        <a:effectLst/>
                      </wps:spPr>
                      <wps:txbx>
                        <w:txbxContent>
                          <w:p w:rsidR="00A469F2" w:rsidRPr="00E1625A" w:rsidRDefault="00A469F2" w:rsidP="00E1625A">
                            <w:pPr>
                              <w:pStyle w:val="NormalnyWeb"/>
                              <w:spacing w:before="0" w:beforeAutospacing="0" w:after="0"/>
                              <w:rPr>
                                <w:sz w:val="16"/>
                              </w:rPr>
                            </w:pPr>
                            <w:r w:rsidRPr="00E1625A">
                              <w:rPr>
                                <w:rFonts w:ascii="Calibri" w:eastAsia="+mn-ea" w:hAnsi="Calibri" w:cs="+mn-cs"/>
                                <w:b/>
                                <w:bCs/>
                                <w:color w:val="FFFFFF"/>
                                <w:kern w:val="24"/>
                                <w:szCs w:val="40"/>
                              </w:rPr>
                              <w:t xml:space="preserve">Cel strategiczny V – </w:t>
                            </w:r>
                            <w:r w:rsidRPr="00E1625A">
                              <w:rPr>
                                <w:rFonts w:ascii="Calibri" w:eastAsia="+mn-ea" w:hAnsi="Calibri" w:cs="+mn-cs"/>
                                <w:b/>
                                <w:bCs/>
                                <w:i/>
                                <w:iCs/>
                                <w:color w:val="FFFFFF"/>
                                <w:kern w:val="24"/>
                                <w:szCs w:val="40"/>
                              </w:rPr>
                              <w:t xml:space="preserve">Ochrona i kształtowanie środowiska przyrodniczego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0" style="position:absolute;left:0;text-align:left;margin-left:273.25pt;margin-top:14.95pt;width:173.4pt;height:10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2369,1303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mFDgIAAN0DAAAOAAAAZHJzL2Uyb0RvYy54bWysU8uS0zAQvFPFP6h0J3YcdllSSbZgU8uF&#10;ghQLHzCRZVsgaYSkxM7e+Ygtfmf5L0bKi8eN4iJrLLm7p6c9ux6MZlvpg0I75+NRyZm0Amtl2zn/&#10;9PH22RVnIYKtQaOVc76TgV8vnj6Z9W4qK+xQ19IzArFh2rs572J006IIopMGwgidtHTYoDcQqfRt&#10;UXvoCd3ooirLy6JHXzuPQoZAb5f7Q77I+E0jRXzfNEFGpuectMW8+ryu01osZjBtPbhOiYMM+AcV&#10;BpQl0hPUEiKwjVd/QRklPAZs4kigKbBplJC5B+pmXP7RzV0HTuZeyJzgTjaF/wcr3m1XnqmaZle+&#10;5MyCoSGtSGLEL4/fIrtnHlswiv34LtTjQ9zR1iFz/l6mcys/s6tkYu/ClLDu3MofqkDb5MjQeJOe&#10;1CsbsvG7k/FyiEzQy6oqq8kl8Qs6G0/KSVnl0RTnz50P8Y1EQ9SBphisctVSQfuBRpydh+3bEImb&#10;vjneTbQBtapvlda58O36Rnu2hRSH8nV5caT57Zq2rCdRF89LiowAimWjIdLWODIq2JYz0C3lXUSf&#10;uS0mhpylxL2E0O05Mmzyh1RpmyTIHMqD1OTa3qe0i8N6yKOoXhwtXWO9o/n0FFAi/roBLznzUd/g&#10;Ps9gRYcU57OQV5uIjcpGJMw9APGngjKUlRzynkL6a51vnf/KxU8AAAD//wMAUEsDBBQABgAIAAAA&#10;IQD3Lb9n3QAAAAoBAAAPAAAAZHJzL2Rvd25yZXYueG1sTI/BboMwDIbvk/YOkSfttobCaIERqmnS&#10;rtVo9wCBuIBKHETSlr79vNN2tP3p9/eXu8WO4oqzHxwpWK8iEEitMwN1Cr6Pny8ZCB80GT06QgV3&#10;9LCrHh9KXRh3oxqvh9AJDiFfaAV9CFMhpW97tNqv3ITEt5ObrQ48zp00s75xuB1lHEUbafVA/KHX&#10;E3702J4PF6tgW3812Tkxc5qF/Sne3jHUcq/U89Py/gYi4BL+YPjVZ3Wo2KlxFzJejArS103KqII4&#10;z0EwkOVJAqLhRZKuQVal/F+h+gEAAP//AwBQSwECLQAUAAYACAAAACEAtoM4kv4AAADhAQAAEwAA&#10;AAAAAAAAAAAAAAAAAAAAW0NvbnRlbnRfVHlwZXNdLnhtbFBLAQItABQABgAIAAAAIQA4/SH/1gAA&#10;AJQBAAALAAAAAAAAAAAAAAAAAC8BAABfcmVscy8ucmVsc1BLAQItABQABgAIAAAAIQC8U4mFDgIA&#10;AN0DAAAOAAAAAAAAAAAAAAAAAC4CAABkcnMvZTJvRG9jLnhtbFBLAQItABQABgAIAAAAIQD3Lb9n&#10;3QAAAAoBAAAPAAAAAAAAAAAAAAAAAGgEAABkcnMvZG93bnJldi54bWxQSwUGAAAAAAQABADzAAAA&#10;cgUAAAAA&#10;" adj="-11796480,,5400" path="m,l1985195,r217174,217174l2202369,1303020r,l217174,1303020,,1085846,,xe" fillcolor="#00b050" stroked="f" strokeweight="2pt">
                <v:stroke joinstyle="miter"/>
                <v:formulas/>
                <v:path arrowok="t" o:connecttype="custom" o:connectlocs="0,0;1985195,0;2202369,217174;2202369,1303020;2202369,1303020;217174,1303020;0,1085846;0,0" o:connectangles="0,0,0,0,0,0,0,0" textboxrect="0,0,2202369,1303020"/>
                <v:textbox>
                  <w:txbxContent>
                    <w:p w:rsidR="00960314" w:rsidRPr="00E1625A" w:rsidRDefault="00960314" w:rsidP="00E1625A">
                      <w:pPr>
                        <w:pStyle w:val="NormalnyWeb"/>
                        <w:spacing w:before="0" w:beforeAutospacing="0" w:after="0"/>
                        <w:rPr>
                          <w:sz w:val="16"/>
                        </w:rPr>
                      </w:pPr>
                      <w:r w:rsidRPr="00E1625A">
                        <w:rPr>
                          <w:rFonts w:ascii="Calibri" w:eastAsia="+mn-ea" w:hAnsi="Calibri" w:cs="+mn-cs"/>
                          <w:b/>
                          <w:bCs/>
                          <w:color w:val="FFFFFF"/>
                          <w:kern w:val="24"/>
                          <w:szCs w:val="40"/>
                        </w:rPr>
                        <w:t xml:space="preserve">Cel strategiczny V – </w:t>
                      </w:r>
                      <w:r w:rsidRPr="00E1625A">
                        <w:rPr>
                          <w:rFonts w:ascii="Calibri" w:eastAsia="+mn-ea" w:hAnsi="Calibri" w:cs="+mn-cs"/>
                          <w:b/>
                          <w:bCs/>
                          <w:i/>
                          <w:iCs/>
                          <w:color w:val="FFFFFF"/>
                          <w:kern w:val="24"/>
                          <w:szCs w:val="40"/>
                        </w:rPr>
                        <w:t xml:space="preserve">Ochrona i kształtowanie środowiska przyrodniczego </w:t>
                      </w:r>
                    </w:p>
                  </w:txbxContent>
                </v:textbox>
              </v:shape>
            </w:pict>
          </mc:Fallback>
        </mc:AlternateContent>
      </w:r>
      <w:r w:rsidRPr="00E1625A">
        <w:rPr>
          <w:noProof/>
          <w:lang w:eastAsia="pl-PL"/>
        </w:rPr>
        <mc:AlternateContent>
          <mc:Choice Requires="wps">
            <w:drawing>
              <wp:anchor distT="0" distB="0" distL="114300" distR="114300" simplePos="0" relativeHeight="251693056" behindDoc="0" locked="0" layoutInCell="1" allowOverlap="1" wp14:anchorId="3E7A2E8D" wp14:editId="7058A61F">
                <wp:simplePos x="0" y="0"/>
                <wp:positionH relativeFrom="column">
                  <wp:posOffset>25713</wp:posOffset>
                </wp:positionH>
                <wp:positionV relativeFrom="paragraph">
                  <wp:posOffset>195267</wp:posOffset>
                </wp:positionV>
                <wp:extent cx="2214698" cy="1303540"/>
                <wp:effectExtent l="0" t="0" r="0" b="0"/>
                <wp:wrapNone/>
                <wp:docPr id="72" name="Prostokąt z rogami ściętymi po przekątnej 7"/>
                <wp:cNvGraphicFramePr/>
                <a:graphic xmlns:a="http://schemas.openxmlformats.org/drawingml/2006/main">
                  <a:graphicData uri="http://schemas.microsoft.com/office/word/2010/wordprocessingShape">
                    <wps:wsp>
                      <wps:cNvSpPr/>
                      <wps:spPr>
                        <a:xfrm>
                          <a:off x="0" y="0"/>
                          <a:ext cx="2214698" cy="1303540"/>
                        </a:xfrm>
                        <a:prstGeom prst="snip2DiagRect">
                          <a:avLst/>
                        </a:prstGeom>
                        <a:solidFill>
                          <a:srgbClr val="004993"/>
                        </a:solidFill>
                        <a:ln>
                          <a:noFill/>
                        </a:ln>
                      </wps:spPr>
                      <wps:style>
                        <a:lnRef idx="2">
                          <a:schemeClr val="accent2"/>
                        </a:lnRef>
                        <a:fillRef idx="1">
                          <a:schemeClr val="lt1"/>
                        </a:fillRef>
                        <a:effectRef idx="0">
                          <a:schemeClr val="accent2"/>
                        </a:effectRef>
                        <a:fontRef idx="minor">
                          <a:schemeClr val="dk1"/>
                        </a:fontRef>
                      </wps:style>
                      <wps:txbx>
                        <w:txbxContent>
                          <w:p w:rsidR="00A469F2" w:rsidRDefault="00A469F2" w:rsidP="00E1625A">
                            <w:pPr>
                              <w:pStyle w:val="NormalnyWeb"/>
                              <w:spacing w:before="0" w:beforeAutospacing="0" w:after="0"/>
                              <w:rPr>
                                <w:rFonts w:asciiTheme="minorHAnsi" w:hAnsi="Calibri" w:cstheme="minorBidi"/>
                                <w:b/>
                                <w:bCs/>
                                <w:i/>
                                <w:iCs/>
                                <w:color w:val="FFFFFF" w:themeColor="background1"/>
                                <w:kern w:val="24"/>
                              </w:rPr>
                            </w:pPr>
                            <w:r w:rsidRPr="00E1625A">
                              <w:rPr>
                                <w:rFonts w:asciiTheme="minorHAnsi" w:hAnsi="Calibri" w:cstheme="minorBidi"/>
                                <w:b/>
                                <w:bCs/>
                                <w:color w:val="FFFFFF" w:themeColor="background1"/>
                                <w:kern w:val="24"/>
                              </w:rPr>
                              <w:t xml:space="preserve">Cel strategiczny IV - </w:t>
                            </w:r>
                            <w:r w:rsidRPr="00E1625A">
                              <w:rPr>
                                <w:rFonts w:asciiTheme="minorHAnsi" w:hAnsi="Calibri" w:cstheme="minorBidi"/>
                                <w:b/>
                                <w:bCs/>
                                <w:i/>
                                <w:iCs/>
                                <w:color w:val="FFFFFF" w:themeColor="background1"/>
                                <w:kern w:val="24"/>
                              </w:rPr>
                              <w:t>Kształtowanie atrakcyjnej przestrzeni publicznej</w:t>
                            </w:r>
                          </w:p>
                          <w:p w:rsidR="00A469F2" w:rsidRPr="00E1625A" w:rsidRDefault="00A469F2" w:rsidP="00E1625A">
                            <w:pPr>
                              <w:pStyle w:val="NormalnyWeb"/>
                              <w:spacing w:before="0" w:beforeAutospacing="0" w:after="0"/>
                            </w:pPr>
                            <w:r w:rsidRPr="00E1625A">
                              <w:rPr>
                                <w:rFonts w:asciiTheme="minorHAnsi" w:hAnsi="Calibri" w:cstheme="minorBidi"/>
                                <w:b/>
                                <w:bCs/>
                                <w:i/>
                                <w:iCs/>
                                <w:color w:val="FFFFFF" w:themeColor="background1"/>
                                <w:kern w:val="24"/>
                              </w:rPr>
                              <w:t>i zachowanie obiektów dziedzictwa kulturowego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7" o:spid="_x0000_s1071" style="position:absolute;left:0;text-align:left;margin-left:2pt;margin-top:15.4pt;width:174.4pt;height:10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698,130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27NQIAAIkEAAAOAAAAZHJzL2Uyb0RvYy54bWysVEtu2zAQ3RfoHQjta33sJrFhOShipJui&#10;DZL2ADRFSmwoDkvSlp19D1HkOum9OqQUuWm9Krqh+Jk3b958tLzct4rsuHUSdJnkkywhXDOopK7L&#10;5Mvn6zcXCXGe6ooq0LxMDtwll6vXr5adWfACGlAVtwSdaLfoTJk03ptFmjrW8Ja6CRiu8VGAbanH&#10;o63TytIOvbcqLbLsLO3AVsYC487h7bp/TFbRvxCc+U9COO6JKhOMzcfVxnUT1nS1pIvaUtNINoRB&#10;/yGKlkqNpKOrNfWUbK38y1UrmQUHwk8YtCkIIRmPGlBNnv2h5q6hhkctmBxnxjS5/+eWfdzdWCKr&#10;MjkvEqJpizW6wQg93D999+SBWKhpK8nPRyaffvgDbg0QYx94eNf8KzkPOeyMW6CrO3Njh5PDbUjI&#10;Xtg2fFEq2ce8H8a8870nDC+LIp+dzbFTGL7l02z6dhYrkx7hxjr/nkOL1A6L6LQ0xVrS+hYrHBNP&#10;dx+cR27EPNsGWgdKVtdSqXiw9eZKWbKjoRuy2Xw+DcEj5IWZ0sFYQ4D1z+EmDRp7VXHnD4oHO6Vv&#10;ucAMBh0xkti7fOShjHHti4EoWgeYQOcjMD8FVD4fQINtgPHY0yMwOwV8yTgiIitoP4JbqcGeclDd&#10;j8y9/bP6XnOQ7/ebfWyb4iIEGa42UB2wlzocJizQty21PCHWqyvoZ49q1gCOHvM9qYZ3Ww9Cxqod&#10;HQxc2O+xMsNshoH6/Rytjn+Q1S8AAAD//wMAUEsDBBQABgAIAAAAIQArVYQX4AAAAAgBAAAPAAAA&#10;ZHJzL2Rvd25yZXYueG1sTI/BTsMwDIbvSLxDZCRuLFnLKtQ1nRDSDkg7lA4Jccsar+lokqpJt46n&#10;x5zgZuu3fn9fsZltz844hs47CcuFAIau8bpzrYT3/fbhCViIymnVe4cSrhhgU97eFCrX/uLe8FzH&#10;llGJC7mSYGIccs5DY9CqsPADOsqOfrQq0jq2XI/qQuW254kQGbeqc/TBqAFfDDZf9WQlnKp2t6q2&#10;4nPKTH0Vr7vTx1x9S3l/Nz+vgUWc498x/OITOpTEdPCT04H1Eh7JJEpIBQlQnK4SGg4SkjRbAi8L&#10;/l+g/AEAAP//AwBQSwECLQAUAAYACAAAACEAtoM4kv4AAADhAQAAEwAAAAAAAAAAAAAAAAAAAAAA&#10;W0NvbnRlbnRfVHlwZXNdLnhtbFBLAQItABQABgAIAAAAIQA4/SH/1gAAAJQBAAALAAAAAAAAAAAA&#10;AAAAAC8BAABfcmVscy8ucmVsc1BLAQItABQABgAIAAAAIQCyaB27NQIAAIkEAAAOAAAAAAAAAAAA&#10;AAAAAC4CAABkcnMvZTJvRG9jLnhtbFBLAQItABQABgAIAAAAIQArVYQX4AAAAAgBAAAPAAAAAAAA&#10;AAAAAAAAAI8EAABkcnMvZG93bnJldi54bWxQSwUGAAAAAAQABADzAAAAnAUAAAAA&#10;" adj="-11796480,,5400" path="m,l1997437,r217261,217261l2214698,1303540r,l217261,1303540,,1086279,,xe" fillcolor="#004993" stroked="f" strokeweight="1pt">
                <v:stroke joinstyle="miter"/>
                <v:formulas/>
                <v:path arrowok="t" o:connecttype="custom" o:connectlocs="0,0;1997437,0;2214698,217261;2214698,1303540;2214698,1303540;217261,1303540;0,1086279;0,0" o:connectangles="0,0,0,0,0,0,0,0" textboxrect="0,0,2214698,1303540"/>
                <v:textbox>
                  <w:txbxContent>
                    <w:p w:rsidR="00960314" w:rsidRDefault="00960314" w:rsidP="00E1625A">
                      <w:pPr>
                        <w:pStyle w:val="NormalnyWeb"/>
                        <w:spacing w:before="0" w:beforeAutospacing="0" w:after="0"/>
                        <w:rPr>
                          <w:rFonts w:asciiTheme="minorHAnsi" w:hAnsi="Calibri" w:cstheme="minorBidi"/>
                          <w:b/>
                          <w:bCs/>
                          <w:i/>
                          <w:iCs/>
                          <w:color w:val="FFFFFF" w:themeColor="background1"/>
                          <w:kern w:val="24"/>
                        </w:rPr>
                      </w:pPr>
                      <w:r w:rsidRPr="00E1625A">
                        <w:rPr>
                          <w:rFonts w:asciiTheme="minorHAnsi" w:hAnsi="Calibri" w:cstheme="minorBidi"/>
                          <w:b/>
                          <w:bCs/>
                          <w:color w:val="FFFFFF" w:themeColor="background1"/>
                          <w:kern w:val="24"/>
                        </w:rPr>
                        <w:t xml:space="preserve">Cel strategiczny IV - </w:t>
                      </w:r>
                      <w:r w:rsidRPr="00E1625A">
                        <w:rPr>
                          <w:rFonts w:asciiTheme="minorHAnsi" w:hAnsi="Calibri" w:cstheme="minorBidi"/>
                          <w:b/>
                          <w:bCs/>
                          <w:i/>
                          <w:iCs/>
                          <w:color w:val="FFFFFF" w:themeColor="background1"/>
                          <w:kern w:val="24"/>
                        </w:rPr>
                        <w:t>Kształtowanie atrakcyjnej przestrzeni publicznej</w:t>
                      </w:r>
                    </w:p>
                    <w:p w:rsidR="00960314" w:rsidRPr="00E1625A" w:rsidRDefault="00960314" w:rsidP="00E1625A">
                      <w:pPr>
                        <w:pStyle w:val="NormalnyWeb"/>
                        <w:spacing w:before="0" w:beforeAutospacing="0" w:after="0"/>
                      </w:pPr>
                      <w:r w:rsidRPr="00E1625A">
                        <w:rPr>
                          <w:rFonts w:asciiTheme="minorHAnsi" w:hAnsi="Calibri" w:cstheme="minorBidi"/>
                          <w:b/>
                          <w:bCs/>
                          <w:i/>
                          <w:iCs/>
                          <w:color w:val="FFFFFF" w:themeColor="background1"/>
                          <w:kern w:val="24"/>
                        </w:rPr>
                        <w:t>i zachowanie obiektów dziedzictwa kulturowego</w:t>
                      </w:r>
                    </w:p>
                  </w:txbxContent>
                </v:textbox>
              </v:shape>
            </w:pict>
          </mc:Fallback>
        </mc:AlternateContent>
      </w: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E1625A" w:rsidRDefault="00E1625A" w:rsidP="008C1ADA">
      <w:pPr>
        <w:rPr>
          <w:rFonts w:asciiTheme="minorHAnsi" w:hAnsiTheme="minorHAnsi"/>
          <w:sz w:val="22"/>
        </w:rPr>
      </w:pPr>
    </w:p>
    <w:p w:rsidR="00F329BD" w:rsidRDefault="00583CC7" w:rsidP="008C1ADA">
      <w:pPr>
        <w:rPr>
          <w:rFonts w:asciiTheme="minorHAnsi" w:hAnsiTheme="minorHAnsi"/>
          <w:sz w:val="22"/>
        </w:rPr>
      </w:pPr>
      <w:r>
        <w:rPr>
          <w:rFonts w:asciiTheme="minorHAnsi" w:hAnsiTheme="minorHAnsi"/>
          <w:sz w:val="22"/>
        </w:rPr>
        <w:t>Przyjęte cele strategiczne są wzajemnie równorzędne, a ich realizacja powinna przebiegać równolegle</w:t>
      </w:r>
      <w:r w:rsidR="0068428C">
        <w:rPr>
          <w:rFonts w:asciiTheme="minorHAnsi" w:hAnsiTheme="minorHAnsi"/>
          <w:sz w:val="22"/>
        </w:rPr>
        <w:t xml:space="preserve">, </w:t>
      </w:r>
      <w:r w:rsidR="00282226">
        <w:rPr>
          <w:rFonts w:asciiTheme="minorHAnsi" w:hAnsiTheme="minorHAnsi"/>
          <w:sz w:val="22"/>
        </w:rPr>
        <w:t>po to</w:t>
      </w:r>
      <w:r w:rsidR="00AC3F48">
        <w:rPr>
          <w:rFonts w:asciiTheme="minorHAnsi" w:hAnsiTheme="minorHAnsi"/>
          <w:sz w:val="22"/>
        </w:rPr>
        <w:t xml:space="preserve">, </w:t>
      </w:r>
      <w:r w:rsidR="0068428C">
        <w:rPr>
          <w:rFonts w:asciiTheme="minorHAnsi" w:hAnsiTheme="minorHAnsi"/>
          <w:sz w:val="22"/>
        </w:rPr>
        <w:t xml:space="preserve">aby </w:t>
      </w:r>
      <w:r w:rsidR="00282226">
        <w:rPr>
          <w:rFonts w:asciiTheme="minorHAnsi" w:hAnsiTheme="minorHAnsi"/>
          <w:sz w:val="22"/>
        </w:rPr>
        <w:t>proces rozwo</w:t>
      </w:r>
      <w:r w:rsidR="0068428C">
        <w:rPr>
          <w:rFonts w:asciiTheme="minorHAnsi" w:hAnsiTheme="minorHAnsi"/>
          <w:sz w:val="22"/>
        </w:rPr>
        <w:t>j</w:t>
      </w:r>
      <w:r w:rsidR="00282226">
        <w:rPr>
          <w:rFonts w:asciiTheme="minorHAnsi" w:hAnsiTheme="minorHAnsi"/>
          <w:sz w:val="22"/>
        </w:rPr>
        <w:t>owy</w:t>
      </w:r>
      <w:r w:rsidR="0068428C">
        <w:rPr>
          <w:rFonts w:asciiTheme="minorHAnsi" w:hAnsiTheme="minorHAnsi"/>
          <w:sz w:val="22"/>
        </w:rPr>
        <w:t xml:space="preserve"> miasta i obszaru jego oddziaływania</w:t>
      </w:r>
      <w:r w:rsidR="00282226">
        <w:rPr>
          <w:rFonts w:asciiTheme="minorHAnsi" w:hAnsiTheme="minorHAnsi"/>
          <w:sz w:val="22"/>
        </w:rPr>
        <w:t xml:space="preserve">  </w:t>
      </w:r>
      <w:r w:rsidR="00B05573">
        <w:rPr>
          <w:rFonts w:asciiTheme="minorHAnsi" w:hAnsiTheme="minorHAnsi"/>
          <w:sz w:val="22"/>
        </w:rPr>
        <w:t>dokonywał się w sposób prawidłowy i zrównoważony</w:t>
      </w:r>
      <w:r>
        <w:rPr>
          <w:rFonts w:asciiTheme="minorHAnsi" w:hAnsiTheme="minorHAnsi"/>
          <w:sz w:val="22"/>
        </w:rPr>
        <w:t xml:space="preserve">. </w:t>
      </w:r>
    </w:p>
    <w:p w:rsidR="00F329BD" w:rsidRDefault="00F329BD" w:rsidP="008C1ADA">
      <w:pPr>
        <w:rPr>
          <w:rFonts w:asciiTheme="minorHAnsi" w:hAnsiTheme="minorHAnsi"/>
          <w:sz w:val="22"/>
        </w:rPr>
      </w:pPr>
    </w:p>
    <w:p w:rsidR="00013504" w:rsidRDefault="00F329BD" w:rsidP="008C1ADA">
      <w:pPr>
        <w:rPr>
          <w:rFonts w:asciiTheme="minorHAnsi" w:hAnsiTheme="minorHAnsi"/>
          <w:noProof/>
          <w:sz w:val="22"/>
          <w:lang w:eastAsia="pl-PL"/>
        </w:rPr>
      </w:pPr>
      <w:r>
        <w:rPr>
          <w:rFonts w:asciiTheme="minorHAnsi" w:hAnsiTheme="minorHAnsi"/>
          <w:sz w:val="22"/>
        </w:rPr>
        <w:t xml:space="preserve">Wyzwania strategiczne wynikające z przyjętych 5 celów strategicznych, osiągane będą poprzez realizację celów operacyjnych uszczegółowiających </w:t>
      </w:r>
      <w:r w:rsidR="00C25B44">
        <w:rPr>
          <w:rFonts w:asciiTheme="minorHAnsi" w:hAnsiTheme="minorHAnsi"/>
          <w:sz w:val="22"/>
        </w:rPr>
        <w:t>założone kierunki</w:t>
      </w:r>
      <w:r>
        <w:rPr>
          <w:rFonts w:asciiTheme="minorHAnsi" w:hAnsiTheme="minorHAnsi"/>
          <w:sz w:val="22"/>
        </w:rPr>
        <w:t xml:space="preserve"> rozwoju społeczno-gospodarczego </w:t>
      </w:r>
      <w:r w:rsidR="00AC3F48">
        <w:rPr>
          <w:rFonts w:asciiTheme="minorHAnsi" w:hAnsiTheme="minorHAnsi"/>
          <w:sz w:val="22"/>
        </w:rPr>
        <w:t xml:space="preserve">Legnicy w nadchodzących latach. </w:t>
      </w:r>
      <w:r>
        <w:rPr>
          <w:rFonts w:asciiTheme="minorHAnsi" w:hAnsiTheme="minorHAnsi"/>
          <w:sz w:val="22"/>
        </w:rPr>
        <w:t xml:space="preserve">Ich zakres został określony </w:t>
      </w:r>
      <w:r w:rsidR="007E3F0B">
        <w:rPr>
          <w:rFonts w:asciiTheme="minorHAnsi" w:hAnsiTheme="minorHAnsi"/>
          <w:sz w:val="22"/>
        </w:rPr>
        <w:t>w oparciu o </w:t>
      </w:r>
      <w:r>
        <w:rPr>
          <w:rFonts w:asciiTheme="minorHAnsi" w:hAnsiTheme="minorHAnsi"/>
          <w:sz w:val="22"/>
        </w:rPr>
        <w:t>przeprowadzone analizy, a także na podstawie prac Komitetu Sterującego</w:t>
      </w:r>
      <w:r w:rsidR="000B5C49">
        <w:rPr>
          <w:rFonts w:asciiTheme="minorHAnsi" w:hAnsiTheme="minorHAnsi"/>
          <w:sz w:val="22"/>
        </w:rPr>
        <w:t xml:space="preserve"> uczestniczącego w opracowaniu</w:t>
      </w:r>
      <w:r>
        <w:rPr>
          <w:rFonts w:asciiTheme="minorHAnsi" w:hAnsiTheme="minorHAnsi"/>
          <w:sz w:val="22"/>
        </w:rPr>
        <w:t xml:space="preserve"> </w:t>
      </w:r>
      <w:r w:rsidRPr="00F329BD">
        <w:rPr>
          <w:rFonts w:asciiTheme="minorHAnsi" w:hAnsiTheme="minorHAnsi"/>
          <w:i/>
          <w:sz w:val="22"/>
        </w:rPr>
        <w:t>Strategii rozwoju Miasta L</w:t>
      </w:r>
      <w:r w:rsidR="00B05573">
        <w:rPr>
          <w:rFonts w:asciiTheme="minorHAnsi" w:hAnsiTheme="minorHAnsi"/>
          <w:i/>
          <w:sz w:val="22"/>
        </w:rPr>
        <w:t>egnicy</w:t>
      </w:r>
      <w:r w:rsidRPr="00F329BD">
        <w:rPr>
          <w:rFonts w:asciiTheme="minorHAnsi" w:hAnsiTheme="minorHAnsi"/>
          <w:i/>
          <w:sz w:val="22"/>
        </w:rPr>
        <w:t xml:space="preserve"> 2015-2020 PLUS</w:t>
      </w:r>
      <w:r>
        <w:rPr>
          <w:rFonts w:asciiTheme="minorHAnsi" w:hAnsiTheme="minorHAnsi"/>
          <w:noProof/>
          <w:sz w:val="22"/>
          <w:lang w:eastAsia="pl-PL"/>
        </w:rPr>
        <w:t>, w którego skład wchodzili</w:t>
      </w:r>
      <w:r w:rsidR="007E3F0B">
        <w:rPr>
          <w:rFonts w:asciiTheme="minorHAnsi" w:hAnsiTheme="minorHAnsi"/>
          <w:noProof/>
          <w:sz w:val="22"/>
          <w:lang w:eastAsia="pl-PL"/>
        </w:rPr>
        <w:t xml:space="preserve"> lokalni liderzy opinii</w:t>
      </w:r>
      <w:r w:rsidR="00AC3F48">
        <w:rPr>
          <w:rFonts w:asciiTheme="minorHAnsi" w:hAnsiTheme="minorHAnsi"/>
          <w:noProof/>
          <w:sz w:val="22"/>
          <w:lang w:eastAsia="pl-PL"/>
        </w:rPr>
        <w:t>,</w:t>
      </w:r>
      <w:r w:rsidR="007E3F0B">
        <w:rPr>
          <w:rFonts w:asciiTheme="minorHAnsi" w:hAnsiTheme="minorHAnsi"/>
          <w:noProof/>
          <w:sz w:val="22"/>
          <w:lang w:eastAsia="pl-PL"/>
        </w:rPr>
        <w:t xml:space="preserve"> będący</w:t>
      </w:r>
      <w:r>
        <w:rPr>
          <w:rFonts w:asciiTheme="minorHAnsi" w:hAnsiTheme="minorHAnsi"/>
          <w:noProof/>
          <w:sz w:val="22"/>
          <w:lang w:eastAsia="pl-PL"/>
        </w:rPr>
        <w:t xml:space="preserve"> przedstawic</w:t>
      </w:r>
      <w:r w:rsidR="007E3F0B">
        <w:rPr>
          <w:rFonts w:asciiTheme="minorHAnsi" w:hAnsiTheme="minorHAnsi"/>
          <w:noProof/>
          <w:sz w:val="22"/>
          <w:lang w:eastAsia="pl-PL"/>
        </w:rPr>
        <w:t>ielami</w:t>
      </w:r>
      <w:r>
        <w:rPr>
          <w:rFonts w:asciiTheme="minorHAnsi" w:hAnsiTheme="minorHAnsi"/>
          <w:noProof/>
          <w:sz w:val="22"/>
          <w:lang w:eastAsia="pl-PL"/>
        </w:rPr>
        <w:t xml:space="preserve"> różnych środowisk: </w:t>
      </w:r>
      <w:r w:rsidR="007E3F0B">
        <w:rPr>
          <w:rFonts w:asciiTheme="minorHAnsi" w:hAnsiTheme="minorHAnsi"/>
          <w:noProof/>
          <w:sz w:val="22"/>
          <w:lang w:eastAsia="pl-PL"/>
        </w:rPr>
        <w:t>organizacji społecznych, jednostek budżetowych, urzędów, prz</w:t>
      </w:r>
      <w:r w:rsidR="00B05573">
        <w:rPr>
          <w:rFonts w:asciiTheme="minorHAnsi" w:hAnsiTheme="minorHAnsi"/>
          <w:noProof/>
          <w:sz w:val="22"/>
          <w:lang w:eastAsia="pl-PL"/>
        </w:rPr>
        <w:t>edsiębiorstw, instytucji kultury, sportu, nauki i edukacji</w:t>
      </w:r>
      <w:r>
        <w:rPr>
          <w:rFonts w:asciiTheme="minorHAnsi" w:hAnsiTheme="minorHAnsi"/>
          <w:noProof/>
          <w:sz w:val="22"/>
          <w:lang w:eastAsia="pl-PL"/>
        </w:rPr>
        <w:t xml:space="preserve">. </w:t>
      </w:r>
    </w:p>
    <w:p w:rsidR="00013504" w:rsidRDefault="00013504" w:rsidP="008C1ADA">
      <w:pPr>
        <w:rPr>
          <w:rFonts w:asciiTheme="minorHAnsi" w:hAnsiTheme="minorHAnsi"/>
          <w:noProof/>
          <w:sz w:val="22"/>
          <w:lang w:eastAsia="pl-PL"/>
        </w:rPr>
      </w:pPr>
    </w:p>
    <w:p w:rsidR="00013504" w:rsidRDefault="00013504" w:rsidP="008C1ADA">
      <w:pPr>
        <w:rPr>
          <w:rFonts w:asciiTheme="minorHAnsi" w:hAnsiTheme="minorHAnsi"/>
          <w:noProof/>
          <w:sz w:val="22"/>
          <w:lang w:eastAsia="pl-PL"/>
        </w:rPr>
      </w:pPr>
    </w:p>
    <w:p w:rsidR="00911578" w:rsidRPr="00F329BD" w:rsidRDefault="00911578" w:rsidP="008C1ADA">
      <w:pPr>
        <w:rPr>
          <w:rFonts w:asciiTheme="minorHAnsi" w:hAnsiTheme="minorHAnsi"/>
          <w:noProof/>
          <w:sz w:val="22"/>
          <w:lang w:eastAsia="pl-PL"/>
        </w:rPr>
      </w:pPr>
      <w:r w:rsidRPr="00F329BD">
        <w:rPr>
          <w:rFonts w:asciiTheme="minorHAnsi" w:hAnsiTheme="minorHAnsi"/>
          <w:noProof/>
          <w:sz w:val="22"/>
          <w:lang w:eastAsia="pl-PL"/>
        </w:rPr>
        <w:br w:type="page"/>
      </w:r>
    </w:p>
    <w:p w:rsidR="00EF2853" w:rsidRDefault="004B0B33" w:rsidP="008C1ADA">
      <w:pPr>
        <w:rPr>
          <w:rFonts w:asciiTheme="minorHAnsi" w:hAnsiTheme="minorHAnsi"/>
          <w:sz w:val="22"/>
        </w:rPr>
        <w:sectPr w:rsidR="00EF2853" w:rsidSect="00B07575">
          <w:pgSz w:w="11906" w:h="16838"/>
          <w:pgMar w:top="1417" w:right="1417" w:bottom="1417" w:left="1417" w:header="708" w:footer="708" w:gutter="0"/>
          <w:cols w:space="708"/>
          <w:docGrid w:linePitch="360"/>
        </w:sectPr>
      </w:pPr>
      <w:r>
        <w:rPr>
          <w:rFonts w:asciiTheme="minorHAnsi" w:hAnsiTheme="minorHAnsi"/>
          <w:noProof/>
          <w:sz w:val="22"/>
          <w:lang w:eastAsia="pl-PL"/>
        </w:rPr>
        <w:lastRenderedPageBreak/>
        <w:drawing>
          <wp:inline distT="0" distB="0" distL="0" distR="0" wp14:anchorId="13E9D75E" wp14:editId="0CF7FE67">
            <wp:extent cx="5486400" cy="8763000"/>
            <wp:effectExtent l="0" t="38100" r="57150" b="3810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8C1ADA" w:rsidRDefault="00EF2853" w:rsidP="00EF2853">
      <w:pPr>
        <w:pStyle w:val="Nagwek1"/>
      </w:pPr>
      <w:bookmarkStart w:id="78" w:name="_Toc399756355"/>
      <w:r>
        <w:lastRenderedPageBreak/>
        <w:t>Cele operacyjne. Zadania realizujące cele operacyjne.</w:t>
      </w:r>
      <w:bookmarkEnd w:id="78"/>
    </w:p>
    <w:p w:rsidR="00EF2853" w:rsidRDefault="00EF2853" w:rsidP="00EF2853">
      <w:pPr>
        <w:rPr>
          <w:rFonts w:asciiTheme="minorHAnsi" w:hAnsiTheme="minorHAnsi"/>
        </w:rPr>
      </w:pPr>
    </w:p>
    <w:p w:rsidR="00C25B44" w:rsidRPr="001B61A7" w:rsidRDefault="00C25B44" w:rsidP="00EF2853">
      <w:pPr>
        <w:rPr>
          <w:rFonts w:asciiTheme="minorHAnsi" w:hAnsiTheme="minorHAnsi"/>
          <w:sz w:val="22"/>
        </w:rPr>
      </w:pPr>
      <w:r w:rsidRPr="001B61A7">
        <w:rPr>
          <w:rFonts w:asciiTheme="minorHAnsi" w:hAnsiTheme="minorHAnsi"/>
          <w:sz w:val="22"/>
        </w:rPr>
        <w:t>Wyselekcjonowany zestaw celów operacyjnych przypisanych każdemu z celów strategicznych pozwala w</w:t>
      </w:r>
      <w:r w:rsidR="00F43A19" w:rsidRPr="001B61A7">
        <w:rPr>
          <w:rFonts w:asciiTheme="minorHAnsi" w:hAnsiTheme="minorHAnsi"/>
          <w:sz w:val="22"/>
        </w:rPr>
        <w:t xml:space="preserve"> sposób</w:t>
      </w:r>
      <w:r w:rsidRPr="001B61A7">
        <w:rPr>
          <w:rFonts w:asciiTheme="minorHAnsi" w:hAnsiTheme="minorHAnsi"/>
          <w:sz w:val="22"/>
        </w:rPr>
        <w:t xml:space="preserve"> precyzyjny i szczegółowy określić typy zadań, jakie w nadchodzących latach powinny być wdrażane przez jednostki miejskie, aby w pełni rozwinąć</w:t>
      </w:r>
      <w:r w:rsidR="00F43A19" w:rsidRPr="001B61A7">
        <w:rPr>
          <w:rFonts w:asciiTheme="minorHAnsi" w:hAnsiTheme="minorHAnsi"/>
          <w:sz w:val="22"/>
        </w:rPr>
        <w:t xml:space="preserve"> i wykorzystać</w:t>
      </w:r>
      <w:r w:rsidRPr="001B61A7">
        <w:rPr>
          <w:rFonts w:asciiTheme="minorHAnsi" w:hAnsiTheme="minorHAnsi"/>
          <w:sz w:val="22"/>
        </w:rPr>
        <w:t xml:space="preserve"> posiadane potencjały oraz zniwelować </w:t>
      </w:r>
      <w:r w:rsidR="00F43A19" w:rsidRPr="001B61A7">
        <w:rPr>
          <w:rFonts w:asciiTheme="minorHAnsi" w:hAnsiTheme="minorHAnsi"/>
          <w:sz w:val="22"/>
        </w:rPr>
        <w:t>braki i</w:t>
      </w:r>
      <w:r w:rsidRPr="001B61A7">
        <w:rPr>
          <w:rFonts w:asciiTheme="minorHAnsi" w:hAnsiTheme="minorHAnsi"/>
          <w:sz w:val="22"/>
        </w:rPr>
        <w:t xml:space="preserve"> słabości</w:t>
      </w:r>
      <w:r w:rsidR="00F43A19" w:rsidRPr="001B61A7">
        <w:rPr>
          <w:rFonts w:asciiTheme="minorHAnsi" w:hAnsiTheme="minorHAnsi"/>
          <w:sz w:val="22"/>
        </w:rPr>
        <w:t xml:space="preserve"> w funkcjonowaniu</w:t>
      </w:r>
      <w:r w:rsidRPr="001B61A7">
        <w:rPr>
          <w:rFonts w:asciiTheme="minorHAnsi" w:hAnsiTheme="minorHAnsi"/>
          <w:sz w:val="22"/>
        </w:rPr>
        <w:t xml:space="preserve"> miasta.</w:t>
      </w:r>
    </w:p>
    <w:p w:rsidR="00F43A19" w:rsidRPr="001B61A7" w:rsidRDefault="00F43A19" w:rsidP="00EF2853">
      <w:pPr>
        <w:rPr>
          <w:rFonts w:asciiTheme="minorHAnsi" w:hAnsiTheme="minorHAnsi"/>
          <w:sz w:val="22"/>
        </w:rPr>
      </w:pPr>
    </w:p>
    <w:p w:rsidR="00F967A4" w:rsidRDefault="00F43A19" w:rsidP="00EF2853">
      <w:pPr>
        <w:rPr>
          <w:rFonts w:asciiTheme="minorHAnsi" w:hAnsiTheme="minorHAnsi"/>
          <w:sz w:val="22"/>
        </w:rPr>
      </w:pPr>
      <w:r w:rsidRPr="001B61A7">
        <w:rPr>
          <w:rFonts w:asciiTheme="minorHAnsi" w:hAnsiTheme="minorHAnsi"/>
          <w:sz w:val="22"/>
        </w:rPr>
        <w:t xml:space="preserve">Poniżej w formie tabelarycznej przedstawiony został schemat celów strategicznych, celów operacyjnych oraz </w:t>
      </w:r>
      <w:r w:rsidR="009E7976" w:rsidRPr="001B61A7">
        <w:rPr>
          <w:rFonts w:asciiTheme="minorHAnsi" w:hAnsiTheme="minorHAnsi"/>
          <w:sz w:val="22"/>
        </w:rPr>
        <w:t>opisów typów</w:t>
      </w:r>
      <w:r w:rsidRPr="001B61A7">
        <w:rPr>
          <w:rFonts w:asciiTheme="minorHAnsi" w:hAnsiTheme="minorHAnsi"/>
          <w:sz w:val="22"/>
        </w:rPr>
        <w:t xml:space="preserve"> zadań, których realizacja przyczyni się do osiągnięcia zamierzonych celów i wizji rozwoju Legnicy.</w:t>
      </w:r>
      <w:r w:rsidR="00A9140E">
        <w:rPr>
          <w:rFonts w:asciiTheme="minorHAnsi" w:hAnsiTheme="minorHAnsi"/>
          <w:sz w:val="22"/>
        </w:rPr>
        <w:t xml:space="preserve"> Wymienione zostały także potencjalne źródła finansowania</w:t>
      </w:r>
      <w:r w:rsidR="00F967A4">
        <w:rPr>
          <w:rFonts w:asciiTheme="minorHAnsi" w:hAnsiTheme="minorHAnsi"/>
          <w:sz w:val="22"/>
        </w:rPr>
        <w:t xml:space="preserve"> projektów w </w:t>
      </w:r>
      <w:r w:rsidR="00A9140E">
        <w:rPr>
          <w:rFonts w:asciiTheme="minorHAnsi" w:hAnsiTheme="minorHAnsi"/>
          <w:sz w:val="22"/>
        </w:rPr>
        <w:t xml:space="preserve">ramach poszczególnych celów. </w:t>
      </w:r>
      <w:r w:rsidR="00F967A4">
        <w:rPr>
          <w:rFonts w:asciiTheme="minorHAnsi" w:hAnsiTheme="minorHAnsi"/>
          <w:sz w:val="22"/>
        </w:rPr>
        <w:t>Ostateczny zakres zadań, które będą mogły zostać</w:t>
      </w:r>
      <w:r w:rsidR="00A9140E">
        <w:rPr>
          <w:rFonts w:asciiTheme="minorHAnsi" w:hAnsiTheme="minorHAnsi"/>
          <w:sz w:val="22"/>
        </w:rPr>
        <w:t xml:space="preserve"> </w:t>
      </w:r>
      <w:r w:rsidR="00F967A4">
        <w:rPr>
          <w:rFonts w:asciiTheme="minorHAnsi" w:hAnsiTheme="minorHAnsi"/>
          <w:sz w:val="22"/>
        </w:rPr>
        <w:t>zrealizowane w nadchodzących latach będzie zależał</w:t>
      </w:r>
      <w:r w:rsidR="00A9140E">
        <w:rPr>
          <w:rFonts w:asciiTheme="minorHAnsi" w:hAnsiTheme="minorHAnsi"/>
          <w:sz w:val="22"/>
        </w:rPr>
        <w:t xml:space="preserve"> od możliwości</w:t>
      </w:r>
      <w:r w:rsidR="00F967A4">
        <w:rPr>
          <w:rFonts w:asciiTheme="minorHAnsi" w:hAnsiTheme="minorHAnsi"/>
          <w:sz w:val="22"/>
        </w:rPr>
        <w:t xml:space="preserve"> budżetowych</w:t>
      </w:r>
      <w:r w:rsidR="00AC3F48">
        <w:rPr>
          <w:rFonts w:asciiTheme="minorHAnsi" w:hAnsiTheme="minorHAnsi"/>
          <w:sz w:val="22"/>
        </w:rPr>
        <w:t xml:space="preserve"> M</w:t>
      </w:r>
      <w:r w:rsidR="00A9140E">
        <w:rPr>
          <w:rFonts w:asciiTheme="minorHAnsi" w:hAnsiTheme="minorHAnsi"/>
          <w:sz w:val="22"/>
        </w:rPr>
        <w:t>iasta oraz skuteczności</w:t>
      </w:r>
      <w:r w:rsidR="00F967A4">
        <w:rPr>
          <w:rFonts w:asciiTheme="minorHAnsi" w:hAnsiTheme="minorHAnsi"/>
          <w:sz w:val="22"/>
        </w:rPr>
        <w:t xml:space="preserve"> pozyskiwania</w:t>
      </w:r>
      <w:r w:rsidR="00A9140E">
        <w:rPr>
          <w:rFonts w:asciiTheme="minorHAnsi" w:hAnsiTheme="minorHAnsi"/>
          <w:sz w:val="22"/>
        </w:rPr>
        <w:t xml:space="preserve"> środków zewnętrznych pochodzących z funduszy europejskich oraz innych funduszy krajowych. </w:t>
      </w:r>
    </w:p>
    <w:p w:rsidR="00F967A4" w:rsidRDefault="00F967A4" w:rsidP="00EF2853">
      <w:pPr>
        <w:rPr>
          <w:rFonts w:asciiTheme="minorHAnsi" w:hAnsiTheme="minorHAnsi"/>
          <w:sz w:val="22"/>
        </w:rPr>
      </w:pPr>
    </w:p>
    <w:p w:rsidR="00FB27D0" w:rsidRPr="00A9140E" w:rsidRDefault="00F43A19" w:rsidP="00EF2853">
      <w:pPr>
        <w:rPr>
          <w:rFonts w:asciiTheme="minorHAnsi" w:hAnsiTheme="minorHAnsi"/>
          <w:sz w:val="22"/>
        </w:rPr>
      </w:pPr>
      <w:r w:rsidRPr="001B61A7">
        <w:rPr>
          <w:rFonts w:asciiTheme="minorHAnsi" w:hAnsiTheme="minorHAnsi"/>
          <w:sz w:val="22"/>
        </w:rPr>
        <w:t xml:space="preserve">Pod każdym z </w:t>
      </w:r>
      <w:r w:rsidR="00B05573" w:rsidRPr="001B61A7">
        <w:rPr>
          <w:rFonts w:asciiTheme="minorHAnsi" w:hAnsiTheme="minorHAnsi"/>
          <w:sz w:val="22"/>
        </w:rPr>
        <w:t>celów operacyjnych zostały</w:t>
      </w:r>
      <w:r w:rsidRPr="001B61A7">
        <w:rPr>
          <w:rFonts w:asciiTheme="minorHAnsi" w:hAnsiTheme="minorHAnsi"/>
          <w:sz w:val="22"/>
        </w:rPr>
        <w:t xml:space="preserve"> określone wskaźniki rezultatu, które będą służyły monitorowaniu i ewaluacji procesu wdrażania założeń </w:t>
      </w:r>
      <w:r w:rsidRPr="001B61A7">
        <w:rPr>
          <w:rFonts w:asciiTheme="minorHAnsi" w:hAnsiTheme="minorHAnsi"/>
          <w:i/>
          <w:sz w:val="22"/>
        </w:rPr>
        <w:t>Strategii</w:t>
      </w:r>
      <w:r w:rsidRPr="001B61A7">
        <w:rPr>
          <w:rFonts w:asciiTheme="minorHAnsi" w:hAnsiTheme="minorHAnsi"/>
          <w:sz w:val="22"/>
        </w:rPr>
        <w:t xml:space="preserve"> w kolejnych latach</w:t>
      </w:r>
      <w:r w:rsidRPr="001B61A7">
        <w:rPr>
          <w:rStyle w:val="Odwoanieprzypisudolnego"/>
          <w:rFonts w:asciiTheme="minorHAnsi" w:hAnsiTheme="minorHAnsi"/>
          <w:sz w:val="22"/>
        </w:rPr>
        <w:footnoteReference w:id="45"/>
      </w:r>
      <w:r w:rsidR="00A9140E">
        <w:rPr>
          <w:rFonts w:asciiTheme="minorHAnsi" w:hAnsiTheme="minorHAnsi"/>
          <w:sz w:val="22"/>
        </w:rPr>
        <w:t>.</w:t>
      </w:r>
    </w:p>
    <w:p w:rsidR="0010032B" w:rsidRDefault="0010032B" w:rsidP="00EF2853">
      <w:pPr>
        <w:rPr>
          <w:rFonts w:asciiTheme="minorHAnsi" w:hAnsiTheme="minorHAnsi"/>
        </w:rPr>
      </w:pPr>
    </w:p>
    <w:tbl>
      <w:tblPr>
        <w:tblStyle w:val="Tabela-Siatka"/>
        <w:tblW w:w="9067" w:type="dxa"/>
        <w:tblInd w:w="-5" w:type="dxa"/>
        <w:tblLook w:val="04A0" w:firstRow="1" w:lastRow="0" w:firstColumn="1" w:lastColumn="0" w:noHBand="0" w:noVBand="1"/>
      </w:tblPr>
      <w:tblGrid>
        <w:gridCol w:w="2553"/>
        <w:gridCol w:w="6514"/>
      </w:tblGrid>
      <w:tr w:rsidR="00D36034" w:rsidRPr="00EA76D8" w:rsidTr="009855D9">
        <w:tc>
          <w:tcPr>
            <w:tcW w:w="9067" w:type="dxa"/>
            <w:gridSpan w:val="2"/>
            <w:tcBorders>
              <w:bottom w:val="single" w:sz="4" w:space="0" w:color="auto"/>
            </w:tcBorders>
            <w:shd w:val="clear" w:color="auto" w:fill="ED7D31" w:themeFill="accent2"/>
            <w:vAlign w:val="center"/>
          </w:tcPr>
          <w:p w:rsidR="00EA76D8" w:rsidRPr="00EA76D8" w:rsidRDefault="00D36034" w:rsidP="00EA76D8">
            <w:pPr>
              <w:spacing w:before="240" w:after="240"/>
              <w:jc w:val="center"/>
              <w:rPr>
                <w:rFonts w:asciiTheme="minorHAnsi" w:hAnsiTheme="minorHAnsi"/>
                <w:b/>
                <w:bCs/>
                <w:i/>
                <w:iCs/>
                <w:color w:val="FFFFFF" w:themeColor="background1"/>
                <w:sz w:val="32"/>
              </w:rPr>
            </w:pPr>
            <w:r w:rsidRPr="00EA76D8">
              <w:rPr>
                <w:rFonts w:asciiTheme="minorHAnsi" w:hAnsiTheme="minorHAnsi"/>
                <w:b/>
                <w:bCs/>
                <w:color w:val="FFFFFF" w:themeColor="background1"/>
                <w:sz w:val="32"/>
              </w:rPr>
              <w:t xml:space="preserve">Cel strategiczny I  - </w:t>
            </w:r>
            <w:r w:rsidRPr="00EA76D8">
              <w:rPr>
                <w:rFonts w:asciiTheme="minorHAnsi" w:hAnsiTheme="minorHAnsi"/>
                <w:b/>
                <w:bCs/>
                <w:i/>
                <w:iCs/>
                <w:color w:val="FFFFFF" w:themeColor="background1"/>
                <w:sz w:val="32"/>
              </w:rPr>
              <w:t>Rozwój nowoczesnej gospodarki opartej na innowacjach oraz podnoszenie atrakcyjności inwestycyjnej Miasta</w:t>
            </w:r>
          </w:p>
        </w:tc>
      </w:tr>
      <w:tr w:rsidR="00F51613" w:rsidTr="009855D9">
        <w:trPr>
          <w:trHeight w:val="227"/>
        </w:trPr>
        <w:tc>
          <w:tcPr>
            <w:tcW w:w="9067" w:type="dxa"/>
            <w:gridSpan w:val="2"/>
            <w:tcBorders>
              <w:left w:val="nil"/>
              <w:right w:val="nil"/>
            </w:tcBorders>
            <w:shd w:val="clear" w:color="auto" w:fill="FFFFFF" w:themeFill="background1"/>
          </w:tcPr>
          <w:p w:rsidR="00F51613" w:rsidRPr="00F51613" w:rsidRDefault="00F51613" w:rsidP="00841C5B">
            <w:pPr>
              <w:spacing w:line="240" w:lineRule="auto"/>
              <w:jc w:val="left"/>
              <w:rPr>
                <w:rFonts w:ascii="Calibri" w:hAnsi="Calibri"/>
                <w:color w:val="000000"/>
                <w:sz w:val="8"/>
              </w:rPr>
            </w:pPr>
          </w:p>
        </w:tc>
      </w:tr>
      <w:tr w:rsidR="00696D06" w:rsidTr="009855D9">
        <w:trPr>
          <w:trHeight w:val="566"/>
        </w:trPr>
        <w:tc>
          <w:tcPr>
            <w:tcW w:w="2553" w:type="dxa"/>
            <w:tcBorders>
              <w:right w:val="single" w:sz="4" w:space="0" w:color="auto"/>
            </w:tcBorders>
            <w:shd w:val="clear" w:color="auto" w:fill="F4B083" w:themeFill="accent2" w:themeFillTint="99"/>
          </w:tcPr>
          <w:p w:rsidR="00696D06" w:rsidRPr="00A45758" w:rsidRDefault="00696D06" w:rsidP="0067261F">
            <w:pPr>
              <w:jc w:val="left"/>
              <w:rPr>
                <w:rFonts w:asciiTheme="minorHAnsi" w:hAnsiTheme="minorHAnsi"/>
                <w:sz w:val="22"/>
              </w:rPr>
            </w:pPr>
            <w:r w:rsidRPr="00A45758">
              <w:rPr>
                <w:rFonts w:asciiTheme="minorHAnsi" w:hAnsiTheme="minorHAnsi"/>
                <w:b/>
                <w:bCs/>
                <w:sz w:val="22"/>
              </w:rPr>
              <w:t>Cel Operacyjny I.1 - Modernizacja i rozbudowa układu tr</w:t>
            </w:r>
            <w:r>
              <w:rPr>
                <w:rFonts w:asciiTheme="minorHAnsi" w:hAnsiTheme="minorHAnsi"/>
                <w:b/>
                <w:bCs/>
                <w:sz w:val="22"/>
              </w:rPr>
              <w:t>ansportu publicznego o </w:t>
            </w:r>
            <w:r w:rsidRPr="00A45758">
              <w:rPr>
                <w:rFonts w:asciiTheme="minorHAnsi" w:hAnsiTheme="minorHAnsi"/>
                <w:b/>
                <w:bCs/>
                <w:sz w:val="22"/>
              </w:rPr>
              <w:t>znacz</w:t>
            </w:r>
            <w:r>
              <w:rPr>
                <w:rFonts w:asciiTheme="minorHAnsi" w:hAnsiTheme="minorHAnsi"/>
                <w:b/>
                <w:bCs/>
                <w:sz w:val="22"/>
              </w:rPr>
              <w:t>eniu regionalnym i </w:t>
            </w:r>
            <w:r w:rsidRPr="00A45758">
              <w:rPr>
                <w:rFonts w:asciiTheme="minorHAnsi" w:hAnsiTheme="minorHAnsi"/>
                <w:b/>
                <w:bCs/>
                <w:sz w:val="22"/>
              </w:rPr>
              <w:t>ponadlokalnym</w:t>
            </w:r>
            <w:r w:rsidR="00400293">
              <w:rPr>
                <w:rFonts w:asciiTheme="minorHAnsi" w:hAnsiTheme="minorHAnsi"/>
                <w:b/>
                <w:bCs/>
                <w:sz w:val="22"/>
              </w:rPr>
              <w:t xml:space="preserve"> </w:t>
            </w:r>
          </w:p>
        </w:tc>
        <w:tc>
          <w:tcPr>
            <w:tcW w:w="6514" w:type="dxa"/>
            <w:tcBorders>
              <w:top w:val="single" w:sz="4" w:space="0" w:color="auto"/>
              <w:left w:val="single" w:sz="4" w:space="0" w:color="auto"/>
              <w:right w:val="single" w:sz="4" w:space="0" w:color="auto"/>
            </w:tcBorders>
            <w:shd w:val="clear" w:color="auto" w:fill="FBE4D5" w:themeFill="accent2" w:themeFillTint="33"/>
          </w:tcPr>
          <w:p w:rsidR="00696D06" w:rsidRDefault="00696D06" w:rsidP="003A42F5">
            <w:pPr>
              <w:spacing w:line="240" w:lineRule="auto"/>
              <w:rPr>
                <w:rFonts w:ascii="Calibri" w:hAnsi="Calibri"/>
                <w:color w:val="000000"/>
                <w:sz w:val="20"/>
              </w:rPr>
            </w:pPr>
            <w:r>
              <w:rPr>
                <w:rFonts w:ascii="Calibri" w:hAnsi="Calibri"/>
                <w:color w:val="000000"/>
                <w:sz w:val="20"/>
              </w:rPr>
              <w:t>Legnica leżąca na przecięciu licznych szlaków tranzytowych i komunikacyjnych stanowi atrakcyjną lokalizację dla potencjalnych inwestycji. Niezwykle ważne jest zapewnienie drożności systemów komunikacyjnych wewnątrz miasta, a przede wszystkim przeniesienie głównych arterii komunikacyjnych Legnicy na jej obrzeża. Zmniejszy to uciążliwość związaną z hałasem i ruchem drogowym w centrum Legnicy, a także uatrakcyjni w oczach inwestorów wolne tereny otacza</w:t>
            </w:r>
            <w:r w:rsidR="00D32A67">
              <w:rPr>
                <w:rFonts w:ascii="Calibri" w:hAnsi="Calibri"/>
                <w:color w:val="000000"/>
                <w:sz w:val="20"/>
              </w:rPr>
              <w:t>jące główny rdzeń miasta. W</w:t>
            </w:r>
            <w:r>
              <w:rPr>
                <w:rFonts w:ascii="Calibri" w:hAnsi="Calibri"/>
                <w:color w:val="000000"/>
                <w:sz w:val="20"/>
              </w:rPr>
              <w:t xml:space="preserve"> nadchodzącej perspektywie</w:t>
            </w:r>
            <w:r w:rsidR="00D32A67">
              <w:rPr>
                <w:rFonts w:ascii="Calibri" w:hAnsi="Calibri"/>
                <w:color w:val="000000"/>
                <w:sz w:val="20"/>
              </w:rPr>
              <w:t xml:space="preserve"> należy</w:t>
            </w:r>
            <w:r>
              <w:rPr>
                <w:rFonts w:ascii="Calibri" w:hAnsi="Calibri"/>
                <w:color w:val="000000"/>
                <w:sz w:val="20"/>
              </w:rPr>
              <w:t xml:space="preserve"> skupić się na tych celach inwestycyjnych, które z jednej strony znacząco </w:t>
            </w:r>
            <w:r w:rsidR="00D32A67">
              <w:rPr>
                <w:rFonts w:ascii="Calibri" w:hAnsi="Calibri"/>
                <w:color w:val="000000"/>
                <w:sz w:val="20"/>
              </w:rPr>
              <w:t>poprawią</w:t>
            </w:r>
            <w:r>
              <w:rPr>
                <w:rFonts w:ascii="Calibri" w:hAnsi="Calibri"/>
                <w:color w:val="000000"/>
                <w:sz w:val="20"/>
              </w:rPr>
              <w:t xml:space="preserve"> jakość i bezpieczeństwo podróżowania, jak również wpłyną na atrakcyjność inwestycyjną miasta</w:t>
            </w:r>
            <w:r w:rsidR="00400293">
              <w:rPr>
                <w:rFonts w:ascii="Calibri" w:hAnsi="Calibri"/>
                <w:color w:val="000000"/>
                <w:sz w:val="20"/>
              </w:rPr>
              <w:t>.</w:t>
            </w:r>
          </w:p>
          <w:p w:rsidR="00696D06" w:rsidRDefault="00696D06" w:rsidP="003A42F5">
            <w:pPr>
              <w:spacing w:line="240" w:lineRule="auto"/>
              <w:rPr>
                <w:rFonts w:ascii="Calibri" w:hAnsi="Calibri"/>
                <w:color w:val="000000"/>
                <w:sz w:val="20"/>
              </w:rPr>
            </w:pPr>
          </w:p>
          <w:p w:rsidR="00696D06" w:rsidRDefault="00696D06" w:rsidP="003A42F5">
            <w:pPr>
              <w:spacing w:line="240" w:lineRule="auto"/>
              <w:rPr>
                <w:rFonts w:ascii="Calibri" w:hAnsi="Calibri"/>
                <w:color w:val="000000"/>
                <w:sz w:val="20"/>
              </w:rPr>
            </w:pPr>
            <w:r>
              <w:rPr>
                <w:rFonts w:ascii="Calibri" w:hAnsi="Calibri"/>
                <w:color w:val="000000"/>
                <w:sz w:val="20"/>
              </w:rPr>
              <w:t xml:space="preserve">Sprawne i płynne przemieszczanie się wewnątrz miasta uwarunkowane jest możliwościami dalszego usprawniania i wdrażania </w:t>
            </w:r>
            <w:r w:rsidRPr="003B5171">
              <w:rPr>
                <w:rFonts w:ascii="Calibri" w:hAnsi="Calibri"/>
                <w:b/>
                <w:color w:val="000000"/>
                <w:sz w:val="20"/>
              </w:rPr>
              <w:t>zintegrowanych systemów zarządzania ruchem i transportem publicznym</w:t>
            </w:r>
            <w:r>
              <w:rPr>
                <w:rFonts w:ascii="Calibri" w:hAnsi="Calibri"/>
                <w:b/>
                <w:color w:val="000000"/>
                <w:sz w:val="20"/>
              </w:rPr>
              <w:t xml:space="preserve">. </w:t>
            </w:r>
            <w:r>
              <w:rPr>
                <w:rFonts w:ascii="Calibri" w:hAnsi="Calibri"/>
                <w:color w:val="000000"/>
                <w:sz w:val="20"/>
              </w:rPr>
              <w:t>Inwestycje w tej sferze znacząco poprawią jakość przemieszczania się zarówno prywatnymi środkami transportu jak i komunikacją publiczną, ograniczając</w:t>
            </w:r>
            <w:r w:rsidR="00400293">
              <w:rPr>
                <w:rFonts w:ascii="Calibri" w:hAnsi="Calibri"/>
                <w:color w:val="000000"/>
                <w:sz w:val="20"/>
              </w:rPr>
              <w:t xml:space="preserve"> powstawanie zatorów drogowych oraz</w:t>
            </w:r>
            <w:r>
              <w:rPr>
                <w:rFonts w:ascii="Calibri" w:hAnsi="Calibri"/>
                <w:color w:val="000000"/>
                <w:sz w:val="20"/>
              </w:rPr>
              <w:t xml:space="preserve"> skracając czas przejazdu.</w:t>
            </w:r>
          </w:p>
          <w:p w:rsidR="00696D06" w:rsidRDefault="00696D06" w:rsidP="003A42F5">
            <w:pPr>
              <w:spacing w:line="240" w:lineRule="auto"/>
              <w:rPr>
                <w:rFonts w:ascii="Calibri" w:hAnsi="Calibri"/>
                <w:color w:val="000000"/>
                <w:sz w:val="20"/>
              </w:rPr>
            </w:pPr>
          </w:p>
          <w:p w:rsidR="00696D06" w:rsidRDefault="00696D06" w:rsidP="003A42F5">
            <w:pPr>
              <w:spacing w:line="240" w:lineRule="auto"/>
              <w:rPr>
                <w:rFonts w:ascii="Calibri" w:hAnsi="Calibri"/>
                <w:color w:val="000000"/>
                <w:sz w:val="20"/>
              </w:rPr>
            </w:pPr>
            <w:r>
              <w:rPr>
                <w:rFonts w:ascii="Calibri" w:hAnsi="Calibri"/>
                <w:color w:val="000000"/>
                <w:sz w:val="20"/>
              </w:rPr>
              <w:t>Inwestycjami wpływającymi na udrożnienie ciągów komu</w:t>
            </w:r>
            <w:r w:rsidR="006308E8">
              <w:rPr>
                <w:rFonts w:ascii="Calibri" w:hAnsi="Calibri"/>
                <w:color w:val="000000"/>
                <w:sz w:val="20"/>
              </w:rPr>
              <w:t xml:space="preserve">nikacyjnych w centrum miasta są budowa </w:t>
            </w:r>
            <w:r>
              <w:rPr>
                <w:rFonts w:ascii="Calibri" w:hAnsi="Calibri"/>
                <w:b/>
                <w:color w:val="000000"/>
                <w:sz w:val="20"/>
              </w:rPr>
              <w:t>Zbiorczej Drogi Południowej</w:t>
            </w:r>
            <w:r w:rsidR="00400293">
              <w:rPr>
                <w:rFonts w:ascii="Calibri" w:hAnsi="Calibri"/>
                <w:b/>
                <w:color w:val="000000"/>
                <w:sz w:val="20"/>
              </w:rPr>
              <w:t xml:space="preserve"> wraz z budową przeprawy mostowej na Kaczawie,</w:t>
            </w:r>
            <w:r w:rsidR="006308E8">
              <w:rPr>
                <w:rFonts w:ascii="Calibri" w:hAnsi="Calibri"/>
                <w:b/>
                <w:color w:val="000000"/>
                <w:sz w:val="20"/>
              </w:rPr>
              <w:t xml:space="preserve"> </w:t>
            </w:r>
            <w:r w:rsidR="006308E8">
              <w:rPr>
                <w:rFonts w:ascii="Calibri" w:hAnsi="Calibri"/>
                <w:color w:val="000000"/>
                <w:sz w:val="20"/>
              </w:rPr>
              <w:t xml:space="preserve">gruntowne </w:t>
            </w:r>
            <w:r w:rsidR="006308E8" w:rsidRPr="00400293">
              <w:rPr>
                <w:rFonts w:ascii="Calibri" w:hAnsi="Calibri"/>
                <w:color w:val="000000"/>
                <w:sz w:val="20"/>
              </w:rPr>
              <w:t>modernizacje</w:t>
            </w:r>
            <w:r w:rsidR="006308E8">
              <w:rPr>
                <w:rFonts w:ascii="Calibri" w:hAnsi="Calibri"/>
                <w:color w:val="000000"/>
                <w:sz w:val="20"/>
              </w:rPr>
              <w:t xml:space="preserve"> oraz </w:t>
            </w:r>
            <w:r w:rsidR="006308E8">
              <w:rPr>
                <w:rFonts w:ascii="Calibri" w:hAnsi="Calibri"/>
                <w:color w:val="000000"/>
                <w:sz w:val="20"/>
              </w:rPr>
              <w:lastRenderedPageBreak/>
              <w:t>rozbudowa</w:t>
            </w:r>
            <w:r w:rsidR="006308E8" w:rsidRPr="00400293">
              <w:rPr>
                <w:rFonts w:ascii="Calibri" w:hAnsi="Calibri"/>
                <w:color w:val="000000"/>
                <w:sz w:val="20"/>
              </w:rPr>
              <w:t xml:space="preserve"> dróg zbiorczych:</w:t>
            </w:r>
            <w:r w:rsidR="006308E8">
              <w:rPr>
                <w:rFonts w:ascii="Calibri" w:hAnsi="Calibri"/>
                <w:b/>
                <w:color w:val="000000"/>
                <w:sz w:val="20"/>
              </w:rPr>
              <w:t xml:space="preserve"> </w:t>
            </w:r>
            <w:r w:rsidR="00400293">
              <w:rPr>
                <w:rFonts w:ascii="Calibri" w:hAnsi="Calibri"/>
                <w:b/>
                <w:color w:val="000000"/>
                <w:sz w:val="20"/>
              </w:rPr>
              <w:t xml:space="preserve"> </w:t>
            </w:r>
            <w:r w:rsidRPr="003A42F5">
              <w:rPr>
                <w:rFonts w:ascii="Calibri" w:hAnsi="Calibri"/>
                <w:b/>
                <w:color w:val="000000"/>
                <w:sz w:val="20"/>
              </w:rPr>
              <w:t>ul.</w:t>
            </w:r>
            <w:r w:rsidR="00400293">
              <w:rPr>
                <w:rFonts w:ascii="Calibri" w:hAnsi="Calibri"/>
                <w:b/>
                <w:color w:val="000000"/>
                <w:sz w:val="20"/>
              </w:rPr>
              <w:t> </w:t>
            </w:r>
            <w:r w:rsidRPr="003A42F5">
              <w:rPr>
                <w:rFonts w:ascii="Calibri" w:hAnsi="Calibri"/>
                <w:b/>
                <w:color w:val="000000"/>
                <w:sz w:val="20"/>
              </w:rPr>
              <w:t>Jaworzyńskiej</w:t>
            </w:r>
            <w:r>
              <w:rPr>
                <w:rFonts w:ascii="Calibri" w:hAnsi="Calibri"/>
                <w:b/>
                <w:color w:val="000000"/>
                <w:sz w:val="20"/>
              </w:rPr>
              <w:t>,</w:t>
            </w:r>
            <w:r w:rsidR="00400293">
              <w:rPr>
                <w:rFonts w:ascii="Calibri" w:hAnsi="Calibri"/>
                <w:b/>
                <w:color w:val="000000"/>
                <w:sz w:val="20"/>
              </w:rPr>
              <w:t xml:space="preserve"> ul. Piłsudskiego z ul. Sikorskiego</w:t>
            </w:r>
            <w:r w:rsidR="00400293" w:rsidRPr="00B62340">
              <w:rPr>
                <w:rFonts w:ascii="Calibri" w:hAnsi="Calibri"/>
                <w:color w:val="000000"/>
                <w:sz w:val="20"/>
              </w:rPr>
              <w:t>,</w:t>
            </w:r>
            <w:r w:rsidR="00367C64">
              <w:rPr>
                <w:rFonts w:ascii="Calibri" w:hAnsi="Calibri"/>
                <w:color w:val="000000"/>
                <w:sz w:val="20"/>
              </w:rPr>
              <w:t xml:space="preserve"> </w:t>
            </w:r>
            <w:r w:rsidR="00367C64" w:rsidRPr="00367C64">
              <w:rPr>
                <w:rFonts w:ascii="Calibri" w:hAnsi="Calibri"/>
                <w:b/>
                <w:color w:val="000000"/>
                <w:sz w:val="20"/>
              </w:rPr>
              <w:t>ul. Szczytnickiej</w:t>
            </w:r>
            <w:r w:rsidR="00367C64">
              <w:rPr>
                <w:rFonts w:ascii="Calibri" w:hAnsi="Calibri"/>
                <w:b/>
                <w:color w:val="000000"/>
                <w:sz w:val="20"/>
              </w:rPr>
              <w:t>,</w:t>
            </w:r>
            <w:r w:rsidR="00B62340" w:rsidRPr="00B62340">
              <w:rPr>
                <w:rFonts w:ascii="Calibri" w:hAnsi="Calibri"/>
                <w:color w:val="000000"/>
                <w:sz w:val="20"/>
              </w:rPr>
              <w:t xml:space="preserve"> a</w:t>
            </w:r>
            <w:r w:rsidR="006308E8">
              <w:rPr>
                <w:rFonts w:ascii="Calibri" w:hAnsi="Calibri"/>
                <w:color w:val="000000"/>
                <w:sz w:val="20"/>
              </w:rPr>
              <w:t> </w:t>
            </w:r>
            <w:r w:rsidR="00B62340" w:rsidRPr="00B62340">
              <w:rPr>
                <w:rFonts w:ascii="Calibri" w:hAnsi="Calibri"/>
                <w:color w:val="000000"/>
                <w:sz w:val="20"/>
              </w:rPr>
              <w:t>w</w:t>
            </w:r>
            <w:r w:rsidR="006308E8">
              <w:rPr>
                <w:rFonts w:ascii="Calibri" w:hAnsi="Calibri"/>
                <w:color w:val="000000"/>
                <w:sz w:val="20"/>
              </w:rPr>
              <w:t> </w:t>
            </w:r>
            <w:r w:rsidR="00B62340" w:rsidRPr="00B62340">
              <w:rPr>
                <w:rFonts w:ascii="Calibri" w:hAnsi="Calibri"/>
                <w:color w:val="000000"/>
                <w:sz w:val="20"/>
              </w:rPr>
              <w:t>dalszej perspektywie</w:t>
            </w:r>
            <w:r w:rsidR="006308E8">
              <w:rPr>
                <w:rFonts w:ascii="Calibri" w:hAnsi="Calibri"/>
                <w:color w:val="000000"/>
                <w:sz w:val="20"/>
              </w:rPr>
              <w:t xml:space="preserve"> rozbudowa</w:t>
            </w:r>
            <w:r w:rsidR="00B62340">
              <w:rPr>
                <w:rFonts w:ascii="Calibri" w:hAnsi="Calibri"/>
                <w:b/>
                <w:color w:val="000000"/>
                <w:sz w:val="20"/>
              </w:rPr>
              <w:t xml:space="preserve"> ul. Z</w:t>
            </w:r>
            <w:r w:rsidR="005B319A">
              <w:rPr>
                <w:rFonts w:ascii="Calibri" w:hAnsi="Calibri"/>
                <w:b/>
                <w:color w:val="000000"/>
                <w:sz w:val="20"/>
              </w:rPr>
              <w:t>łotoryjskiej i ul. </w:t>
            </w:r>
            <w:r w:rsidR="006308E8">
              <w:rPr>
                <w:rFonts w:ascii="Calibri" w:hAnsi="Calibri"/>
                <w:b/>
                <w:color w:val="000000"/>
                <w:sz w:val="20"/>
              </w:rPr>
              <w:t>Chojnowskiej.</w:t>
            </w:r>
            <w:r>
              <w:rPr>
                <w:rFonts w:ascii="Calibri" w:hAnsi="Calibri"/>
                <w:b/>
                <w:color w:val="000000"/>
                <w:sz w:val="20"/>
              </w:rPr>
              <w:t xml:space="preserve"> </w:t>
            </w:r>
            <w:r w:rsidR="006308E8">
              <w:rPr>
                <w:rFonts w:ascii="Calibri" w:hAnsi="Calibri"/>
                <w:color w:val="000000"/>
                <w:sz w:val="20"/>
              </w:rPr>
              <w:t>Inwestycje te</w:t>
            </w:r>
            <w:r>
              <w:rPr>
                <w:rFonts w:ascii="Calibri" w:hAnsi="Calibri"/>
                <w:color w:val="000000"/>
                <w:sz w:val="20"/>
              </w:rPr>
              <w:t xml:space="preserve"> znacznie zwiększą</w:t>
            </w:r>
            <w:r w:rsidRPr="003A42F5">
              <w:rPr>
                <w:rFonts w:ascii="Calibri" w:hAnsi="Calibri"/>
                <w:color w:val="000000"/>
                <w:sz w:val="20"/>
              </w:rPr>
              <w:t xml:space="preserve"> bezpieczeństwo or</w:t>
            </w:r>
            <w:r>
              <w:rPr>
                <w:rFonts w:ascii="Calibri" w:hAnsi="Calibri"/>
                <w:color w:val="000000"/>
                <w:sz w:val="20"/>
              </w:rPr>
              <w:t xml:space="preserve">az komfort jazdy wszystkich uczestników ruchu drogowego. </w:t>
            </w:r>
            <w:r w:rsidR="006308E8">
              <w:rPr>
                <w:rFonts w:ascii="Calibri" w:hAnsi="Calibri"/>
                <w:color w:val="000000"/>
                <w:sz w:val="20"/>
              </w:rPr>
              <w:t>Są one</w:t>
            </w:r>
            <w:r>
              <w:rPr>
                <w:rFonts w:ascii="Calibri" w:hAnsi="Calibri"/>
                <w:color w:val="000000"/>
                <w:sz w:val="20"/>
              </w:rPr>
              <w:t xml:space="preserve"> także istotne</w:t>
            </w:r>
            <w:r w:rsidRPr="003A42F5">
              <w:rPr>
                <w:rFonts w:ascii="Calibri" w:hAnsi="Calibri"/>
                <w:color w:val="000000"/>
                <w:sz w:val="20"/>
              </w:rPr>
              <w:t xml:space="preserve"> z punktu widzenia połączen</w:t>
            </w:r>
            <w:r w:rsidR="006308E8">
              <w:rPr>
                <w:rFonts w:ascii="Calibri" w:hAnsi="Calibri"/>
                <w:color w:val="000000"/>
                <w:sz w:val="20"/>
              </w:rPr>
              <w:t>ia wewnętrznego układu komunikac</w:t>
            </w:r>
            <w:r w:rsidRPr="003A42F5">
              <w:rPr>
                <w:rFonts w:ascii="Calibri" w:hAnsi="Calibri"/>
                <w:color w:val="000000"/>
                <w:sz w:val="20"/>
              </w:rPr>
              <w:t>yjnego Legnicy z siecią TEN-T</w:t>
            </w:r>
            <w:r>
              <w:rPr>
                <w:rFonts w:ascii="Calibri" w:hAnsi="Calibri"/>
                <w:color w:val="000000"/>
                <w:sz w:val="20"/>
              </w:rPr>
              <w:t xml:space="preserve"> i dróg krajowych. </w:t>
            </w:r>
          </w:p>
          <w:p w:rsidR="00696D06" w:rsidRDefault="00696D06" w:rsidP="003A42F5">
            <w:pPr>
              <w:spacing w:line="240" w:lineRule="auto"/>
              <w:rPr>
                <w:rFonts w:ascii="Calibri" w:hAnsi="Calibri"/>
                <w:color w:val="000000"/>
                <w:sz w:val="20"/>
              </w:rPr>
            </w:pPr>
          </w:p>
          <w:p w:rsidR="00696D06" w:rsidRDefault="00696D06" w:rsidP="003A42F5">
            <w:pPr>
              <w:spacing w:line="240" w:lineRule="auto"/>
              <w:rPr>
                <w:rFonts w:ascii="Calibri" w:hAnsi="Calibri"/>
                <w:b/>
                <w:color w:val="000000"/>
                <w:sz w:val="20"/>
              </w:rPr>
            </w:pPr>
            <w:r>
              <w:rPr>
                <w:rFonts w:ascii="Calibri" w:hAnsi="Calibri"/>
                <w:color w:val="000000"/>
                <w:sz w:val="20"/>
              </w:rPr>
              <w:t>Wzmocnienie oddziaływania tych inwestycji będzie możliwe przy wdrożeniu ambitnego, dużego projektu drogowego</w:t>
            </w:r>
            <w:r w:rsidR="00A458E7">
              <w:rPr>
                <w:rFonts w:ascii="Calibri" w:hAnsi="Calibri"/>
                <w:color w:val="000000"/>
                <w:sz w:val="20"/>
              </w:rPr>
              <w:t>,</w:t>
            </w:r>
            <w:r>
              <w:rPr>
                <w:rFonts w:ascii="Calibri" w:hAnsi="Calibri"/>
                <w:color w:val="000000"/>
                <w:sz w:val="20"/>
              </w:rPr>
              <w:t xml:space="preserve"> jakim jest </w:t>
            </w:r>
            <w:r w:rsidR="006308E8">
              <w:rPr>
                <w:rFonts w:ascii="Calibri" w:hAnsi="Calibri"/>
                <w:color w:val="000000"/>
                <w:sz w:val="20"/>
              </w:rPr>
              <w:t>kontynuacja budowy</w:t>
            </w:r>
            <w:r>
              <w:rPr>
                <w:rFonts w:ascii="Calibri" w:hAnsi="Calibri"/>
                <w:color w:val="000000"/>
                <w:sz w:val="20"/>
              </w:rPr>
              <w:t xml:space="preserve"> </w:t>
            </w:r>
            <w:r w:rsidRPr="00D00EF3">
              <w:rPr>
                <w:rFonts w:ascii="Calibri" w:hAnsi="Calibri"/>
                <w:b/>
                <w:color w:val="000000"/>
                <w:sz w:val="20"/>
              </w:rPr>
              <w:t xml:space="preserve">Obwodnicy Południowej </w:t>
            </w:r>
            <w:r>
              <w:rPr>
                <w:rFonts w:ascii="Calibri" w:hAnsi="Calibri"/>
                <w:b/>
                <w:color w:val="000000"/>
                <w:sz w:val="20"/>
              </w:rPr>
              <w:t xml:space="preserve">– Wschodniej. </w:t>
            </w:r>
            <w:r w:rsidRPr="000F51EA">
              <w:rPr>
                <w:rFonts w:ascii="Calibri" w:hAnsi="Calibri"/>
                <w:color w:val="000000"/>
                <w:sz w:val="20"/>
              </w:rPr>
              <w:t>Stanowi ona kluczową inwestycję drogową</w:t>
            </w:r>
            <w:r>
              <w:rPr>
                <w:rFonts w:ascii="Calibri" w:hAnsi="Calibri"/>
                <w:color w:val="000000"/>
                <w:sz w:val="20"/>
              </w:rPr>
              <w:t xml:space="preserve">, która odciąży miasto z ruchu kierującego </w:t>
            </w:r>
            <w:r w:rsidRPr="000F51EA">
              <w:rPr>
                <w:rFonts w:ascii="Calibri" w:hAnsi="Calibri"/>
                <w:color w:val="000000"/>
                <w:sz w:val="20"/>
              </w:rPr>
              <w:t>się na drogę krajową DK94</w:t>
            </w:r>
            <w:r>
              <w:rPr>
                <w:rFonts w:ascii="Calibri" w:hAnsi="Calibri"/>
                <w:color w:val="000000"/>
                <w:sz w:val="20"/>
              </w:rPr>
              <w:t xml:space="preserve"> w kierunku Wrocławia</w:t>
            </w:r>
            <w:r w:rsidRPr="000F51EA">
              <w:rPr>
                <w:rFonts w:ascii="Calibri" w:hAnsi="Calibri"/>
                <w:color w:val="000000"/>
                <w:sz w:val="20"/>
              </w:rPr>
              <w:t xml:space="preserve">, </w:t>
            </w:r>
            <w:r>
              <w:rPr>
                <w:rFonts w:ascii="Calibri" w:hAnsi="Calibri"/>
                <w:color w:val="000000"/>
                <w:sz w:val="20"/>
              </w:rPr>
              <w:t>wpłynie na wzrost atrakcyjności terenów inwestycyjnych</w:t>
            </w:r>
            <w:r w:rsidR="00A458E7">
              <w:rPr>
                <w:rFonts w:ascii="Calibri" w:hAnsi="Calibri"/>
                <w:color w:val="000000"/>
                <w:sz w:val="20"/>
              </w:rPr>
              <w:t>,</w:t>
            </w:r>
            <w:r>
              <w:rPr>
                <w:rFonts w:ascii="Calibri" w:hAnsi="Calibri"/>
                <w:color w:val="000000"/>
                <w:sz w:val="20"/>
              </w:rPr>
              <w:t xml:space="preserve"> zlokalizowanych w południowej części miasta, zminimalizuje negatywne oddziaływanie ekologiczne i społeczne</w:t>
            </w:r>
            <w:r w:rsidR="007A56CD">
              <w:rPr>
                <w:rFonts w:ascii="Calibri" w:hAnsi="Calibri"/>
                <w:color w:val="000000"/>
                <w:sz w:val="20"/>
              </w:rPr>
              <w:t>,</w:t>
            </w:r>
            <w:r>
              <w:rPr>
                <w:rFonts w:ascii="Calibri" w:hAnsi="Calibri"/>
                <w:color w:val="000000"/>
                <w:sz w:val="20"/>
              </w:rPr>
              <w:t xml:space="preserve"> zwiększając jednocześnie przepustowość i drożność układu komunikacyjnego miasta. </w:t>
            </w:r>
          </w:p>
          <w:p w:rsidR="00696D06" w:rsidRDefault="00696D06" w:rsidP="003A42F5">
            <w:pPr>
              <w:spacing w:line="240" w:lineRule="auto"/>
              <w:rPr>
                <w:rFonts w:ascii="Calibri" w:hAnsi="Calibri"/>
                <w:color w:val="000000"/>
                <w:sz w:val="20"/>
              </w:rPr>
            </w:pPr>
          </w:p>
          <w:p w:rsidR="00400293" w:rsidRDefault="00696D06" w:rsidP="003A42F5">
            <w:pPr>
              <w:spacing w:line="240" w:lineRule="auto"/>
              <w:rPr>
                <w:rFonts w:ascii="Calibri" w:hAnsi="Calibri"/>
                <w:color w:val="000000"/>
                <w:sz w:val="20"/>
              </w:rPr>
            </w:pPr>
            <w:r>
              <w:rPr>
                <w:rFonts w:ascii="Calibri" w:hAnsi="Calibri"/>
                <w:color w:val="000000"/>
                <w:sz w:val="20"/>
              </w:rPr>
              <w:t>W dalszej perspektywie</w:t>
            </w:r>
            <w:r w:rsidR="00D32A67">
              <w:rPr>
                <w:rFonts w:ascii="Calibri" w:hAnsi="Calibri"/>
                <w:color w:val="000000"/>
                <w:sz w:val="20"/>
              </w:rPr>
              <w:t xml:space="preserve"> należy</w:t>
            </w:r>
            <w:r w:rsidR="000C2C68">
              <w:rPr>
                <w:rFonts w:ascii="Calibri" w:hAnsi="Calibri"/>
                <w:color w:val="000000"/>
                <w:sz w:val="20"/>
              </w:rPr>
              <w:t xml:space="preserve"> rozważyć budowę </w:t>
            </w:r>
            <w:r w:rsidR="000C2C68" w:rsidRPr="00CD70AB">
              <w:rPr>
                <w:rFonts w:ascii="Calibri" w:hAnsi="Calibri"/>
                <w:b/>
                <w:color w:val="000000"/>
                <w:sz w:val="20"/>
              </w:rPr>
              <w:t>Obwodnicy Północnej</w:t>
            </w:r>
            <w:r w:rsidR="000C2C68">
              <w:rPr>
                <w:rFonts w:ascii="Calibri" w:hAnsi="Calibri"/>
                <w:color w:val="000000"/>
                <w:sz w:val="20"/>
              </w:rPr>
              <w:t>, która połączy realizowaną trasę S3 i Obwodnicę Zachodnią, z drogą krajową DK94. Obwodnica nie tylko odciąży układ komunikacyjny miasta, ale d</w:t>
            </w:r>
            <w:r w:rsidR="00435938">
              <w:rPr>
                <w:rFonts w:ascii="Calibri" w:hAnsi="Calibri"/>
                <w:color w:val="000000"/>
                <w:sz w:val="20"/>
              </w:rPr>
              <w:t>oprowadzi do aktywizacji terenów w</w:t>
            </w:r>
            <w:r w:rsidR="000C2C68">
              <w:rPr>
                <w:rFonts w:ascii="Calibri" w:hAnsi="Calibri"/>
                <w:color w:val="000000"/>
                <w:sz w:val="20"/>
              </w:rPr>
              <w:t xml:space="preserve"> północnej części miasta, k</w:t>
            </w:r>
            <w:r w:rsidR="00435938">
              <w:rPr>
                <w:rFonts w:ascii="Calibri" w:hAnsi="Calibri"/>
                <w:color w:val="000000"/>
                <w:sz w:val="20"/>
              </w:rPr>
              <w:t>tóre mogą stanowić alternatywny kierunek rozwoju przestrzennego Legnicy, będący</w:t>
            </w:r>
            <w:r w:rsidR="000C2C68">
              <w:rPr>
                <w:rFonts w:ascii="Calibri" w:hAnsi="Calibri"/>
                <w:color w:val="000000"/>
                <w:sz w:val="20"/>
              </w:rPr>
              <w:t xml:space="preserve"> </w:t>
            </w:r>
            <w:r w:rsidR="00435938">
              <w:rPr>
                <w:rFonts w:ascii="Calibri" w:hAnsi="Calibri"/>
                <w:color w:val="000000"/>
                <w:sz w:val="20"/>
              </w:rPr>
              <w:t>przeciwwagą</w:t>
            </w:r>
            <w:r>
              <w:rPr>
                <w:rFonts w:ascii="Calibri" w:hAnsi="Calibri"/>
                <w:color w:val="000000"/>
                <w:sz w:val="20"/>
              </w:rPr>
              <w:t xml:space="preserve"> dla naturalnego ciążenia</w:t>
            </w:r>
            <w:r w:rsidR="000C2C68">
              <w:rPr>
                <w:rFonts w:ascii="Calibri" w:hAnsi="Calibri"/>
                <w:color w:val="000000"/>
                <w:sz w:val="20"/>
              </w:rPr>
              <w:t xml:space="preserve"> </w:t>
            </w:r>
            <w:r>
              <w:rPr>
                <w:rFonts w:ascii="Calibri" w:hAnsi="Calibri"/>
                <w:color w:val="000000"/>
                <w:sz w:val="20"/>
              </w:rPr>
              <w:t>ku atrakcyjnym terenom zlokalizowa</w:t>
            </w:r>
            <w:r w:rsidR="000C2C68">
              <w:rPr>
                <w:rFonts w:ascii="Calibri" w:hAnsi="Calibri"/>
                <w:color w:val="000000"/>
                <w:sz w:val="20"/>
              </w:rPr>
              <w:t>nym w okolicach autostrady A4.</w:t>
            </w:r>
          </w:p>
          <w:p w:rsidR="00435938" w:rsidRDefault="00435938" w:rsidP="003A42F5">
            <w:pPr>
              <w:spacing w:line="240" w:lineRule="auto"/>
              <w:rPr>
                <w:rFonts w:ascii="Calibri" w:hAnsi="Calibri"/>
                <w:color w:val="000000"/>
                <w:sz w:val="20"/>
              </w:rPr>
            </w:pPr>
          </w:p>
          <w:p w:rsidR="00435938" w:rsidRDefault="00435938" w:rsidP="000C2C68">
            <w:pPr>
              <w:spacing w:line="240" w:lineRule="auto"/>
              <w:rPr>
                <w:rFonts w:ascii="Calibri" w:hAnsi="Calibri"/>
                <w:color w:val="000000"/>
                <w:sz w:val="20"/>
              </w:rPr>
            </w:pPr>
            <w:r>
              <w:rPr>
                <w:rFonts w:ascii="Calibri" w:hAnsi="Calibri"/>
                <w:color w:val="000000"/>
                <w:sz w:val="20"/>
              </w:rPr>
              <w:t>P</w:t>
            </w:r>
            <w:r w:rsidR="00696D06">
              <w:rPr>
                <w:rFonts w:ascii="Calibri" w:hAnsi="Calibri"/>
                <w:color w:val="000000"/>
                <w:sz w:val="20"/>
              </w:rPr>
              <w:t xml:space="preserve">lanując przyszły rozwój komunikacyjny Legnicy nie należy zapominać o jej wiodącej roli w regionie jako ośrodka centralnego Legnicko-Głogowskiego Obszaru Funkcjonalnego. Zapewnienie sprawnej komunikacji z innymi miastami regionu, poprzez </w:t>
            </w:r>
            <w:r w:rsidR="00696D06" w:rsidRPr="00E8237D">
              <w:rPr>
                <w:rFonts w:ascii="Calibri" w:hAnsi="Calibri"/>
                <w:b/>
                <w:color w:val="000000"/>
                <w:sz w:val="20"/>
              </w:rPr>
              <w:t>stworzenie zintegrowanego systemu powiązań</w:t>
            </w:r>
            <w:r w:rsidR="00696D06">
              <w:rPr>
                <w:rFonts w:ascii="Calibri" w:hAnsi="Calibri"/>
                <w:b/>
                <w:color w:val="000000"/>
                <w:sz w:val="20"/>
              </w:rPr>
              <w:t>,</w:t>
            </w:r>
            <w:r w:rsidR="00696D06">
              <w:rPr>
                <w:rFonts w:ascii="Calibri" w:hAnsi="Calibri"/>
                <w:color w:val="000000"/>
                <w:sz w:val="20"/>
              </w:rPr>
              <w:t xml:space="preserve"> stanowi kluczowe zagadnienie w perspektywie dalszego rozwoju i integracji LGOF. System komunikacyjny LGOF powinien opierać się na stworzeniu atrakcyjnej sieci powiązań drogowych i kolejowych, a także budowie </w:t>
            </w:r>
            <w:r w:rsidR="00696D06" w:rsidRPr="00E8237D">
              <w:rPr>
                <w:rFonts w:ascii="Calibri" w:hAnsi="Calibri"/>
                <w:b/>
                <w:color w:val="000000"/>
                <w:sz w:val="20"/>
              </w:rPr>
              <w:t>multimodalnych centrów przesiadkowych</w:t>
            </w:r>
            <w:r w:rsidR="00696D06">
              <w:rPr>
                <w:rFonts w:ascii="Calibri" w:hAnsi="Calibri"/>
                <w:b/>
                <w:color w:val="000000"/>
                <w:sz w:val="20"/>
              </w:rPr>
              <w:t xml:space="preserve">, </w:t>
            </w:r>
            <w:r w:rsidR="00696D06" w:rsidRPr="00E8237D">
              <w:rPr>
                <w:rFonts w:ascii="Calibri" w:hAnsi="Calibri"/>
                <w:color w:val="000000"/>
                <w:sz w:val="20"/>
              </w:rPr>
              <w:t>zapewniających</w:t>
            </w:r>
            <w:r w:rsidR="00696D06">
              <w:rPr>
                <w:rFonts w:ascii="Calibri" w:hAnsi="Calibri"/>
                <w:color w:val="000000"/>
                <w:sz w:val="20"/>
              </w:rPr>
              <w:t xml:space="preserve"> podróżującym</w:t>
            </w:r>
            <w:r w:rsidR="00696D06" w:rsidRPr="00E8237D">
              <w:rPr>
                <w:rFonts w:ascii="Calibri" w:hAnsi="Calibri"/>
                <w:color w:val="000000"/>
                <w:sz w:val="20"/>
              </w:rPr>
              <w:t xml:space="preserve"> sprawne </w:t>
            </w:r>
            <w:r w:rsidR="00696D06">
              <w:rPr>
                <w:rFonts w:ascii="Calibri" w:hAnsi="Calibri"/>
                <w:color w:val="000000"/>
                <w:sz w:val="20"/>
              </w:rPr>
              <w:t>zmienianie środków transportu.</w:t>
            </w:r>
          </w:p>
          <w:p w:rsidR="00696D06" w:rsidRDefault="00696D06" w:rsidP="00435938">
            <w:pPr>
              <w:tabs>
                <w:tab w:val="left" w:pos="2294"/>
              </w:tabs>
              <w:rPr>
                <w:rFonts w:ascii="Calibri" w:hAnsi="Calibri"/>
                <w:sz w:val="20"/>
              </w:rPr>
            </w:pPr>
          </w:p>
          <w:p w:rsidR="002F52E4" w:rsidRDefault="00435938" w:rsidP="002F52E4">
            <w:pPr>
              <w:spacing w:line="240" w:lineRule="auto"/>
              <w:rPr>
                <w:rFonts w:ascii="Calibri" w:hAnsi="Calibri"/>
                <w:color w:val="000000"/>
                <w:sz w:val="20"/>
              </w:rPr>
            </w:pPr>
            <w:r>
              <w:rPr>
                <w:rFonts w:ascii="Calibri" w:hAnsi="Calibri"/>
                <w:color w:val="000000"/>
                <w:sz w:val="20"/>
              </w:rPr>
              <w:t xml:space="preserve">W ramach tego celu operacyjnego realizowane będą także działania służące usprawnieniu miejskiej komunikacji publicznej, np. poprzez </w:t>
            </w:r>
            <w:r w:rsidRPr="00696D06">
              <w:rPr>
                <w:rFonts w:ascii="Calibri" w:hAnsi="Calibri"/>
                <w:b/>
                <w:color w:val="000000"/>
                <w:sz w:val="20"/>
              </w:rPr>
              <w:t xml:space="preserve">odnowę taboru autobusowego </w:t>
            </w:r>
            <w:r>
              <w:rPr>
                <w:rFonts w:ascii="Calibri" w:hAnsi="Calibri"/>
                <w:color w:val="000000"/>
                <w:sz w:val="20"/>
              </w:rPr>
              <w:t xml:space="preserve">czy </w:t>
            </w:r>
            <w:r w:rsidRPr="00696D06">
              <w:rPr>
                <w:rFonts w:ascii="Calibri" w:hAnsi="Calibri"/>
                <w:b/>
                <w:color w:val="000000"/>
                <w:sz w:val="20"/>
              </w:rPr>
              <w:t>budowę i modernizację węzłów przesiadkowych</w:t>
            </w:r>
            <w:r>
              <w:rPr>
                <w:rFonts w:ascii="Calibri" w:hAnsi="Calibri"/>
                <w:b/>
                <w:color w:val="000000"/>
                <w:sz w:val="20"/>
              </w:rPr>
              <w:t xml:space="preserve">. </w:t>
            </w:r>
            <w:r>
              <w:rPr>
                <w:rFonts w:ascii="Calibri" w:hAnsi="Calibri"/>
                <w:color w:val="000000"/>
                <w:sz w:val="20"/>
              </w:rPr>
              <w:t xml:space="preserve"> Działania te będą miały wpływ na polepszenie standardu świadczonych usług k</w:t>
            </w:r>
            <w:r w:rsidR="006308E8">
              <w:rPr>
                <w:rFonts w:ascii="Calibri" w:hAnsi="Calibri"/>
                <w:color w:val="000000"/>
                <w:sz w:val="20"/>
              </w:rPr>
              <w:t>omunikacji publicznej na rzecz l</w:t>
            </w:r>
            <w:r>
              <w:rPr>
                <w:rFonts w:ascii="Calibri" w:hAnsi="Calibri"/>
                <w:color w:val="000000"/>
                <w:sz w:val="20"/>
              </w:rPr>
              <w:t>egniczan</w:t>
            </w:r>
            <w:r w:rsidR="00A458E7">
              <w:rPr>
                <w:rFonts w:ascii="Calibri" w:hAnsi="Calibri"/>
                <w:color w:val="000000"/>
                <w:sz w:val="20"/>
              </w:rPr>
              <w:t>,</w:t>
            </w:r>
            <w:r>
              <w:rPr>
                <w:rFonts w:ascii="Calibri" w:hAnsi="Calibri"/>
                <w:color w:val="000000"/>
                <w:sz w:val="20"/>
              </w:rPr>
              <w:t xml:space="preserve"> jak i </w:t>
            </w:r>
            <w:r w:rsidR="002F52E4">
              <w:rPr>
                <w:rFonts w:ascii="Calibri" w:hAnsi="Calibri"/>
                <w:color w:val="000000"/>
                <w:sz w:val="20"/>
              </w:rPr>
              <w:t>mieszkańców sąsiadujących gmin.</w:t>
            </w:r>
          </w:p>
          <w:p w:rsidR="00AC119E" w:rsidRDefault="00AC119E" w:rsidP="002F52E4">
            <w:pPr>
              <w:spacing w:line="240" w:lineRule="auto"/>
              <w:rPr>
                <w:rFonts w:ascii="Calibri" w:hAnsi="Calibri"/>
                <w:color w:val="000000"/>
                <w:sz w:val="20"/>
              </w:rPr>
            </w:pPr>
          </w:p>
          <w:p w:rsidR="00D56B70" w:rsidRDefault="00D56B70" w:rsidP="002F52E4">
            <w:pPr>
              <w:spacing w:line="240" w:lineRule="auto"/>
              <w:rPr>
                <w:rFonts w:ascii="Calibri" w:hAnsi="Calibri"/>
                <w:color w:val="000000"/>
                <w:sz w:val="20"/>
              </w:rPr>
            </w:pPr>
            <w:r>
              <w:rPr>
                <w:rFonts w:ascii="Calibri" w:hAnsi="Calibri"/>
                <w:color w:val="000000"/>
                <w:sz w:val="20"/>
              </w:rPr>
              <w:t>Za</w:t>
            </w:r>
            <w:r w:rsidR="001770F9">
              <w:rPr>
                <w:rFonts w:ascii="Calibri" w:hAnsi="Calibri"/>
                <w:color w:val="000000"/>
                <w:sz w:val="20"/>
              </w:rPr>
              <w:t>daniami głównymi</w:t>
            </w:r>
            <w:r>
              <w:rPr>
                <w:rFonts w:ascii="Calibri" w:hAnsi="Calibri"/>
                <w:color w:val="000000"/>
                <w:sz w:val="20"/>
              </w:rPr>
              <w:t xml:space="preserve"> będą:</w:t>
            </w:r>
          </w:p>
          <w:p w:rsidR="00D56B70" w:rsidRPr="00FE4FBA" w:rsidRDefault="00FE4FBA" w:rsidP="0062416A">
            <w:pPr>
              <w:pStyle w:val="Akapitzlist"/>
              <w:numPr>
                <w:ilvl w:val="0"/>
                <w:numId w:val="52"/>
              </w:numPr>
              <w:spacing w:line="240" w:lineRule="auto"/>
              <w:rPr>
                <w:rFonts w:ascii="Calibri" w:hAnsi="Calibri"/>
                <w:b/>
                <w:color w:val="000000"/>
                <w:sz w:val="20"/>
              </w:rPr>
            </w:pPr>
            <w:r w:rsidRPr="00FE4FBA">
              <w:rPr>
                <w:rFonts w:ascii="Calibri" w:hAnsi="Calibri"/>
                <w:b/>
                <w:color w:val="000000"/>
                <w:sz w:val="20"/>
              </w:rPr>
              <w:t>Kontynuacja budowy</w:t>
            </w:r>
            <w:r w:rsidR="00D56B70" w:rsidRPr="00FE4FBA">
              <w:rPr>
                <w:rFonts w:ascii="Calibri" w:hAnsi="Calibri"/>
                <w:b/>
                <w:color w:val="000000"/>
                <w:sz w:val="20"/>
              </w:rPr>
              <w:t xml:space="preserve"> zintegrowanego systemu zarządzania ruchem i t</w:t>
            </w:r>
            <w:r w:rsidR="00A458E7">
              <w:rPr>
                <w:rFonts w:ascii="Calibri" w:hAnsi="Calibri"/>
                <w:b/>
                <w:color w:val="000000"/>
                <w:sz w:val="20"/>
              </w:rPr>
              <w:t>ransportem publicznym w mieście;</w:t>
            </w:r>
          </w:p>
          <w:p w:rsidR="00DD1F35" w:rsidRPr="00DD1F35" w:rsidRDefault="00D56B70" w:rsidP="0062416A">
            <w:pPr>
              <w:pStyle w:val="Akapitzlist"/>
              <w:numPr>
                <w:ilvl w:val="0"/>
                <w:numId w:val="52"/>
              </w:numPr>
              <w:spacing w:line="240" w:lineRule="auto"/>
              <w:rPr>
                <w:rFonts w:ascii="Calibri" w:hAnsi="Calibri"/>
                <w:b/>
                <w:color w:val="000000"/>
                <w:sz w:val="20"/>
              </w:rPr>
            </w:pPr>
            <w:r w:rsidRPr="00DD1F35">
              <w:rPr>
                <w:rFonts w:ascii="Calibri" w:hAnsi="Calibri"/>
                <w:b/>
                <w:color w:val="000000"/>
                <w:sz w:val="20"/>
              </w:rPr>
              <w:t>Stworzenie zintegrowanego systemu powiązań miast w Legnicko-Głogowskim Obszarze Fun</w:t>
            </w:r>
            <w:r w:rsidR="00DD1F35" w:rsidRPr="00DD1F35">
              <w:rPr>
                <w:rFonts w:ascii="Calibri" w:hAnsi="Calibri"/>
                <w:b/>
                <w:color w:val="000000"/>
                <w:sz w:val="20"/>
              </w:rPr>
              <w:t>kcjonalnym - Inter Regio Rail;</w:t>
            </w:r>
          </w:p>
          <w:p w:rsidR="00D56B70" w:rsidRPr="007A56CD" w:rsidRDefault="00BA2214" w:rsidP="0062416A">
            <w:pPr>
              <w:pStyle w:val="Akapitzlist"/>
              <w:numPr>
                <w:ilvl w:val="0"/>
                <w:numId w:val="52"/>
              </w:numPr>
              <w:spacing w:line="240" w:lineRule="auto"/>
              <w:rPr>
                <w:rFonts w:ascii="Calibri" w:hAnsi="Calibri"/>
                <w:b/>
                <w:color w:val="000000"/>
                <w:sz w:val="20"/>
              </w:rPr>
            </w:pPr>
            <w:r w:rsidRPr="007A56CD">
              <w:rPr>
                <w:rFonts w:ascii="Calibri" w:hAnsi="Calibri"/>
                <w:b/>
                <w:color w:val="000000"/>
                <w:sz w:val="20"/>
              </w:rPr>
              <w:t>B</w:t>
            </w:r>
            <w:r w:rsidR="00DD1F35" w:rsidRPr="007A56CD">
              <w:rPr>
                <w:rFonts w:ascii="Calibri" w:hAnsi="Calibri"/>
                <w:b/>
                <w:color w:val="000000"/>
                <w:sz w:val="20"/>
              </w:rPr>
              <w:t>udowa multimodalnego C</w:t>
            </w:r>
            <w:r w:rsidR="00062828" w:rsidRPr="007A56CD">
              <w:rPr>
                <w:rFonts w:ascii="Calibri" w:hAnsi="Calibri"/>
                <w:b/>
                <w:color w:val="000000"/>
                <w:sz w:val="20"/>
              </w:rPr>
              <w:t>entrum P</w:t>
            </w:r>
            <w:r w:rsidR="00D56B70" w:rsidRPr="007A56CD">
              <w:rPr>
                <w:rFonts w:ascii="Calibri" w:hAnsi="Calibri"/>
                <w:b/>
                <w:color w:val="000000"/>
                <w:sz w:val="20"/>
              </w:rPr>
              <w:t>rzesiadkowego</w:t>
            </w:r>
            <w:r w:rsidR="001A7C8C" w:rsidRPr="007A56CD">
              <w:rPr>
                <w:rFonts w:ascii="Calibri" w:hAnsi="Calibri"/>
                <w:b/>
                <w:color w:val="000000"/>
                <w:sz w:val="20"/>
              </w:rPr>
              <w:t xml:space="preserve"> w rejonie Dworca</w:t>
            </w:r>
            <w:r w:rsidR="00062828" w:rsidRPr="007A56CD">
              <w:rPr>
                <w:rFonts w:ascii="Calibri" w:hAnsi="Calibri"/>
                <w:b/>
                <w:color w:val="000000"/>
                <w:sz w:val="20"/>
              </w:rPr>
              <w:t xml:space="preserve"> Kolejowego</w:t>
            </w:r>
            <w:r w:rsidR="001A7C8C" w:rsidRPr="007A56CD">
              <w:rPr>
                <w:rFonts w:ascii="Calibri" w:hAnsi="Calibri"/>
                <w:b/>
                <w:color w:val="000000"/>
                <w:sz w:val="20"/>
              </w:rPr>
              <w:t xml:space="preserve"> PKP</w:t>
            </w:r>
            <w:r w:rsidR="00D56B70" w:rsidRPr="007A56CD">
              <w:rPr>
                <w:rFonts w:ascii="Calibri" w:hAnsi="Calibri"/>
                <w:b/>
                <w:color w:val="000000"/>
                <w:sz w:val="20"/>
              </w:rPr>
              <w:t>;</w:t>
            </w:r>
          </w:p>
          <w:p w:rsidR="00D56B70" w:rsidRPr="00DD1F35" w:rsidRDefault="00367C64" w:rsidP="0062416A">
            <w:pPr>
              <w:pStyle w:val="Akapitzlist"/>
              <w:numPr>
                <w:ilvl w:val="0"/>
                <w:numId w:val="52"/>
              </w:numPr>
              <w:spacing w:line="240" w:lineRule="auto"/>
              <w:rPr>
                <w:rFonts w:ascii="Calibri" w:hAnsi="Calibri"/>
                <w:b/>
                <w:color w:val="000000"/>
                <w:sz w:val="20"/>
              </w:rPr>
            </w:pPr>
            <w:r w:rsidRPr="00DD1F35">
              <w:rPr>
                <w:rFonts w:ascii="Calibri" w:hAnsi="Calibri"/>
                <w:b/>
                <w:color w:val="000000"/>
                <w:sz w:val="20"/>
              </w:rPr>
              <w:t>Modernizacja Trasy 2a</w:t>
            </w:r>
            <w:r w:rsidR="00D56B70" w:rsidRPr="00DD1F35">
              <w:rPr>
                <w:rFonts w:ascii="Calibri" w:hAnsi="Calibri"/>
                <w:b/>
                <w:color w:val="000000"/>
                <w:sz w:val="20"/>
              </w:rPr>
              <w:t xml:space="preserve"> – przebudowa ul. Jaworzyńskiej;</w:t>
            </w:r>
          </w:p>
          <w:p w:rsidR="00D56B70" w:rsidRPr="00DD1F35" w:rsidRDefault="006308E8" w:rsidP="0062416A">
            <w:pPr>
              <w:pStyle w:val="Akapitzlist"/>
              <w:numPr>
                <w:ilvl w:val="0"/>
                <w:numId w:val="52"/>
              </w:numPr>
              <w:spacing w:line="240" w:lineRule="auto"/>
              <w:rPr>
                <w:rFonts w:ascii="Calibri" w:hAnsi="Calibri"/>
                <w:b/>
                <w:color w:val="000000"/>
                <w:sz w:val="20"/>
              </w:rPr>
            </w:pPr>
            <w:r w:rsidRPr="00DD1F35">
              <w:rPr>
                <w:rFonts w:ascii="Calibri" w:hAnsi="Calibri"/>
                <w:b/>
                <w:color w:val="000000"/>
                <w:sz w:val="20"/>
              </w:rPr>
              <w:t>Budowa</w:t>
            </w:r>
            <w:r w:rsidR="00D56B70" w:rsidRPr="00DD1F35">
              <w:rPr>
                <w:rFonts w:ascii="Calibri" w:hAnsi="Calibri"/>
                <w:b/>
                <w:color w:val="000000"/>
                <w:sz w:val="20"/>
              </w:rPr>
              <w:t xml:space="preserve"> Zbiorczej Drogi Południowej</w:t>
            </w:r>
            <w:r w:rsidR="00367C64" w:rsidRPr="00DD1F35">
              <w:rPr>
                <w:rFonts w:ascii="Calibri" w:hAnsi="Calibri"/>
                <w:b/>
                <w:color w:val="000000"/>
                <w:sz w:val="20"/>
              </w:rPr>
              <w:t xml:space="preserve"> od ul. </w:t>
            </w:r>
            <w:r w:rsidR="00E56A5A">
              <w:rPr>
                <w:rFonts w:ascii="Calibri" w:hAnsi="Calibri"/>
                <w:b/>
                <w:color w:val="000000"/>
                <w:sz w:val="20"/>
              </w:rPr>
              <w:t>Jaworzyńskiej do al. </w:t>
            </w:r>
            <w:r w:rsidR="00367C64" w:rsidRPr="00DD1F35">
              <w:rPr>
                <w:rFonts w:ascii="Calibri" w:hAnsi="Calibri"/>
                <w:b/>
                <w:color w:val="000000"/>
                <w:sz w:val="20"/>
              </w:rPr>
              <w:t>Rzeczpospolitej</w:t>
            </w:r>
            <w:r w:rsidR="00036AB2" w:rsidRPr="00DD1F35">
              <w:rPr>
                <w:rFonts w:ascii="Calibri" w:hAnsi="Calibri"/>
                <w:b/>
                <w:color w:val="000000"/>
                <w:sz w:val="20"/>
              </w:rPr>
              <w:t xml:space="preserve"> z budową mostu na Kaczawie</w:t>
            </w:r>
            <w:r w:rsidR="00D56B70" w:rsidRPr="00DD1F35">
              <w:rPr>
                <w:rFonts w:ascii="Calibri" w:hAnsi="Calibri"/>
                <w:b/>
                <w:color w:val="000000"/>
                <w:sz w:val="20"/>
              </w:rPr>
              <w:t>;</w:t>
            </w:r>
          </w:p>
          <w:p w:rsidR="00D56B70" w:rsidRPr="00DD1F35" w:rsidRDefault="00DD1F35" w:rsidP="0062416A">
            <w:pPr>
              <w:pStyle w:val="Akapitzlist"/>
              <w:numPr>
                <w:ilvl w:val="0"/>
                <w:numId w:val="52"/>
              </w:numPr>
              <w:spacing w:line="240" w:lineRule="auto"/>
              <w:rPr>
                <w:rFonts w:ascii="Calibri" w:hAnsi="Calibri"/>
                <w:b/>
                <w:color w:val="000000"/>
                <w:sz w:val="20"/>
              </w:rPr>
            </w:pPr>
            <w:r w:rsidRPr="00DD1F35">
              <w:rPr>
                <w:rFonts w:ascii="Calibri" w:hAnsi="Calibri"/>
                <w:b/>
                <w:color w:val="000000"/>
                <w:sz w:val="20"/>
              </w:rPr>
              <w:t>Kontynuacja budowy</w:t>
            </w:r>
            <w:r w:rsidR="00D56B70" w:rsidRPr="00DD1F35">
              <w:rPr>
                <w:rFonts w:ascii="Calibri" w:hAnsi="Calibri"/>
                <w:b/>
                <w:color w:val="000000"/>
                <w:sz w:val="20"/>
              </w:rPr>
              <w:t xml:space="preserve"> Obwodnicy Południowo-Wschodniej;</w:t>
            </w:r>
          </w:p>
          <w:p w:rsidR="00D56B70" w:rsidRPr="00DD1F35" w:rsidRDefault="00DD1F35" w:rsidP="0062416A">
            <w:pPr>
              <w:pStyle w:val="Akapitzlist"/>
              <w:numPr>
                <w:ilvl w:val="0"/>
                <w:numId w:val="52"/>
              </w:numPr>
              <w:spacing w:line="240" w:lineRule="auto"/>
              <w:rPr>
                <w:rFonts w:ascii="Calibri" w:hAnsi="Calibri"/>
                <w:b/>
                <w:color w:val="000000"/>
                <w:sz w:val="20"/>
              </w:rPr>
            </w:pPr>
            <w:r w:rsidRPr="00DD1F35">
              <w:rPr>
                <w:rFonts w:ascii="Calibri" w:hAnsi="Calibri"/>
                <w:b/>
                <w:color w:val="000000"/>
                <w:sz w:val="20"/>
              </w:rPr>
              <w:t>Kontynuacja przebudowy</w:t>
            </w:r>
            <w:r w:rsidR="00D56B70" w:rsidRPr="00DD1F35">
              <w:rPr>
                <w:rFonts w:ascii="Calibri" w:hAnsi="Calibri"/>
                <w:b/>
                <w:color w:val="000000"/>
                <w:sz w:val="20"/>
              </w:rPr>
              <w:t xml:space="preserve"> al. Piłsudskiego i ul. Sikorskiego;</w:t>
            </w:r>
          </w:p>
          <w:p w:rsidR="00062828" w:rsidRDefault="005C7B7D" w:rsidP="0062416A">
            <w:pPr>
              <w:pStyle w:val="Akapitzlist"/>
              <w:numPr>
                <w:ilvl w:val="0"/>
                <w:numId w:val="52"/>
              </w:numPr>
              <w:spacing w:line="240" w:lineRule="auto"/>
              <w:rPr>
                <w:rFonts w:ascii="Calibri" w:hAnsi="Calibri"/>
                <w:b/>
                <w:color w:val="000000"/>
                <w:sz w:val="20"/>
              </w:rPr>
            </w:pPr>
            <w:r>
              <w:rPr>
                <w:rFonts w:ascii="Calibri" w:hAnsi="Calibri"/>
                <w:b/>
                <w:color w:val="000000"/>
                <w:sz w:val="20"/>
              </w:rPr>
              <w:t>Przebudowa</w:t>
            </w:r>
            <w:r w:rsidR="00367C64" w:rsidRPr="00DD1F35">
              <w:rPr>
                <w:rFonts w:ascii="Calibri" w:hAnsi="Calibri"/>
                <w:b/>
                <w:color w:val="000000"/>
                <w:sz w:val="20"/>
              </w:rPr>
              <w:t xml:space="preserve"> ul. Szczytnickiej</w:t>
            </w:r>
            <w:r w:rsidR="00DD1F35" w:rsidRPr="00DD1F35">
              <w:rPr>
                <w:rFonts w:ascii="Calibri" w:hAnsi="Calibri"/>
                <w:b/>
                <w:color w:val="000000"/>
                <w:sz w:val="20"/>
              </w:rPr>
              <w:t>;</w:t>
            </w:r>
          </w:p>
          <w:p w:rsidR="00062828" w:rsidRPr="00062828" w:rsidRDefault="00062828" w:rsidP="00062828">
            <w:pPr>
              <w:spacing w:line="240" w:lineRule="auto"/>
              <w:rPr>
                <w:rFonts w:ascii="Calibri" w:hAnsi="Calibri"/>
                <w:color w:val="000000"/>
                <w:sz w:val="20"/>
              </w:rPr>
            </w:pPr>
            <w:r w:rsidRPr="00062828">
              <w:rPr>
                <w:rFonts w:ascii="Calibri" w:hAnsi="Calibri"/>
                <w:color w:val="000000"/>
                <w:sz w:val="20"/>
              </w:rPr>
              <w:lastRenderedPageBreak/>
              <w:t>Zadaniami uzupełniającymi będą:</w:t>
            </w:r>
          </w:p>
          <w:p w:rsidR="009F2099" w:rsidRPr="00062828" w:rsidRDefault="00B738E4" w:rsidP="0062416A">
            <w:pPr>
              <w:numPr>
                <w:ilvl w:val="0"/>
                <w:numId w:val="81"/>
              </w:numPr>
              <w:spacing w:line="240" w:lineRule="auto"/>
              <w:rPr>
                <w:rFonts w:ascii="Calibri" w:hAnsi="Calibri"/>
                <w:color w:val="000000"/>
                <w:sz w:val="20"/>
              </w:rPr>
            </w:pPr>
            <w:r w:rsidRPr="00062828">
              <w:rPr>
                <w:rFonts w:ascii="Calibri" w:hAnsi="Calibri"/>
                <w:b/>
                <w:bCs/>
                <w:color w:val="000000"/>
                <w:sz w:val="20"/>
              </w:rPr>
              <w:t>Przebudowa ul. Chojnowskiej na węźle z drogą szybkiego ruchu S3;</w:t>
            </w:r>
          </w:p>
          <w:p w:rsidR="009F2099" w:rsidRPr="00062828" w:rsidRDefault="00B738E4" w:rsidP="0062416A">
            <w:pPr>
              <w:numPr>
                <w:ilvl w:val="0"/>
                <w:numId w:val="81"/>
              </w:numPr>
              <w:spacing w:line="240" w:lineRule="auto"/>
              <w:rPr>
                <w:rFonts w:ascii="Calibri" w:hAnsi="Calibri"/>
                <w:color w:val="000000"/>
                <w:sz w:val="20"/>
              </w:rPr>
            </w:pPr>
            <w:r w:rsidRPr="00062828">
              <w:rPr>
                <w:rFonts w:ascii="Calibri" w:hAnsi="Calibri"/>
                <w:b/>
                <w:bCs/>
                <w:color w:val="000000"/>
                <w:sz w:val="20"/>
              </w:rPr>
              <w:t>Przebudowa ul. Złotoryjskiej;</w:t>
            </w:r>
          </w:p>
          <w:p w:rsidR="009F2099" w:rsidRPr="00062828" w:rsidRDefault="00B738E4" w:rsidP="0062416A">
            <w:pPr>
              <w:numPr>
                <w:ilvl w:val="0"/>
                <w:numId w:val="81"/>
              </w:numPr>
              <w:spacing w:line="240" w:lineRule="auto"/>
              <w:rPr>
                <w:rFonts w:ascii="Calibri" w:hAnsi="Calibri"/>
                <w:color w:val="000000"/>
                <w:sz w:val="20"/>
              </w:rPr>
            </w:pPr>
            <w:r w:rsidRPr="00062828">
              <w:rPr>
                <w:rFonts w:ascii="Calibri" w:hAnsi="Calibri"/>
                <w:b/>
                <w:bCs/>
                <w:color w:val="000000"/>
                <w:sz w:val="20"/>
              </w:rPr>
              <w:t>Promocja realizowanych inwestycji;</w:t>
            </w:r>
          </w:p>
          <w:p w:rsidR="00E052DF" w:rsidRDefault="00E052DF" w:rsidP="00E052DF">
            <w:pPr>
              <w:spacing w:line="240" w:lineRule="auto"/>
              <w:rPr>
                <w:rFonts w:ascii="Calibri" w:hAnsi="Calibri"/>
                <w:color w:val="000000"/>
                <w:sz w:val="20"/>
              </w:rPr>
            </w:pPr>
          </w:p>
          <w:p w:rsidR="00E052DF" w:rsidRPr="00E052DF" w:rsidRDefault="00E052DF" w:rsidP="006308E8">
            <w:pPr>
              <w:spacing w:line="240" w:lineRule="auto"/>
              <w:rPr>
                <w:rFonts w:ascii="Calibri" w:hAnsi="Calibri"/>
                <w:color w:val="000000"/>
                <w:sz w:val="20"/>
              </w:rPr>
            </w:pPr>
            <w:r>
              <w:rPr>
                <w:rFonts w:ascii="Calibri" w:hAnsi="Calibri"/>
                <w:color w:val="000000"/>
                <w:sz w:val="20"/>
              </w:rPr>
              <w:t>Działania w zakresie transportu realizowane będą przy udziale środków własnych budżetu miasta</w:t>
            </w:r>
            <w:r w:rsidR="00E56A5A">
              <w:rPr>
                <w:rFonts w:ascii="Calibri" w:hAnsi="Calibri"/>
                <w:color w:val="000000"/>
                <w:sz w:val="20"/>
              </w:rPr>
              <w:t>, środków MPK Sp. z o.o.</w:t>
            </w:r>
            <w:r>
              <w:rPr>
                <w:rFonts w:ascii="Calibri" w:hAnsi="Calibri"/>
                <w:color w:val="000000"/>
                <w:sz w:val="20"/>
              </w:rPr>
              <w:t xml:space="preserve"> oraz, przy spełnieniu odpowiednich </w:t>
            </w:r>
            <w:r w:rsidR="006308E8">
              <w:rPr>
                <w:rFonts w:ascii="Calibri" w:hAnsi="Calibri"/>
                <w:color w:val="000000"/>
                <w:sz w:val="20"/>
              </w:rPr>
              <w:t xml:space="preserve">kryteriów dostępu, </w:t>
            </w:r>
            <w:r>
              <w:rPr>
                <w:rFonts w:ascii="Calibri" w:hAnsi="Calibri"/>
                <w:color w:val="000000"/>
                <w:sz w:val="20"/>
              </w:rPr>
              <w:t>środków europejsk</w:t>
            </w:r>
            <w:r w:rsidR="0017098E">
              <w:rPr>
                <w:rFonts w:ascii="Calibri" w:hAnsi="Calibri"/>
                <w:color w:val="000000"/>
                <w:sz w:val="20"/>
              </w:rPr>
              <w:t>ich</w:t>
            </w:r>
            <w:r w:rsidR="006308E8">
              <w:rPr>
                <w:rFonts w:ascii="Calibri" w:hAnsi="Calibri"/>
                <w:color w:val="000000"/>
                <w:sz w:val="20"/>
              </w:rPr>
              <w:t xml:space="preserve"> po podpisaniu umowy o dofinansowanie, w </w:t>
            </w:r>
            <w:r w:rsidR="0017098E">
              <w:rPr>
                <w:rFonts w:ascii="Calibri" w:hAnsi="Calibri"/>
                <w:color w:val="000000"/>
                <w:sz w:val="20"/>
              </w:rPr>
              <w:t>szczególności z</w:t>
            </w:r>
            <w:r>
              <w:rPr>
                <w:rFonts w:ascii="Calibri" w:hAnsi="Calibri"/>
                <w:color w:val="000000"/>
                <w:sz w:val="20"/>
              </w:rPr>
              <w:t xml:space="preserve"> P</w:t>
            </w:r>
            <w:r w:rsidR="00280177">
              <w:rPr>
                <w:rFonts w:ascii="Calibri" w:hAnsi="Calibri"/>
                <w:color w:val="000000"/>
                <w:sz w:val="20"/>
              </w:rPr>
              <w:t xml:space="preserve">rogramu </w:t>
            </w:r>
            <w:r>
              <w:rPr>
                <w:rFonts w:ascii="Calibri" w:hAnsi="Calibri"/>
                <w:color w:val="000000"/>
                <w:sz w:val="20"/>
              </w:rPr>
              <w:t>O</w:t>
            </w:r>
            <w:r w:rsidR="00280177">
              <w:rPr>
                <w:rFonts w:ascii="Calibri" w:hAnsi="Calibri"/>
                <w:color w:val="000000"/>
                <w:sz w:val="20"/>
              </w:rPr>
              <w:t>peracyjnego</w:t>
            </w:r>
            <w:r>
              <w:rPr>
                <w:rFonts w:ascii="Calibri" w:hAnsi="Calibri"/>
                <w:color w:val="000000"/>
                <w:sz w:val="20"/>
              </w:rPr>
              <w:t xml:space="preserve"> I</w:t>
            </w:r>
            <w:r w:rsidR="00280177">
              <w:rPr>
                <w:rFonts w:ascii="Calibri" w:hAnsi="Calibri"/>
                <w:color w:val="000000"/>
                <w:sz w:val="20"/>
              </w:rPr>
              <w:t xml:space="preserve">nfrastruktura i </w:t>
            </w:r>
            <w:r>
              <w:rPr>
                <w:rFonts w:ascii="Calibri" w:hAnsi="Calibri"/>
                <w:color w:val="000000"/>
                <w:sz w:val="20"/>
              </w:rPr>
              <w:t>Ś</w:t>
            </w:r>
            <w:r w:rsidR="00280177">
              <w:rPr>
                <w:rFonts w:ascii="Calibri" w:hAnsi="Calibri"/>
                <w:color w:val="000000"/>
                <w:sz w:val="20"/>
              </w:rPr>
              <w:t>rodowisko oraz</w:t>
            </w:r>
            <w:r>
              <w:rPr>
                <w:rFonts w:ascii="Calibri" w:hAnsi="Calibri"/>
                <w:color w:val="000000"/>
                <w:sz w:val="20"/>
              </w:rPr>
              <w:t xml:space="preserve"> R</w:t>
            </w:r>
            <w:r w:rsidR="00280177">
              <w:rPr>
                <w:rFonts w:ascii="Calibri" w:hAnsi="Calibri"/>
                <w:color w:val="000000"/>
                <w:sz w:val="20"/>
              </w:rPr>
              <w:t xml:space="preserve">egionalnego </w:t>
            </w:r>
            <w:r>
              <w:rPr>
                <w:rFonts w:ascii="Calibri" w:hAnsi="Calibri"/>
                <w:color w:val="000000"/>
                <w:sz w:val="20"/>
              </w:rPr>
              <w:t>P</w:t>
            </w:r>
            <w:r w:rsidR="00280177">
              <w:rPr>
                <w:rFonts w:ascii="Calibri" w:hAnsi="Calibri"/>
                <w:color w:val="000000"/>
                <w:sz w:val="20"/>
              </w:rPr>
              <w:t>rogramu Operacyjnego Województwa Dolnośląskiego.</w:t>
            </w:r>
            <w:r w:rsidR="00E56A5A">
              <w:rPr>
                <w:rFonts w:ascii="Calibri" w:hAnsi="Calibri"/>
                <w:color w:val="000000"/>
                <w:sz w:val="20"/>
              </w:rPr>
              <w:t xml:space="preserve"> </w:t>
            </w:r>
            <w:r w:rsidR="00E56A5A" w:rsidRPr="00E56A5A">
              <w:rPr>
                <w:rFonts w:ascii="Calibri" w:hAnsi="Calibri" w:cs="Calibri"/>
                <w:color w:val="000000" w:themeColor="text1"/>
                <w:sz w:val="20"/>
              </w:rPr>
              <w:t>Osie priorytetowe w poszczególnych Programach zostaną określone po zatwierdzeniu ich „Uszczegółowień”.</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F51613" w:rsidP="00841C5B">
            <w:pPr>
              <w:rPr>
                <w:rFonts w:ascii="Calibri" w:hAnsi="Calibri"/>
                <w:color w:val="000000"/>
                <w:sz w:val="4"/>
              </w:rPr>
            </w:pP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C45911" w:themeFill="accent2" w:themeFillShade="BF"/>
          </w:tcPr>
          <w:p w:rsidR="000D7217" w:rsidRPr="004A393C" w:rsidRDefault="000D7217" w:rsidP="00B73014">
            <w:pPr>
              <w:jc w:val="center"/>
              <w:rPr>
                <w:rFonts w:ascii="Calibri" w:hAnsi="Calibri"/>
                <w:b/>
                <w:color w:val="000000"/>
                <w:sz w:val="20"/>
              </w:rPr>
            </w:pPr>
            <w:r w:rsidRPr="004A393C">
              <w:rPr>
                <w:rFonts w:ascii="Calibri" w:hAnsi="Calibri"/>
                <w:b/>
                <w:color w:val="FFFFFF" w:themeColor="background1"/>
                <w:sz w:val="22"/>
              </w:rPr>
              <w:t>Wskaźniki rezultatu dla Celu operacyjnego I.1</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FBE4D5" w:themeFill="accent2" w:themeFillTint="33"/>
          </w:tcPr>
          <w:p w:rsidR="002D13B8" w:rsidRPr="002D13B8" w:rsidRDefault="002D13B8" w:rsidP="002D13B8">
            <w:pPr>
              <w:pStyle w:val="Akapitzlist"/>
              <w:numPr>
                <w:ilvl w:val="0"/>
                <w:numId w:val="67"/>
              </w:numPr>
              <w:rPr>
                <w:rFonts w:ascii="Calibri" w:hAnsi="Calibri"/>
                <w:b/>
                <w:color w:val="000000"/>
                <w:sz w:val="20"/>
              </w:rPr>
            </w:pPr>
            <w:r w:rsidRPr="002D13B8">
              <w:rPr>
                <w:rFonts w:ascii="Calibri" w:hAnsi="Calibri"/>
                <w:b/>
                <w:color w:val="000000"/>
                <w:sz w:val="20"/>
              </w:rPr>
              <w:t>Ilość wybudowanych/przebudowanych pr</w:t>
            </w:r>
            <w:r w:rsidR="00E83459">
              <w:rPr>
                <w:rFonts w:ascii="Calibri" w:hAnsi="Calibri"/>
                <w:b/>
                <w:color w:val="000000"/>
                <w:sz w:val="20"/>
              </w:rPr>
              <w:t>zystanków komunikacji zbiorowej;</w:t>
            </w:r>
          </w:p>
          <w:p w:rsidR="004A393C" w:rsidRPr="00E83459" w:rsidRDefault="002D13B8" w:rsidP="00E83459">
            <w:pPr>
              <w:pStyle w:val="Akapitzlist"/>
              <w:numPr>
                <w:ilvl w:val="0"/>
                <w:numId w:val="67"/>
              </w:numPr>
              <w:rPr>
                <w:rFonts w:ascii="Calibri" w:hAnsi="Calibri"/>
                <w:b/>
                <w:color w:val="000000"/>
                <w:sz w:val="20"/>
              </w:rPr>
            </w:pPr>
            <w:r w:rsidRPr="002D13B8">
              <w:rPr>
                <w:rFonts w:ascii="Calibri" w:hAnsi="Calibri"/>
                <w:b/>
                <w:color w:val="000000"/>
                <w:sz w:val="20"/>
              </w:rPr>
              <w:t>Długość zbudowanych/przebudowanych dróg o znaczeniu regionalnym i ponadlokalnym</w:t>
            </w:r>
            <w:r w:rsidR="00E83459">
              <w:rPr>
                <w:rFonts w:ascii="Calibri" w:hAnsi="Calibri"/>
                <w:b/>
                <w:color w:val="000000"/>
                <w:sz w:val="20"/>
              </w:rPr>
              <w:t>;</w:t>
            </w:r>
          </w:p>
        </w:tc>
      </w:tr>
      <w:tr w:rsidR="000D7217" w:rsidRPr="00F51613" w:rsidTr="009855D9">
        <w:trPr>
          <w:trHeight w:val="113"/>
        </w:trPr>
        <w:tc>
          <w:tcPr>
            <w:tcW w:w="9067" w:type="dxa"/>
            <w:gridSpan w:val="2"/>
            <w:tcBorders>
              <w:left w:val="nil"/>
              <w:right w:val="nil"/>
            </w:tcBorders>
            <w:shd w:val="clear" w:color="auto" w:fill="FFFFFF" w:themeFill="background1"/>
          </w:tcPr>
          <w:p w:rsidR="000D7217" w:rsidRPr="004A393C" w:rsidRDefault="000D7217" w:rsidP="0062416A">
            <w:pPr>
              <w:pStyle w:val="Akapitzlist"/>
              <w:numPr>
                <w:ilvl w:val="0"/>
                <w:numId w:val="67"/>
              </w:numPr>
              <w:rPr>
                <w:rFonts w:ascii="Calibri" w:hAnsi="Calibri"/>
                <w:color w:val="000000"/>
                <w:sz w:val="4"/>
              </w:rPr>
            </w:pPr>
          </w:p>
        </w:tc>
      </w:tr>
      <w:tr w:rsidR="001A4B8F" w:rsidTr="00F70AE4">
        <w:trPr>
          <w:trHeight w:val="1265"/>
        </w:trPr>
        <w:tc>
          <w:tcPr>
            <w:tcW w:w="2553" w:type="dxa"/>
            <w:shd w:val="clear" w:color="auto" w:fill="F4B083" w:themeFill="accent2" w:themeFillTint="99"/>
          </w:tcPr>
          <w:p w:rsidR="001A4B8F" w:rsidRPr="00A45758" w:rsidRDefault="001A4B8F" w:rsidP="0067261F">
            <w:pPr>
              <w:jc w:val="left"/>
              <w:rPr>
                <w:rFonts w:asciiTheme="minorHAnsi" w:hAnsiTheme="minorHAnsi"/>
                <w:sz w:val="22"/>
              </w:rPr>
            </w:pPr>
            <w:r w:rsidRPr="00A45758">
              <w:rPr>
                <w:rFonts w:asciiTheme="minorHAnsi" w:hAnsiTheme="minorHAnsi"/>
                <w:b/>
                <w:bCs/>
                <w:sz w:val="22"/>
              </w:rPr>
              <w:t>C</w:t>
            </w:r>
            <w:r>
              <w:rPr>
                <w:rFonts w:asciiTheme="minorHAnsi" w:hAnsiTheme="minorHAnsi"/>
                <w:b/>
                <w:bCs/>
                <w:sz w:val="22"/>
              </w:rPr>
              <w:t xml:space="preserve">el operacyjny I.2 - Rozbudowa i modernizacja infrastruktury </w:t>
            </w:r>
            <w:r w:rsidRPr="00A45758">
              <w:rPr>
                <w:rFonts w:asciiTheme="minorHAnsi" w:hAnsiTheme="minorHAnsi"/>
                <w:b/>
                <w:bCs/>
                <w:sz w:val="22"/>
              </w:rPr>
              <w:t>technicznej dla istniejących i nowych terenów inwestycyjnych</w:t>
            </w:r>
          </w:p>
          <w:p w:rsidR="001A4B8F" w:rsidRPr="00A45758" w:rsidRDefault="001A4B8F" w:rsidP="00841C5B">
            <w:pPr>
              <w:rPr>
                <w:rFonts w:asciiTheme="minorHAnsi" w:hAnsiTheme="minorHAnsi"/>
                <w:sz w:val="22"/>
              </w:rPr>
            </w:pPr>
          </w:p>
        </w:tc>
        <w:tc>
          <w:tcPr>
            <w:tcW w:w="6514" w:type="dxa"/>
            <w:tcBorders>
              <w:top w:val="single" w:sz="8" w:space="0" w:color="auto"/>
              <w:left w:val="single" w:sz="8" w:space="0" w:color="auto"/>
              <w:right w:val="single" w:sz="8" w:space="0" w:color="auto"/>
            </w:tcBorders>
            <w:shd w:val="clear" w:color="auto" w:fill="FBE4D5" w:themeFill="accent2" w:themeFillTint="33"/>
          </w:tcPr>
          <w:p w:rsidR="001A4B8F" w:rsidRDefault="001A4B8F" w:rsidP="005C6A22">
            <w:pPr>
              <w:spacing w:line="240" w:lineRule="auto"/>
              <w:rPr>
                <w:rFonts w:ascii="Calibri" w:hAnsi="Calibri"/>
                <w:color w:val="000000"/>
                <w:sz w:val="20"/>
              </w:rPr>
            </w:pPr>
            <w:r>
              <w:rPr>
                <w:rFonts w:ascii="Calibri" w:hAnsi="Calibri"/>
                <w:color w:val="000000"/>
                <w:sz w:val="20"/>
              </w:rPr>
              <w:t>Rozwój gospodarczy miast</w:t>
            </w:r>
            <w:r w:rsidR="0094642D">
              <w:rPr>
                <w:rFonts w:ascii="Calibri" w:hAnsi="Calibri"/>
                <w:color w:val="000000"/>
                <w:sz w:val="20"/>
              </w:rPr>
              <w:t>,</w:t>
            </w:r>
            <w:r>
              <w:rPr>
                <w:rFonts w:ascii="Calibri" w:hAnsi="Calibri"/>
                <w:color w:val="000000"/>
                <w:sz w:val="20"/>
              </w:rPr>
              <w:t xml:space="preserve"> jak i ich atrakcyjność inwestycyjna</w:t>
            </w:r>
            <w:r w:rsidR="0094642D">
              <w:rPr>
                <w:rFonts w:ascii="Calibri" w:hAnsi="Calibri"/>
                <w:color w:val="000000"/>
                <w:sz w:val="20"/>
              </w:rPr>
              <w:t>,</w:t>
            </w:r>
            <w:r>
              <w:rPr>
                <w:rFonts w:ascii="Calibri" w:hAnsi="Calibri"/>
                <w:color w:val="000000"/>
                <w:sz w:val="20"/>
              </w:rPr>
              <w:t xml:space="preserve"> nie opiera się jedynie na dostępności licznych terenów inwestycyjnych. Zainteresowanie potencjalnych inwestorów wzbudzają tereny cechujące się dobrym skomunikowaniem, a przede wszystkim odpowiednim zabezpieczeniem dostępu do infrastruktury technicznej. Realizacja tego celu jest niezwykle istotna</w:t>
            </w:r>
            <w:r w:rsidR="00D56C7E">
              <w:rPr>
                <w:rFonts w:ascii="Calibri" w:hAnsi="Calibri"/>
                <w:color w:val="000000"/>
                <w:sz w:val="20"/>
              </w:rPr>
              <w:t>,</w:t>
            </w:r>
            <w:r>
              <w:rPr>
                <w:rFonts w:ascii="Calibri" w:hAnsi="Calibri"/>
                <w:color w:val="000000"/>
                <w:sz w:val="20"/>
              </w:rPr>
              <w:t xml:space="preserve"> wzmacnia bowiem oddziaływanie zadań określonych w Celu operacyjnym I.1 związanych z rozbudową zewnętrznego układu komunikacyjnego. Uzbrojenie dróg dla terenów </w:t>
            </w:r>
            <w:r w:rsidRPr="0074544E">
              <w:rPr>
                <w:rFonts w:ascii="Calibri" w:hAnsi="Calibri"/>
                <w:b/>
                <w:color w:val="000000"/>
                <w:sz w:val="20"/>
              </w:rPr>
              <w:t>produkcyjno – usługowych</w:t>
            </w:r>
            <w:r>
              <w:rPr>
                <w:rFonts w:ascii="Calibri" w:hAnsi="Calibri"/>
                <w:color w:val="000000"/>
                <w:sz w:val="20"/>
              </w:rPr>
              <w:t xml:space="preserve"> wzdłuż modernizowanych (np. ul. Jaworzyńska), a także nowo budowanych (np. Obwodnica Południowo-Wschodnia, Obwodnica </w:t>
            </w:r>
            <w:r w:rsidR="0094642D">
              <w:rPr>
                <w:rFonts w:ascii="Calibri" w:hAnsi="Calibri"/>
                <w:color w:val="000000"/>
                <w:sz w:val="20"/>
              </w:rPr>
              <w:t>Zachodnia</w:t>
            </w:r>
            <w:r>
              <w:rPr>
                <w:rFonts w:ascii="Calibri" w:hAnsi="Calibri"/>
                <w:color w:val="000000"/>
                <w:sz w:val="20"/>
              </w:rPr>
              <w:t>) ciągów komunikacyjnych znacząco zwiększy potencjał rozwoju gospodarczego i przestrzennego miasta.</w:t>
            </w:r>
          </w:p>
          <w:p w:rsidR="001A4B8F" w:rsidRDefault="001A4B8F" w:rsidP="005C6A22">
            <w:pPr>
              <w:spacing w:line="240" w:lineRule="auto"/>
              <w:rPr>
                <w:rFonts w:ascii="Calibri" w:hAnsi="Calibri"/>
                <w:color w:val="000000"/>
                <w:sz w:val="20"/>
              </w:rPr>
            </w:pPr>
          </w:p>
          <w:p w:rsidR="001A4B8F" w:rsidRDefault="00D32A67" w:rsidP="00D32A67">
            <w:pPr>
              <w:spacing w:line="240" w:lineRule="auto"/>
              <w:rPr>
                <w:rFonts w:ascii="Calibri" w:hAnsi="Calibri"/>
                <w:color w:val="000000"/>
                <w:sz w:val="20"/>
              </w:rPr>
            </w:pPr>
            <w:r>
              <w:rPr>
                <w:rFonts w:ascii="Calibri" w:hAnsi="Calibri"/>
                <w:color w:val="000000"/>
                <w:sz w:val="20"/>
              </w:rPr>
              <w:t>P</w:t>
            </w:r>
            <w:r w:rsidR="001A4B8F">
              <w:rPr>
                <w:rFonts w:ascii="Calibri" w:hAnsi="Calibri"/>
                <w:color w:val="000000"/>
                <w:sz w:val="20"/>
              </w:rPr>
              <w:t>otencjalnym</w:t>
            </w:r>
            <w:r>
              <w:rPr>
                <w:rFonts w:ascii="Calibri" w:hAnsi="Calibri"/>
                <w:color w:val="000000"/>
                <w:sz w:val="20"/>
              </w:rPr>
              <w:t>, bardzo atrakcyjnym terenem inwestycyjnym</w:t>
            </w:r>
            <w:r w:rsidR="001A4B8F">
              <w:rPr>
                <w:rFonts w:ascii="Calibri" w:hAnsi="Calibri"/>
                <w:color w:val="000000"/>
                <w:sz w:val="20"/>
              </w:rPr>
              <w:t xml:space="preserve">, po </w:t>
            </w:r>
            <w:r w:rsidR="001A4B8F">
              <w:rPr>
                <w:rFonts w:ascii="Calibri" w:hAnsi="Calibri"/>
                <w:b/>
                <w:color w:val="000000"/>
                <w:sz w:val="20"/>
              </w:rPr>
              <w:t>doprowadzeniu mediów</w:t>
            </w:r>
            <w:r w:rsidR="001A4B8F" w:rsidRPr="005C6A22">
              <w:rPr>
                <w:rFonts w:ascii="Calibri" w:hAnsi="Calibri"/>
                <w:b/>
                <w:color w:val="000000"/>
                <w:sz w:val="20"/>
              </w:rPr>
              <w:t xml:space="preserve"> i budowie układu komunikacyjnego</w:t>
            </w:r>
            <w:r w:rsidR="00DB5A05">
              <w:rPr>
                <w:rFonts w:ascii="Calibri" w:hAnsi="Calibri"/>
                <w:b/>
                <w:color w:val="000000"/>
                <w:sz w:val="20"/>
              </w:rPr>
              <w:t>,</w:t>
            </w:r>
            <w:r w:rsidR="001A4B8F">
              <w:rPr>
                <w:rFonts w:ascii="Calibri" w:hAnsi="Calibri"/>
                <w:b/>
                <w:color w:val="000000"/>
                <w:sz w:val="20"/>
              </w:rPr>
              <w:t xml:space="preserve"> </w:t>
            </w:r>
            <w:r w:rsidR="001A4B8F">
              <w:rPr>
                <w:rFonts w:ascii="Calibri" w:hAnsi="Calibri"/>
                <w:color w:val="000000"/>
                <w:sz w:val="20"/>
              </w:rPr>
              <w:t xml:space="preserve">może stać się </w:t>
            </w:r>
            <w:r w:rsidR="001A4B8F" w:rsidRPr="005C6A22">
              <w:rPr>
                <w:rFonts w:ascii="Calibri" w:hAnsi="Calibri"/>
                <w:b/>
                <w:color w:val="000000"/>
                <w:sz w:val="20"/>
              </w:rPr>
              <w:t>teren lotniska.</w:t>
            </w:r>
            <w:r w:rsidR="001A4B8F">
              <w:rPr>
                <w:rFonts w:ascii="Calibri" w:hAnsi="Calibri"/>
                <w:color w:val="000000"/>
                <w:sz w:val="20"/>
              </w:rPr>
              <w:t xml:space="preserve"> Jego lokalizacja w południowej części miasta, przy przecięciu się Obwodnic</w:t>
            </w:r>
            <w:r w:rsidR="00A458E7">
              <w:rPr>
                <w:rFonts w:ascii="Calibri" w:hAnsi="Calibri"/>
                <w:color w:val="000000"/>
                <w:sz w:val="20"/>
              </w:rPr>
              <w:t>:</w:t>
            </w:r>
            <w:r w:rsidR="001A4B8F">
              <w:rPr>
                <w:rFonts w:ascii="Calibri" w:hAnsi="Calibri"/>
                <w:color w:val="000000"/>
                <w:sz w:val="20"/>
              </w:rPr>
              <w:t xml:space="preserve"> Zachodniej i Południowo-Wschodniej, a także pobliskiej autostrady A4,</w:t>
            </w:r>
            <w:r w:rsidR="001A4B8F">
              <w:rPr>
                <w:rFonts w:ascii="Calibri" w:hAnsi="Calibri"/>
                <w:b/>
                <w:color w:val="000000"/>
                <w:sz w:val="20"/>
              </w:rPr>
              <w:t xml:space="preserve"> </w:t>
            </w:r>
            <w:r>
              <w:rPr>
                <w:rFonts w:ascii="Calibri" w:hAnsi="Calibri"/>
                <w:color w:val="000000"/>
                <w:sz w:val="20"/>
              </w:rPr>
              <w:t>wpływa na atrakcyjność</w:t>
            </w:r>
            <w:r w:rsidR="001A4B8F" w:rsidRPr="001A4B8F">
              <w:rPr>
                <w:rFonts w:ascii="Calibri" w:hAnsi="Calibri"/>
                <w:color w:val="000000"/>
                <w:sz w:val="20"/>
              </w:rPr>
              <w:t xml:space="preserve"> tego terenu dla budowy centrów logistycznych, </w:t>
            </w:r>
            <w:r w:rsidR="00D56C7E" w:rsidRPr="001770F9">
              <w:rPr>
                <w:rFonts w:ascii="Calibri" w:hAnsi="Calibri"/>
                <w:color w:val="000000"/>
                <w:sz w:val="20"/>
              </w:rPr>
              <w:t>dystrybucyjnych</w:t>
            </w:r>
            <w:r w:rsidR="001A4B8F" w:rsidRPr="001770F9">
              <w:rPr>
                <w:rFonts w:ascii="Calibri" w:hAnsi="Calibri"/>
                <w:color w:val="000000"/>
                <w:sz w:val="20"/>
              </w:rPr>
              <w:t>,</w:t>
            </w:r>
            <w:r w:rsidR="001A4B8F" w:rsidRPr="001A4B8F">
              <w:rPr>
                <w:rFonts w:ascii="Calibri" w:hAnsi="Calibri"/>
                <w:color w:val="000000"/>
                <w:sz w:val="20"/>
              </w:rPr>
              <w:t xml:space="preserve"> czy zakładów produkcyjnych.</w:t>
            </w:r>
            <w:r w:rsidR="00DB5A05">
              <w:rPr>
                <w:rFonts w:ascii="Calibri" w:hAnsi="Calibri"/>
                <w:b/>
                <w:color w:val="000000"/>
                <w:sz w:val="20"/>
              </w:rPr>
              <w:t xml:space="preserve"> </w:t>
            </w:r>
            <w:r w:rsidR="001E120B" w:rsidRPr="001E120B">
              <w:rPr>
                <w:rFonts w:ascii="Calibri" w:hAnsi="Calibri"/>
                <w:color w:val="000000"/>
                <w:sz w:val="20"/>
              </w:rPr>
              <w:t xml:space="preserve">Właściwe wykorzystanie i przeznaczenie terenu lotniska </w:t>
            </w:r>
            <w:r w:rsidR="001E120B">
              <w:rPr>
                <w:rFonts w:ascii="Calibri" w:hAnsi="Calibri"/>
                <w:color w:val="000000"/>
                <w:sz w:val="20"/>
              </w:rPr>
              <w:t>może stanowić</w:t>
            </w:r>
            <w:r w:rsidR="001E120B" w:rsidRPr="001E120B">
              <w:rPr>
                <w:rFonts w:ascii="Calibri" w:hAnsi="Calibri"/>
                <w:color w:val="000000"/>
                <w:sz w:val="20"/>
              </w:rPr>
              <w:t xml:space="preserve"> kluczowy impuls dl</w:t>
            </w:r>
            <w:r w:rsidR="001E120B">
              <w:rPr>
                <w:rFonts w:ascii="Calibri" w:hAnsi="Calibri"/>
                <w:color w:val="000000"/>
                <w:sz w:val="20"/>
              </w:rPr>
              <w:t>a rozwoju gospodarczego Legnicy w nadchodzących latach.</w:t>
            </w:r>
          </w:p>
          <w:p w:rsidR="004E5E68" w:rsidRDefault="004E5E68" w:rsidP="00D32A67">
            <w:pPr>
              <w:spacing w:line="240" w:lineRule="auto"/>
              <w:rPr>
                <w:rFonts w:ascii="Calibri" w:hAnsi="Calibri"/>
                <w:color w:val="000000"/>
                <w:sz w:val="20"/>
              </w:rPr>
            </w:pPr>
          </w:p>
          <w:p w:rsidR="004E5E68" w:rsidRDefault="004E5E68" w:rsidP="00D32A67">
            <w:pPr>
              <w:spacing w:line="240" w:lineRule="auto"/>
              <w:rPr>
                <w:rFonts w:ascii="Calibri" w:hAnsi="Calibri"/>
                <w:color w:val="000000"/>
                <w:sz w:val="20"/>
              </w:rPr>
            </w:pPr>
            <w:r>
              <w:rPr>
                <w:rFonts w:ascii="Calibri" w:hAnsi="Calibri"/>
                <w:color w:val="000000"/>
                <w:sz w:val="20"/>
              </w:rPr>
              <w:t xml:space="preserve">Zadaniami </w:t>
            </w:r>
            <w:r w:rsidR="001770F9">
              <w:rPr>
                <w:rFonts w:ascii="Calibri" w:hAnsi="Calibri"/>
                <w:color w:val="000000"/>
                <w:sz w:val="20"/>
              </w:rPr>
              <w:t>głównymi</w:t>
            </w:r>
            <w:r>
              <w:rPr>
                <w:rFonts w:ascii="Calibri" w:hAnsi="Calibri"/>
                <w:color w:val="000000"/>
                <w:sz w:val="20"/>
              </w:rPr>
              <w:t xml:space="preserve"> będą:</w:t>
            </w:r>
          </w:p>
          <w:p w:rsidR="00DD1F35" w:rsidRPr="00DD1F35" w:rsidRDefault="004E5E68" w:rsidP="0062416A">
            <w:pPr>
              <w:pStyle w:val="Akapitzlist"/>
              <w:numPr>
                <w:ilvl w:val="0"/>
                <w:numId w:val="53"/>
              </w:numPr>
              <w:spacing w:line="240" w:lineRule="auto"/>
              <w:rPr>
                <w:rFonts w:ascii="Calibri" w:hAnsi="Calibri"/>
                <w:b/>
                <w:color w:val="000000"/>
                <w:sz w:val="20"/>
              </w:rPr>
            </w:pPr>
            <w:r w:rsidRPr="00DD1F35">
              <w:rPr>
                <w:rFonts w:ascii="Calibri" w:hAnsi="Calibri"/>
                <w:b/>
                <w:color w:val="000000"/>
                <w:sz w:val="20"/>
              </w:rPr>
              <w:t>Uzbrojenie</w:t>
            </w:r>
            <w:r w:rsidR="00062828">
              <w:rPr>
                <w:rFonts w:ascii="Calibri" w:hAnsi="Calibri"/>
                <w:b/>
                <w:color w:val="000000"/>
                <w:sz w:val="20"/>
              </w:rPr>
              <w:t xml:space="preserve"> i budowa</w:t>
            </w:r>
            <w:r w:rsidRPr="00DD1F35">
              <w:rPr>
                <w:rFonts w:ascii="Calibri" w:hAnsi="Calibri"/>
                <w:b/>
                <w:color w:val="000000"/>
                <w:sz w:val="20"/>
              </w:rPr>
              <w:t xml:space="preserve"> dróg w rejonie ul. Jaworzyńskiej</w:t>
            </w:r>
            <w:r w:rsidR="00062828">
              <w:rPr>
                <w:rFonts w:ascii="Calibri" w:hAnsi="Calibri"/>
                <w:b/>
                <w:color w:val="000000"/>
                <w:sz w:val="20"/>
              </w:rPr>
              <w:t xml:space="preserve"> – w</w:t>
            </w:r>
            <w:r w:rsidR="00DD1F35" w:rsidRPr="00DD1F35">
              <w:rPr>
                <w:rFonts w:ascii="Calibri" w:hAnsi="Calibri"/>
                <w:b/>
                <w:color w:val="000000"/>
                <w:sz w:val="20"/>
              </w:rPr>
              <w:t>schodnie otoczenie Osiedla Sienkiewicza;</w:t>
            </w:r>
          </w:p>
          <w:p w:rsidR="004E5E68" w:rsidRPr="00DD1F35" w:rsidRDefault="00DD1F35" w:rsidP="0062416A">
            <w:pPr>
              <w:pStyle w:val="Akapitzlist"/>
              <w:numPr>
                <w:ilvl w:val="0"/>
                <w:numId w:val="53"/>
              </w:numPr>
              <w:spacing w:line="240" w:lineRule="auto"/>
              <w:rPr>
                <w:rFonts w:ascii="Calibri" w:hAnsi="Calibri"/>
                <w:b/>
                <w:color w:val="000000"/>
                <w:sz w:val="20"/>
              </w:rPr>
            </w:pPr>
            <w:r w:rsidRPr="00DD1F35">
              <w:rPr>
                <w:rFonts w:ascii="Calibri" w:hAnsi="Calibri"/>
                <w:b/>
                <w:color w:val="000000"/>
                <w:sz w:val="20"/>
              </w:rPr>
              <w:t>Uzbrojenie</w:t>
            </w:r>
            <w:r w:rsidR="00062828">
              <w:rPr>
                <w:rFonts w:ascii="Calibri" w:hAnsi="Calibri"/>
                <w:b/>
                <w:color w:val="000000"/>
                <w:sz w:val="20"/>
              </w:rPr>
              <w:t xml:space="preserve"> i budowa</w:t>
            </w:r>
            <w:r w:rsidRPr="00DD1F35">
              <w:rPr>
                <w:rFonts w:ascii="Calibri" w:hAnsi="Calibri"/>
                <w:b/>
                <w:color w:val="000000"/>
                <w:sz w:val="20"/>
              </w:rPr>
              <w:t xml:space="preserve"> dróg w rejonie ul. Jaworzyńskiej oraz </w:t>
            </w:r>
            <w:r w:rsidR="005C7B7D">
              <w:rPr>
                <w:rFonts w:ascii="Calibri" w:hAnsi="Calibri"/>
                <w:b/>
                <w:color w:val="000000"/>
                <w:sz w:val="20"/>
              </w:rPr>
              <w:t>Obwodnicy Zachodniej (Legnica II LSSE)</w:t>
            </w:r>
            <w:r w:rsidR="004E5E68" w:rsidRPr="00DD1F35">
              <w:rPr>
                <w:rFonts w:ascii="Calibri" w:hAnsi="Calibri"/>
                <w:b/>
                <w:color w:val="000000"/>
                <w:sz w:val="20"/>
              </w:rPr>
              <w:t>;</w:t>
            </w:r>
          </w:p>
          <w:p w:rsidR="009F2099" w:rsidRPr="00AC119E" w:rsidRDefault="00B738E4" w:rsidP="0062416A">
            <w:pPr>
              <w:pStyle w:val="Akapitzlist"/>
              <w:numPr>
                <w:ilvl w:val="0"/>
                <w:numId w:val="53"/>
              </w:numPr>
              <w:rPr>
                <w:rFonts w:ascii="Calibri" w:hAnsi="Calibri"/>
                <w:b/>
                <w:color w:val="000000"/>
                <w:sz w:val="20"/>
              </w:rPr>
            </w:pPr>
            <w:r w:rsidRPr="001770F9">
              <w:rPr>
                <w:rFonts w:ascii="Calibri" w:hAnsi="Calibri"/>
                <w:b/>
                <w:bCs/>
                <w:color w:val="000000"/>
                <w:sz w:val="20"/>
              </w:rPr>
              <w:t>Budowa układu komunikacyjnego wraz z uzbrojeniem na terenie inwestycyjnym (obecnego lotniska) i powiązanie z układem dróg krajowych;</w:t>
            </w:r>
          </w:p>
          <w:p w:rsidR="00AC119E" w:rsidRPr="001770F9" w:rsidRDefault="00AC119E" w:rsidP="00AC119E">
            <w:pPr>
              <w:pStyle w:val="Akapitzlist"/>
              <w:rPr>
                <w:rFonts w:ascii="Calibri" w:hAnsi="Calibri"/>
                <w:b/>
                <w:color w:val="000000"/>
                <w:sz w:val="20"/>
              </w:rPr>
            </w:pPr>
          </w:p>
          <w:p w:rsidR="00D56C7E" w:rsidRPr="001770F9" w:rsidRDefault="001770F9" w:rsidP="001770F9">
            <w:pPr>
              <w:spacing w:line="240" w:lineRule="auto"/>
              <w:rPr>
                <w:rFonts w:ascii="Calibri" w:hAnsi="Calibri"/>
                <w:color w:val="000000"/>
                <w:sz w:val="20"/>
              </w:rPr>
            </w:pPr>
            <w:r>
              <w:rPr>
                <w:rFonts w:ascii="Calibri" w:hAnsi="Calibri"/>
                <w:color w:val="000000"/>
                <w:sz w:val="20"/>
              </w:rPr>
              <w:t>Zadaniami uzupełniającymi będą;</w:t>
            </w:r>
          </w:p>
          <w:p w:rsidR="009F2099" w:rsidRPr="001770F9" w:rsidRDefault="00B738E4" w:rsidP="0062416A">
            <w:pPr>
              <w:numPr>
                <w:ilvl w:val="0"/>
                <w:numId w:val="82"/>
              </w:numPr>
              <w:spacing w:line="240" w:lineRule="auto"/>
              <w:rPr>
                <w:rFonts w:ascii="Calibri" w:hAnsi="Calibri"/>
                <w:color w:val="000000"/>
                <w:sz w:val="20"/>
              </w:rPr>
            </w:pPr>
            <w:r w:rsidRPr="001770F9">
              <w:rPr>
                <w:rFonts w:ascii="Calibri" w:hAnsi="Calibri"/>
                <w:b/>
                <w:bCs/>
                <w:color w:val="000000"/>
                <w:sz w:val="20"/>
              </w:rPr>
              <w:t>Budowa parkingów dla samochodów ciężarowych;</w:t>
            </w:r>
          </w:p>
          <w:p w:rsidR="009F2099" w:rsidRPr="001770F9" w:rsidRDefault="00B738E4" w:rsidP="0062416A">
            <w:pPr>
              <w:numPr>
                <w:ilvl w:val="0"/>
                <w:numId w:val="82"/>
              </w:numPr>
              <w:spacing w:line="240" w:lineRule="auto"/>
              <w:rPr>
                <w:rFonts w:ascii="Calibri" w:hAnsi="Calibri"/>
                <w:color w:val="000000"/>
                <w:sz w:val="20"/>
              </w:rPr>
            </w:pPr>
            <w:r w:rsidRPr="001770F9">
              <w:rPr>
                <w:rFonts w:ascii="Calibri" w:hAnsi="Calibri"/>
                <w:b/>
                <w:bCs/>
                <w:color w:val="000000"/>
                <w:sz w:val="20"/>
              </w:rPr>
              <w:t>Przebudowa ul. Pątnowskiej;</w:t>
            </w:r>
          </w:p>
          <w:p w:rsidR="009F2099" w:rsidRPr="001770F9" w:rsidRDefault="00B738E4" w:rsidP="0062416A">
            <w:pPr>
              <w:numPr>
                <w:ilvl w:val="0"/>
                <w:numId w:val="82"/>
              </w:numPr>
              <w:spacing w:line="240" w:lineRule="auto"/>
              <w:rPr>
                <w:rFonts w:ascii="Calibri" w:hAnsi="Calibri"/>
                <w:color w:val="000000"/>
                <w:sz w:val="20"/>
              </w:rPr>
            </w:pPr>
            <w:r w:rsidRPr="001770F9">
              <w:rPr>
                <w:rFonts w:ascii="Calibri" w:hAnsi="Calibri"/>
                <w:b/>
                <w:bCs/>
                <w:color w:val="000000"/>
                <w:sz w:val="20"/>
              </w:rPr>
              <w:t>Promocja Legnicy jako miasta przyjaznego inwestorom;</w:t>
            </w:r>
          </w:p>
          <w:p w:rsidR="00F70AE4" w:rsidRDefault="00F70AE4" w:rsidP="00A9140E">
            <w:pPr>
              <w:spacing w:line="240" w:lineRule="auto"/>
              <w:rPr>
                <w:rFonts w:ascii="Calibri" w:hAnsi="Calibri"/>
                <w:color w:val="000000"/>
                <w:sz w:val="20"/>
              </w:rPr>
            </w:pPr>
          </w:p>
          <w:p w:rsidR="00280177" w:rsidRPr="00280177" w:rsidRDefault="00280177" w:rsidP="00A9140E">
            <w:pPr>
              <w:spacing w:line="240" w:lineRule="auto"/>
              <w:rPr>
                <w:rFonts w:ascii="Calibri" w:hAnsi="Calibri"/>
                <w:color w:val="000000"/>
                <w:sz w:val="20"/>
              </w:rPr>
            </w:pPr>
            <w:r>
              <w:rPr>
                <w:rFonts w:ascii="Calibri" w:hAnsi="Calibri"/>
                <w:color w:val="000000"/>
                <w:sz w:val="20"/>
              </w:rPr>
              <w:t xml:space="preserve">Finansowanie powyższych działań będzie odbywało się przy udziale środków </w:t>
            </w:r>
            <w:r>
              <w:rPr>
                <w:rFonts w:ascii="Calibri" w:hAnsi="Calibri"/>
                <w:color w:val="000000"/>
                <w:sz w:val="20"/>
              </w:rPr>
              <w:lastRenderedPageBreak/>
              <w:t>własnych bu</w:t>
            </w:r>
            <w:r w:rsidR="009A0C00">
              <w:rPr>
                <w:rFonts w:ascii="Calibri" w:hAnsi="Calibri"/>
                <w:color w:val="000000"/>
                <w:sz w:val="20"/>
              </w:rPr>
              <w:t xml:space="preserve">dżetu miasta, </w:t>
            </w:r>
            <w:r w:rsidR="009A0C00" w:rsidRPr="00A9140E">
              <w:rPr>
                <w:rFonts w:ascii="Calibri" w:hAnsi="Calibri"/>
                <w:color w:val="000000"/>
                <w:sz w:val="20"/>
              </w:rPr>
              <w:t>środków własnych</w:t>
            </w:r>
            <w:r w:rsidR="00A9140E" w:rsidRPr="00A9140E">
              <w:rPr>
                <w:rFonts w:ascii="Calibri" w:hAnsi="Calibri"/>
                <w:color w:val="000000"/>
                <w:sz w:val="20"/>
              </w:rPr>
              <w:t xml:space="preserve"> spółek komunalnych</w:t>
            </w:r>
            <w:r w:rsidR="009A0C00" w:rsidRPr="00A9140E">
              <w:rPr>
                <w:rFonts w:ascii="Calibri" w:hAnsi="Calibri"/>
                <w:color w:val="000000"/>
                <w:sz w:val="20"/>
              </w:rPr>
              <w:t>,</w:t>
            </w:r>
            <w:r w:rsidR="0017098E">
              <w:rPr>
                <w:rFonts w:ascii="Calibri" w:hAnsi="Calibri"/>
                <w:color w:val="000000"/>
                <w:sz w:val="20"/>
              </w:rPr>
              <w:t xml:space="preserve"> a także</w:t>
            </w:r>
            <w:r w:rsidR="009A0C00">
              <w:rPr>
                <w:rFonts w:ascii="Calibri" w:hAnsi="Calibri"/>
                <w:color w:val="000000"/>
                <w:sz w:val="20"/>
              </w:rPr>
              <w:t xml:space="preserve"> środków pochodząc</w:t>
            </w:r>
            <w:r w:rsidR="00E12E12">
              <w:rPr>
                <w:rFonts w:ascii="Calibri" w:hAnsi="Calibri"/>
                <w:color w:val="000000"/>
                <w:sz w:val="20"/>
              </w:rPr>
              <w:t>ych z funduszy europejskich (RPO WD</w:t>
            </w:r>
            <w:r w:rsidR="009A0C00">
              <w:rPr>
                <w:rFonts w:ascii="Calibri" w:hAnsi="Calibri"/>
                <w:color w:val="000000"/>
                <w:sz w:val="20"/>
              </w:rPr>
              <w:t>, PO IŚ</w:t>
            </w:r>
            <w:r w:rsidR="00E12E12">
              <w:rPr>
                <w:rFonts w:ascii="Calibri" w:hAnsi="Calibri"/>
                <w:color w:val="000000"/>
                <w:sz w:val="20"/>
              </w:rPr>
              <w:t>, PO IR</w:t>
            </w:r>
            <w:r w:rsidR="009A0C00">
              <w:rPr>
                <w:rFonts w:ascii="Calibri" w:hAnsi="Calibri"/>
                <w:color w:val="000000"/>
                <w:sz w:val="20"/>
              </w:rPr>
              <w:t>)</w:t>
            </w:r>
            <w:r w:rsidR="00F967A4">
              <w:rPr>
                <w:rFonts w:ascii="Calibri" w:hAnsi="Calibri"/>
                <w:color w:val="000000"/>
                <w:sz w:val="20"/>
              </w:rPr>
              <w:t>.</w:t>
            </w:r>
            <w:r w:rsidR="00E56A5A">
              <w:rPr>
                <w:rFonts w:ascii="Calibri" w:hAnsi="Calibri"/>
                <w:color w:val="000000"/>
                <w:sz w:val="20"/>
              </w:rPr>
              <w:t xml:space="preserve"> </w:t>
            </w:r>
            <w:r w:rsidR="00E56A5A" w:rsidRPr="00E56A5A">
              <w:rPr>
                <w:rFonts w:ascii="Calibri" w:hAnsi="Calibri" w:cs="Calibri"/>
                <w:color w:val="000000" w:themeColor="text1"/>
                <w:sz w:val="20"/>
              </w:rPr>
              <w:t>Osie priorytetowe w poszczególnych Programach zostaną określone po zatwierdzeniu ich „Uszczegółowień”.</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5B319A" w:rsidP="00841C5B">
            <w:pPr>
              <w:rPr>
                <w:rFonts w:ascii="Calibri" w:hAnsi="Calibri"/>
                <w:color w:val="000000"/>
                <w:sz w:val="8"/>
              </w:rPr>
            </w:pPr>
            <w:r>
              <w:lastRenderedPageBreak/>
              <w:br w:type="page"/>
            </w: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C45911" w:themeFill="accent2" w:themeFillShade="BF"/>
          </w:tcPr>
          <w:p w:rsidR="000D7217" w:rsidRPr="00741064" w:rsidRDefault="000D7217" w:rsidP="00B73014">
            <w:pPr>
              <w:jc w:val="center"/>
              <w:rPr>
                <w:rFonts w:ascii="Calibri" w:hAnsi="Calibri"/>
                <w:b/>
                <w:color w:val="000000"/>
                <w:sz w:val="20"/>
              </w:rPr>
            </w:pPr>
            <w:r w:rsidRPr="00741064">
              <w:rPr>
                <w:rFonts w:ascii="Calibri" w:hAnsi="Calibri"/>
                <w:b/>
                <w:color w:val="FFFFFF" w:themeColor="background1"/>
                <w:sz w:val="22"/>
              </w:rPr>
              <w:t>Wskaźniki rezultatu dla Celu operacyjnego I.2</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FBE4D5" w:themeFill="accent2" w:themeFillTint="33"/>
          </w:tcPr>
          <w:p w:rsidR="00E83459" w:rsidRPr="00E83459" w:rsidRDefault="00E83459" w:rsidP="00E83459">
            <w:pPr>
              <w:pStyle w:val="Akapitzlist"/>
              <w:numPr>
                <w:ilvl w:val="0"/>
                <w:numId w:val="54"/>
              </w:numPr>
              <w:rPr>
                <w:rFonts w:ascii="Calibri" w:hAnsi="Calibri"/>
                <w:b/>
                <w:color w:val="000000"/>
                <w:sz w:val="20"/>
              </w:rPr>
            </w:pPr>
            <w:r w:rsidRPr="00E83459">
              <w:rPr>
                <w:rFonts w:ascii="Calibri" w:hAnsi="Calibri"/>
                <w:b/>
                <w:color w:val="000000"/>
                <w:sz w:val="20"/>
              </w:rPr>
              <w:t>Długość wybudowanych/zmodernizowanych dróg dla terenów inwestycyjnych</w:t>
            </w:r>
            <w:r>
              <w:rPr>
                <w:rFonts w:ascii="Calibri" w:hAnsi="Calibri"/>
                <w:b/>
                <w:color w:val="000000"/>
                <w:sz w:val="20"/>
              </w:rPr>
              <w:t>;</w:t>
            </w:r>
          </w:p>
          <w:p w:rsidR="00311BC4" w:rsidRPr="00741064" w:rsidRDefault="00E83459" w:rsidP="00E83459">
            <w:pPr>
              <w:pStyle w:val="Akapitzlist"/>
              <w:numPr>
                <w:ilvl w:val="0"/>
                <w:numId w:val="54"/>
              </w:numPr>
              <w:rPr>
                <w:rFonts w:ascii="Calibri" w:hAnsi="Calibri"/>
                <w:b/>
                <w:color w:val="000000"/>
                <w:sz w:val="20"/>
              </w:rPr>
            </w:pPr>
            <w:r w:rsidRPr="00E83459">
              <w:rPr>
                <w:rFonts w:ascii="Calibri" w:hAnsi="Calibri"/>
                <w:b/>
                <w:color w:val="000000"/>
                <w:sz w:val="20"/>
              </w:rPr>
              <w:t>Długość wybudowanej sieci wodno- kanalizacyjnej</w:t>
            </w:r>
            <w:r>
              <w:rPr>
                <w:rFonts w:ascii="Calibri" w:hAnsi="Calibri"/>
                <w:b/>
                <w:color w:val="000000"/>
                <w:sz w:val="20"/>
              </w:rPr>
              <w:t>;</w:t>
            </w:r>
          </w:p>
        </w:tc>
      </w:tr>
      <w:tr w:rsidR="000D7217" w:rsidRPr="00F51613" w:rsidTr="009855D9">
        <w:trPr>
          <w:trHeight w:val="113"/>
        </w:trPr>
        <w:tc>
          <w:tcPr>
            <w:tcW w:w="9067" w:type="dxa"/>
            <w:gridSpan w:val="2"/>
            <w:tcBorders>
              <w:left w:val="nil"/>
              <w:right w:val="nil"/>
            </w:tcBorders>
            <w:shd w:val="clear" w:color="auto" w:fill="FFFFFF" w:themeFill="background1"/>
          </w:tcPr>
          <w:p w:rsidR="000D7217" w:rsidRPr="00F51613" w:rsidRDefault="000D7217" w:rsidP="00B73014">
            <w:pPr>
              <w:rPr>
                <w:rFonts w:ascii="Calibri" w:hAnsi="Calibri"/>
                <w:color w:val="000000"/>
                <w:sz w:val="4"/>
              </w:rPr>
            </w:pPr>
          </w:p>
        </w:tc>
      </w:tr>
      <w:tr w:rsidR="00F720BD" w:rsidTr="00F70AE4">
        <w:trPr>
          <w:trHeight w:val="283"/>
        </w:trPr>
        <w:tc>
          <w:tcPr>
            <w:tcW w:w="2553" w:type="dxa"/>
            <w:shd w:val="clear" w:color="auto" w:fill="F4B083" w:themeFill="accent2" w:themeFillTint="99"/>
          </w:tcPr>
          <w:p w:rsidR="00F720BD" w:rsidRPr="00A45758" w:rsidRDefault="00F720BD" w:rsidP="0067261F">
            <w:pPr>
              <w:jc w:val="left"/>
              <w:rPr>
                <w:rFonts w:asciiTheme="minorHAnsi" w:hAnsiTheme="minorHAnsi"/>
                <w:sz w:val="22"/>
              </w:rPr>
            </w:pPr>
            <w:r w:rsidRPr="00A45758">
              <w:rPr>
                <w:rFonts w:asciiTheme="minorHAnsi" w:hAnsiTheme="minorHAnsi"/>
                <w:b/>
                <w:bCs/>
                <w:sz w:val="22"/>
              </w:rPr>
              <w:t>Cel operacyjny I.3 - Rozwój techn</w:t>
            </w:r>
            <w:r>
              <w:rPr>
                <w:rFonts w:asciiTheme="minorHAnsi" w:hAnsiTheme="minorHAnsi"/>
                <w:b/>
                <w:bCs/>
                <w:sz w:val="22"/>
              </w:rPr>
              <w:t>ologii oraz usług publicznych i </w:t>
            </w:r>
            <w:r w:rsidRPr="00A45758">
              <w:rPr>
                <w:rFonts w:asciiTheme="minorHAnsi" w:hAnsiTheme="minorHAnsi"/>
                <w:b/>
                <w:bCs/>
                <w:sz w:val="22"/>
              </w:rPr>
              <w:t>komercyjnych świadczonych elektronicznie</w:t>
            </w:r>
          </w:p>
          <w:p w:rsidR="00F720BD" w:rsidRPr="00A45758" w:rsidRDefault="00F720BD" w:rsidP="00841C5B">
            <w:pPr>
              <w:rPr>
                <w:rFonts w:asciiTheme="minorHAnsi" w:hAnsiTheme="minorHAnsi"/>
                <w:sz w:val="22"/>
              </w:rPr>
            </w:pPr>
          </w:p>
        </w:tc>
        <w:tc>
          <w:tcPr>
            <w:tcW w:w="6514" w:type="dxa"/>
            <w:tcBorders>
              <w:top w:val="single" w:sz="4" w:space="0" w:color="auto"/>
              <w:left w:val="single" w:sz="8" w:space="0" w:color="auto"/>
              <w:right w:val="single" w:sz="8" w:space="0" w:color="auto"/>
            </w:tcBorders>
            <w:shd w:val="clear" w:color="auto" w:fill="FBE4D5" w:themeFill="accent2" w:themeFillTint="33"/>
          </w:tcPr>
          <w:p w:rsidR="00E56A5A" w:rsidRPr="00E56A5A" w:rsidRDefault="00E56A5A" w:rsidP="00E56A5A">
            <w:pPr>
              <w:spacing w:line="240" w:lineRule="auto"/>
              <w:rPr>
                <w:rFonts w:ascii="Calibri" w:hAnsi="Calibri" w:cs="Calibri"/>
                <w:color w:val="000000" w:themeColor="text1"/>
                <w:sz w:val="20"/>
                <w:szCs w:val="20"/>
              </w:rPr>
            </w:pPr>
            <w:r w:rsidRPr="00E56A5A">
              <w:rPr>
                <w:rFonts w:ascii="Calibri" w:hAnsi="Calibri" w:cs="Calibri"/>
                <w:color w:val="000000" w:themeColor="text1"/>
                <w:sz w:val="20"/>
                <w:szCs w:val="20"/>
              </w:rPr>
              <w:t xml:space="preserve">Nowoczesne społeczeństwo cyfrowe ukierunkowane jest na mobilność oraz szybkość przekazu informacji. Dlatego też, konieczne jest zapewnienie odpowiednich usług oraz integrację repozytoriów danych, wymianę informacji i stworzenie procesów, które umożliwią przedsiębiorstwom,   instytucjom publicznym jak i mieszkańcom uproszczony dostęp do informacji oraz przyspieszą i usprawnią załatwianie spraw  świadczonych drogą elektroniczną. Istotnym projektem w nadchodzących latach będzie m.in. </w:t>
            </w:r>
            <w:r w:rsidRPr="00E56A5A">
              <w:rPr>
                <w:rFonts w:ascii="Calibri" w:hAnsi="Calibri" w:cs="Calibri"/>
                <w:b/>
                <w:color w:val="000000" w:themeColor="text1"/>
                <w:sz w:val="20"/>
                <w:szCs w:val="20"/>
              </w:rPr>
              <w:t>rozwój</w:t>
            </w:r>
            <w:r w:rsidRPr="00E56A5A">
              <w:rPr>
                <w:rFonts w:ascii="Calibri" w:hAnsi="Calibri" w:cs="Calibri"/>
                <w:color w:val="000000" w:themeColor="text1"/>
                <w:sz w:val="20"/>
                <w:szCs w:val="20"/>
              </w:rPr>
              <w:t xml:space="preserve"> </w:t>
            </w:r>
            <w:r w:rsidRPr="00E56A5A">
              <w:rPr>
                <w:rFonts w:ascii="Calibri" w:hAnsi="Calibri" w:cs="Calibri"/>
                <w:b/>
                <w:color w:val="000000" w:themeColor="text1"/>
                <w:sz w:val="20"/>
                <w:szCs w:val="20"/>
              </w:rPr>
              <w:t>Miejskiej Szerokopasmowej i Bezpiecznej Sieci Teleinformatycznej LEGMAN</w:t>
            </w:r>
            <w:r w:rsidRPr="00E56A5A">
              <w:rPr>
                <w:rFonts w:ascii="Calibri" w:hAnsi="Calibri" w:cs="Calibri"/>
                <w:color w:val="000000" w:themeColor="text1"/>
                <w:sz w:val="20"/>
                <w:szCs w:val="20"/>
              </w:rPr>
              <w:t xml:space="preserve"> w Legnicy poprzez uruchamianie kolejnych jej etapów i funkcjonalności. Sieć LEGMAN stanie się podstawową infrastrukturą scalającą miejskie procesy takie jak monitoring miejski i monitoringi przemysłowe na terenie miasta, system zarządzania ruchem i transportem publicznym czy systemy powiadamiania i łączności,  a także wymiany informacji  dla służb oraz  jednostek Gminnych świadczących usługi dla mieszkańców i przedsiębiorców.  </w:t>
            </w:r>
          </w:p>
          <w:p w:rsidR="00E56A5A" w:rsidRPr="00E56A5A" w:rsidRDefault="00E56A5A" w:rsidP="00E56A5A">
            <w:pPr>
              <w:spacing w:line="240" w:lineRule="auto"/>
              <w:rPr>
                <w:rFonts w:ascii="Calibri" w:hAnsi="Calibri" w:cs="Calibri"/>
                <w:color w:val="000000" w:themeColor="text1"/>
                <w:sz w:val="20"/>
                <w:szCs w:val="20"/>
              </w:rPr>
            </w:pPr>
          </w:p>
          <w:p w:rsidR="00E56A5A" w:rsidRPr="00E56A5A" w:rsidRDefault="00E56A5A" w:rsidP="00E56A5A">
            <w:pPr>
              <w:spacing w:line="240" w:lineRule="auto"/>
              <w:rPr>
                <w:rFonts w:ascii="Calibri" w:hAnsi="Calibri" w:cs="Calibri"/>
                <w:color w:val="000000" w:themeColor="text1"/>
                <w:sz w:val="20"/>
                <w:szCs w:val="20"/>
              </w:rPr>
            </w:pPr>
            <w:r w:rsidRPr="00E56A5A">
              <w:rPr>
                <w:rFonts w:ascii="Calibri" w:hAnsi="Calibri" w:cs="Calibri"/>
                <w:color w:val="000000" w:themeColor="text1"/>
                <w:sz w:val="20"/>
                <w:szCs w:val="20"/>
              </w:rPr>
              <w:t xml:space="preserve">Kolejnym elementem realizującym ten  cel jest  </w:t>
            </w:r>
            <w:r w:rsidRPr="00E56A5A">
              <w:rPr>
                <w:rFonts w:ascii="Calibri" w:hAnsi="Calibri" w:cs="Calibri"/>
                <w:b/>
                <w:color w:val="000000" w:themeColor="text1"/>
                <w:sz w:val="20"/>
                <w:szCs w:val="20"/>
              </w:rPr>
              <w:t>poszerzenie  zakresu usług świadczonych drogą elektroniczną</w:t>
            </w:r>
            <w:r w:rsidRPr="00E56A5A">
              <w:rPr>
                <w:rFonts w:ascii="Calibri" w:hAnsi="Calibri" w:cs="Calibri"/>
                <w:color w:val="000000" w:themeColor="text1"/>
                <w:sz w:val="20"/>
                <w:szCs w:val="20"/>
              </w:rPr>
              <w:t xml:space="preserve"> przez administrację i instytucje publiczne dla mieszkańców i przedsiębiorców. Ważnym aspektem trwającej </w:t>
            </w:r>
            <w:r w:rsidRPr="00E56A5A">
              <w:rPr>
                <w:rFonts w:ascii="Calibri" w:hAnsi="Calibri" w:cs="Calibri"/>
                <w:b/>
                <w:color w:val="000000" w:themeColor="text1"/>
                <w:sz w:val="20"/>
                <w:szCs w:val="20"/>
              </w:rPr>
              <w:t>informatyzacji jednostek publicznych,</w:t>
            </w:r>
            <w:r w:rsidRPr="00E56A5A">
              <w:rPr>
                <w:rFonts w:ascii="Calibri" w:hAnsi="Calibri" w:cs="Calibri"/>
                <w:color w:val="000000" w:themeColor="text1"/>
                <w:sz w:val="20"/>
                <w:szCs w:val="20"/>
              </w:rPr>
              <w:t xml:space="preserve"> w tym Urzędu Miasta jest ciągły rozwój infrastruktury oraz usług IT, który prowadzi do osiągniecia wysokiej jakości tych usług oraz stworzenia jednolitej platformy wymiany informacji cyfrowych. W ostatnich latach szeroko rozwijane są usługi związane z </w:t>
            </w:r>
            <w:r w:rsidRPr="00E56A5A">
              <w:rPr>
                <w:rFonts w:ascii="Calibri" w:hAnsi="Calibri" w:cs="Calibri"/>
                <w:b/>
                <w:color w:val="000000" w:themeColor="text1"/>
                <w:sz w:val="20"/>
                <w:szCs w:val="20"/>
              </w:rPr>
              <w:t>tworzeniem i udostępnianiem cyfrowych map i danych</w:t>
            </w:r>
            <w:r w:rsidRPr="00E56A5A">
              <w:rPr>
                <w:rFonts w:ascii="Calibri" w:hAnsi="Calibri" w:cs="Calibri"/>
                <w:color w:val="000000" w:themeColor="text1"/>
                <w:sz w:val="20"/>
                <w:szCs w:val="20"/>
              </w:rPr>
              <w:t xml:space="preserve"> dotyczących przestrzeni. Dlatego też w dalszym  etapie  informatyzacji Urzędu Miasta i jednostek Gminy nastąpi cyfryzacja kolejnych zasobów z tego obszaru oraz ich publiczne udostepnienie  poprzez  funkcjonujący System Informacji Przestrzennej. </w:t>
            </w:r>
          </w:p>
          <w:p w:rsidR="004E5E68" w:rsidRDefault="004E5E68" w:rsidP="00DB5A05">
            <w:pPr>
              <w:spacing w:line="240" w:lineRule="auto"/>
              <w:rPr>
                <w:rFonts w:ascii="Calibri" w:hAnsi="Calibri"/>
                <w:color w:val="000000"/>
                <w:sz w:val="20"/>
              </w:rPr>
            </w:pPr>
          </w:p>
          <w:p w:rsidR="001770F9" w:rsidRPr="001770F9" w:rsidRDefault="001770F9" w:rsidP="001770F9">
            <w:pPr>
              <w:spacing w:line="240" w:lineRule="auto"/>
              <w:rPr>
                <w:rFonts w:ascii="Calibri" w:hAnsi="Calibri"/>
                <w:color w:val="000000"/>
                <w:sz w:val="20"/>
              </w:rPr>
            </w:pPr>
            <w:r w:rsidRPr="001770F9">
              <w:rPr>
                <w:rFonts w:ascii="Calibri" w:hAnsi="Calibri"/>
                <w:color w:val="000000"/>
                <w:sz w:val="20"/>
              </w:rPr>
              <w:t>Zadaniami głównymi będą:</w:t>
            </w:r>
          </w:p>
          <w:p w:rsidR="009F2099" w:rsidRPr="001770F9" w:rsidRDefault="00B738E4" w:rsidP="0062416A">
            <w:pPr>
              <w:numPr>
                <w:ilvl w:val="0"/>
                <w:numId w:val="83"/>
              </w:numPr>
              <w:spacing w:line="240" w:lineRule="auto"/>
              <w:rPr>
                <w:rFonts w:ascii="Calibri" w:hAnsi="Calibri"/>
                <w:color w:val="000000"/>
                <w:sz w:val="20"/>
              </w:rPr>
            </w:pPr>
            <w:r w:rsidRPr="001770F9">
              <w:rPr>
                <w:rFonts w:ascii="Calibri" w:hAnsi="Calibri"/>
                <w:b/>
                <w:bCs/>
                <w:color w:val="000000"/>
                <w:sz w:val="20"/>
              </w:rPr>
              <w:t>Kontynuacja budowy Miejskiej Szerokopasmowej i Bezpiecznej Sieci Teleinformatycznej LEGMAN w Legnicy jako infrastruktury integrującej procesy miejskie oraz platformy wymiany informacji;</w:t>
            </w:r>
          </w:p>
          <w:p w:rsidR="009F2099" w:rsidRPr="001770F9" w:rsidRDefault="00B738E4" w:rsidP="0062416A">
            <w:pPr>
              <w:numPr>
                <w:ilvl w:val="0"/>
                <w:numId w:val="83"/>
              </w:numPr>
              <w:spacing w:line="240" w:lineRule="auto"/>
              <w:rPr>
                <w:rFonts w:ascii="Calibri" w:hAnsi="Calibri"/>
                <w:color w:val="000000"/>
                <w:sz w:val="20"/>
              </w:rPr>
            </w:pPr>
            <w:r w:rsidRPr="001770F9">
              <w:rPr>
                <w:rFonts w:ascii="Calibri" w:hAnsi="Calibri"/>
                <w:b/>
                <w:bCs/>
                <w:color w:val="000000"/>
                <w:sz w:val="20"/>
              </w:rPr>
              <w:t>Rozszerzenie ilości usług świadczonych drogą elektroniczną realizowanych w ramach Informatyzacji Urzędu Miasta i jednostek gminnych;</w:t>
            </w:r>
          </w:p>
          <w:p w:rsidR="009F2099" w:rsidRPr="001770F9" w:rsidRDefault="00B738E4" w:rsidP="0062416A">
            <w:pPr>
              <w:numPr>
                <w:ilvl w:val="0"/>
                <w:numId w:val="83"/>
              </w:numPr>
              <w:spacing w:line="240" w:lineRule="auto"/>
              <w:rPr>
                <w:rFonts w:ascii="Calibri" w:hAnsi="Calibri"/>
                <w:color w:val="000000"/>
                <w:sz w:val="20"/>
              </w:rPr>
            </w:pPr>
            <w:r w:rsidRPr="001770F9">
              <w:rPr>
                <w:rFonts w:ascii="Calibri" w:hAnsi="Calibri"/>
                <w:b/>
                <w:bCs/>
                <w:color w:val="000000"/>
                <w:sz w:val="20"/>
              </w:rPr>
              <w:t xml:space="preserve">Cyfryzacja kolejnych zasobów z obszaru Systemu Informacji Przestrzennej, rozszerzenie jego funkcjonowania,  w tym kontynuacja budowy numerycznej  mapy zasadniczej; </w:t>
            </w:r>
          </w:p>
          <w:p w:rsidR="009F2099" w:rsidRPr="001770F9" w:rsidRDefault="00B738E4" w:rsidP="0062416A">
            <w:pPr>
              <w:numPr>
                <w:ilvl w:val="0"/>
                <w:numId w:val="83"/>
              </w:numPr>
              <w:spacing w:line="240" w:lineRule="auto"/>
              <w:rPr>
                <w:rFonts w:ascii="Calibri" w:hAnsi="Calibri"/>
                <w:color w:val="000000"/>
                <w:sz w:val="20"/>
              </w:rPr>
            </w:pPr>
            <w:r w:rsidRPr="001770F9">
              <w:rPr>
                <w:rFonts w:ascii="Calibri" w:hAnsi="Calibri"/>
                <w:b/>
                <w:bCs/>
                <w:color w:val="000000"/>
                <w:sz w:val="20"/>
              </w:rPr>
              <w:t>Promocja miasta jako platformy wymiany informacji cyfrowej</w:t>
            </w:r>
            <w:r w:rsidRPr="001770F9">
              <w:rPr>
                <w:rFonts w:ascii="Calibri" w:hAnsi="Calibri"/>
                <w:color w:val="000000"/>
                <w:sz w:val="20"/>
              </w:rPr>
              <w:t>;</w:t>
            </w:r>
          </w:p>
          <w:p w:rsidR="009A0C00" w:rsidRDefault="009A0C00" w:rsidP="009A0C00">
            <w:pPr>
              <w:spacing w:line="240" w:lineRule="auto"/>
              <w:rPr>
                <w:rFonts w:ascii="Calibri" w:hAnsi="Calibri"/>
                <w:color w:val="000000"/>
                <w:sz w:val="20"/>
              </w:rPr>
            </w:pPr>
          </w:p>
          <w:p w:rsidR="009A0C00" w:rsidRPr="009A0C00" w:rsidRDefault="009A0C00" w:rsidP="00E12E12">
            <w:pPr>
              <w:spacing w:line="240" w:lineRule="auto"/>
              <w:rPr>
                <w:rFonts w:ascii="Calibri" w:hAnsi="Calibri"/>
                <w:color w:val="000000"/>
                <w:sz w:val="20"/>
              </w:rPr>
            </w:pPr>
            <w:r>
              <w:rPr>
                <w:rFonts w:ascii="Calibri" w:hAnsi="Calibri"/>
                <w:color w:val="000000"/>
                <w:sz w:val="20"/>
              </w:rPr>
              <w:t>Finansowanie działań w ramach celu odbywać się będzie poprzez wykorzystanie środków budżetowych miasta oraz możliwych źródeł dofinansowania z funduszy europejskich (RPO W</w:t>
            </w:r>
            <w:r w:rsidR="0017098E">
              <w:rPr>
                <w:rFonts w:ascii="Calibri" w:hAnsi="Calibri"/>
                <w:color w:val="000000"/>
                <w:sz w:val="20"/>
              </w:rPr>
              <w:t>ojewództwa Dolnośląskiego</w:t>
            </w:r>
            <w:r>
              <w:rPr>
                <w:rFonts w:ascii="Calibri" w:hAnsi="Calibri"/>
                <w:color w:val="000000"/>
                <w:sz w:val="20"/>
              </w:rPr>
              <w:t>,</w:t>
            </w:r>
            <w:r w:rsidR="009B5326">
              <w:rPr>
                <w:rFonts w:ascii="Calibri" w:hAnsi="Calibri"/>
                <w:color w:val="000000"/>
                <w:sz w:val="20"/>
              </w:rPr>
              <w:t xml:space="preserve"> P</w:t>
            </w:r>
            <w:r w:rsidR="00F967A4">
              <w:rPr>
                <w:rFonts w:ascii="Calibri" w:hAnsi="Calibri"/>
                <w:color w:val="000000"/>
                <w:sz w:val="20"/>
              </w:rPr>
              <w:t xml:space="preserve">rogram Operacyjny </w:t>
            </w:r>
            <w:r w:rsidR="009B5326">
              <w:rPr>
                <w:rFonts w:ascii="Calibri" w:hAnsi="Calibri"/>
                <w:color w:val="000000"/>
                <w:sz w:val="20"/>
              </w:rPr>
              <w:t>Polska Cyfrowa</w:t>
            </w:r>
            <w:r w:rsidRPr="00F967A4">
              <w:rPr>
                <w:rFonts w:ascii="Calibri" w:hAnsi="Calibri"/>
                <w:color w:val="000000"/>
                <w:sz w:val="20"/>
              </w:rPr>
              <w:t>)</w:t>
            </w:r>
            <w:r w:rsidR="00E56A5A">
              <w:rPr>
                <w:rFonts w:ascii="Calibri" w:hAnsi="Calibri"/>
                <w:color w:val="000000"/>
                <w:sz w:val="20"/>
              </w:rPr>
              <w:t xml:space="preserve">. </w:t>
            </w:r>
            <w:r w:rsidR="00E56A5A" w:rsidRPr="00E56A5A">
              <w:rPr>
                <w:rFonts w:ascii="Calibri" w:hAnsi="Calibri" w:cs="Calibri"/>
                <w:color w:val="000000" w:themeColor="text1"/>
                <w:sz w:val="20"/>
              </w:rPr>
              <w:t xml:space="preserve">Osie priorytetowe w poszczególnych </w:t>
            </w:r>
            <w:r w:rsidR="00E56A5A" w:rsidRPr="00E56A5A">
              <w:rPr>
                <w:rFonts w:ascii="Calibri" w:hAnsi="Calibri" w:cs="Calibri"/>
                <w:color w:val="000000" w:themeColor="text1"/>
                <w:sz w:val="20"/>
              </w:rPr>
              <w:lastRenderedPageBreak/>
              <w:t>Programach zostaną określone po zatwierdzeniu ich „Uszczegółowień”.</w:t>
            </w:r>
          </w:p>
        </w:tc>
      </w:tr>
      <w:tr w:rsidR="00F51613" w:rsidTr="009855D9">
        <w:trPr>
          <w:trHeight w:val="113"/>
        </w:trPr>
        <w:tc>
          <w:tcPr>
            <w:tcW w:w="9067" w:type="dxa"/>
            <w:gridSpan w:val="2"/>
            <w:tcBorders>
              <w:left w:val="nil"/>
              <w:bottom w:val="single" w:sz="4" w:space="0" w:color="auto"/>
              <w:right w:val="nil"/>
            </w:tcBorders>
            <w:shd w:val="clear" w:color="auto" w:fill="FFFFFF" w:themeFill="background1"/>
          </w:tcPr>
          <w:p w:rsidR="00F51613" w:rsidRPr="00F51613" w:rsidRDefault="00F51613" w:rsidP="00F51613">
            <w:pPr>
              <w:jc w:val="right"/>
              <w:rPr>
                <w:rFonts w:ascii="Calibri" w:hAnsi="Calibri"/>
                <w:color w:val="000000"/>
                <w:sz w:val="4"/>
              </w:rPr>
            </w:pP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C45911" w:themeFill="accent2" w:themeFillShade="BF"/>
          </w:tcPr>
          <w:p w:rsidR="000D7217" w:rsidRPr="002E3FD4" w:rsidRDefault="00F967A4" w:rsidP="00F967A4">
            <w:pPr>
              <w:jc w:val="center"/>
              <w:rPr>
                <w:rFonts w:ascii="Calibri" w:hAnsi="Calibri"/>
                <w:b/>
                <w:color w:val="000000"/>
                <w:sz w:val="20"/>
                <w:highlight w:val="yellow"/>
              </w:rPr>
            </w:pPr>
            <w:r>
              <w:rPr>
                <w:rFonts w:ascii="Calibri" w:hAnsi="Calibri"/>
                <w:b/>
                <w:color w:val="FFFFFF" w:themeColor="background1"/>
                <w:sz w:val="22"/>
              </w:rPr>
              <w:t>Wskaźniki</w:t>
            </w:r>
            <w:r w:rsidR="000D7217">
              <w:rPr>
                <w:rFonts w:ascii="Calibri" w:hAnsi="Calibri"/>
                <w:b/>
                <w:color w:val="FFFFFF" w:themeColor="background1"/>
                <w:sz w:val="22"/>
              </w:rPr>
              <w:t xml:space="preserve"> dla Celu operacyjnego I.3</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FBE4D5" w:themeFill="accent2" w:themeFillTint="33"/>
          </w:tcPr>
          <w:p w:rsidR="00E83459" w:rsidRPr="00E83459" w:rsidRDefault="00E83459" w:rsidP="00E83459">
            <w:pPr>
              <w:pStyle w:val="Akapitzlist"/>
              <w:numPr>
                <w:ilvl w:val="0"/>
                <w:numId w:val="66"/>
              </w:numPr>
              <w:rPr>
                <w:rFonts w:ascii="Calibri" w:hAnsi="Calibri"/>
                <w:color w:val="000000"/>
                <w:sz w:val="20"/>
              </w:rPr>
            </w:pPr>
            <w:r w:rsidRPr="00E83459">
              <w:rPr>
                <w:rFonts w:ascii="Calibri" w:hAnsi="Calibri"/>
                <w:color w:val="000000"/>
                <w:sz w:val="20"/>
              </w:rPr>
              <w:t>Liczba lokalizacji podłączonych do zasobów sieci miejskiej</w:t>
            </w:r>
            <w:r>
              <w:rPr>
                <w:rFonts w:ascii="Calibri" w:hAnsi="Calibri"/>
                <w:color w:val="000000"/>
                <w:sz w:val="20"/>
              </w:rPr>
              <w:t>;</w:t>
            </w:r>
          </w:p>
          <w:p w:rsidR="00E83459" w:rsidRPr="00E83459" w:rsidRDefault="00E83459" w:rsidP="00E83459">
            <w:pPr>
              <w:pStyle w:val="Akapitzlist"/>
              <w:numPr>
                <w:ilvl w:val="0"/>
                <w:numId w:val="66"/>
              </w:numPr>
              <w:rPr>
                <w:rFonts w:ascii="Calibri" w:hAnsi="Calibri"/>
                <w:color w:val="000000"/>
                <w:sz w:val="20"/>
              </w:rPr>
            </w:pPr>
            <w:r w:rsidRPr="00E83459">
              <w:rPr>
                <w:rFonts w:ascii="Calibri" w:hAnsi="Calibri"/>
                <w:color w:val="000000"/>
                <w:sz w:val="20"/>
              </w:rPr>
              <w:t>Liczba publicznych punktów dostępu do Internetu</w:t>
            </w:r>
            <w:r>
              <w:rPr>
                <w:rFonts w:ascii="Calibri" w:hAnsi="Calibri"/>
                <w:color w:val="000000"/>
                <w:sz w:val="20"/>
              </w:rPr>
              <w:t>;</w:t>
            </w:r>
          </w:p>
          <w:p w:rsidR="00E83459" w:rsidRPr="00E83459" w:rsidRDefault="00E83459" w:rsidP="00E83459">
            <w:pPr>
              <w:pStyle w:val="Akapitzlist"/>
              <w:numPr>
                <w:ilvl w:val="0"/>
                <w:numId w:val="66"/>
              </w:numPr>
              <w:rPr>
                <w:rFonts w:ascii="Calibri" w:hAnsi="Calibri"/>
                <w:color w:val="000000"/>
                <w:sz w:val="20"/>
              </w:rPr>
            </w:pPr>
            <w:r w:rsidRPr="00E83459">
              <w:rPr>
                <w:rFonts w:ascii="Calibri" w:hAnsi="Calibri"/>
                <w:color w:val="000000"/>
                <w:sz w:val="20"/>
              </w:rPr>
              <w:t>Liczba usług świadczonych elektronicznie</w:t>
            </w:r>
            <w:r>
              <w:rPr>
                <w:rFonts w:ascii="Calibri" w:hAnsi="Calibri"/>
                <w:color w:val="000000"/>
                <w:sz w:val="20"/>
              </w:rPr>
              <w:t>;</w:t>
            </w:r>
          </w:p>
          <w:p w:rsidR="004A393C" w:rsidRPr="004A393C" w:rsidRDefault="00E83459" w:rsidP="00E83459">
            <w:pPr>
              <w:pStyle w:val="Akapitzlist"/>
              <w:numPr>
                <w:ilvl w:val="0"/>
                <w:numId w:val="66"/>
              </w:numPr>
              <w:rPr>
                <w:rFonts w:ascii="Calibri" w:hAnsi="Calibri"/>
                <w:color w:val="000000"/>
                <w:sz w:val="20"/>
              </w:rPr>
            </w:pPr>
            <w:r w:rsidRPr="00E83459">
              <w:rPr>
                <w:rFonts w:ascii="Calibri" w:hAnsi="Calibri"/>
                <w:color w:val="000000"/>
                <w:sz w:val="20"/>
              </w:rPr>
              <w:t>Ilość obrębów, dla których utworzono bazy danych BDOT500 i GESUT</w:t>
            </w:r>
            <w:r>
              <w:rPr>
                <w:rFonts w:ascii="Calibri" w:hAnsi="Calibri"/>
                <w:color w:val="000000"/>
                <w:sz w:val="20"/>
              </w:rPr>
              <w:t>;</w:t>
            </w:r>
          </w:p>
        </w:tc>
      </w:tr>
      <w:tr w:rsidR="000D7217" w:rsidRPr="00F51613" w:rsidTr="009855D9">
        <w:trPr>
          <w:trHeight w:val="113"/>
        </w:trPr>
        <w:tc>
          <w:tcPr>
            <w:tcW w:w="9067" w:type="dxa"/>
            <w:gridSpan w:val="2"/>
            <w:tcBorders>
              <w:left w:val="nil"/>
              <w:right w:val="nil"/>
            </w:tcBorders>
            <w:shd w:val="clear" w:color="auto" w:fill="FFFFFF" w:themeFill="background1"/>
          </w:tcPr>
          <w:p w:rsidR="000D7217" w:rsidRPr="00F51613" w:rsidRDefault="000D7217" w:rsidP="00B73014">
            <w:pPr>
              <w:rPr>
                <w:rFonts w:ascii="Calibri" w:hAnsi="Calibri"/>
                <w:color w:val="000000"/>
                <w:sz w:val="4"/>
              </w:rPr>
            </w:pPr>
          </w:p>
        </w:tc>
      </w:tr>
      <w:tr w:rsidR="00C41412" w:rsidTr="009855D9">
        <w:trPr>
          <w:trHeight w:val="964"/>
        </w:trPr>
        <w:tc>
          <w:tcPr>
            <w:tcW w:w="2553" w:type="dxa"/>
            <w:tcBorders>
              <w:top w:val="single" w:sz="4" w:space="0" w:color="auto"/>
            </w:tcBorders>
            <w:shd w:val="clear" w:color="auto" w:fill="F4B083" w:themeFill="accent2" w:themeFillTint="99"/>
          </w:tcPr>
          <w:p w:rsidR="00C41412" w:rsidRPr="00A45758" w:rsidRDefault="00C41412" w:rsidP="00A45758">
            <w:pPr>
              <w:jc w:val="left"/>
              <w:rPr>
                <w:rFonts w:asciiTheme="minorHAnsi" w:hAnsiTheme="minorHAnsi"/>
                <w:sz w:val="22"/>
              </w:rPr>
            </w:pPr>
            <w:r w:rsidRPr="00A45758">
              <w:rPr>
                <w:rFonts w:asciiTheme="minorHAnsi" w:hAnsiTheme="minorHAnsi"/>
                <w:b/>
                <w:bCs/>
                <w:sz w:val="22"/>
              </w:rPr>
              <w:t>Cel operacyjny I.4 - Tworzenie "klimatu dla biznesu" - Legnica centrum konferencyjno-biznesowym</w:t>
            </w:r>
          </w:p>
          <w:p w:rsidR="00C41412" w:rsidRPr="00A45758" w:rsidRDefault="00C41412" w:rsidP="00A45758">
            <w:pPr>
              <w:jc w:val="left"/>
              <w:rPr>
                <w:rFonts w:asciiTheme="minorHAnsi" w:hAnsiTheme="minorHAnsi"/>
                <w:sz w:val="22"/>
              </w:rPr>
            </w:pPr>
          </w:p>
        </w:tc>
        <w:tc>
          <w:tcPr>
            <w:tcW w:w="6514" w:type="dxa"/>
            <w:tcBorders>
              <w:top w:val="single" w:sz="4" w:space="0" w:color="auto"/>
              <w:left w:val="single" w:sz="8" w:space="0" w:color="auto"/>
              <w:right w:val="single" w:sz="8" w:space="0" w:color="auto"/>
            </w:tcBorders>
            <w:shd w:val="clear" w:color="auto" w:fill="FBE4D5" w:themeFill="accent2" w:themeFillTint="33"/>
          </w:tcPr>
          <w:p w:rsidR="00DD1F35" w:rsidRDefault="00DD1F35" w:rsidP="00DD1F35">
            <w:pPr>
              <w:spacing w:line="240" w:lineRule="auto"/>
              <w:rPr>
                <w:rFonts w:ascii="Calibri" w:hAnsi="Calibri"/>
                <w:color w:val="000000"/>
                <w:sz w:val="20"/>
              </w:rPr>
            </w:pPr>
            <w:r>
              <w:rPr>
                <w:rFonts w:ascii="Calibri" w:hAnsi="Calibri"/>
                <w:color w:val="000000"/>
                <w:sz w:val="20"/>
              </w:rPr>
              <w:t xml:space="preserve">Legnica dysponuje wyjątkowo rozbudowanym zapleczem konferencyjno-biznesowym, sprzyjającym organizacji szkoleń, konferencji, wystaw, ale także odpoczynkowi w trakcie podróży służbowych. Jest to potencjał dla rozwoju tzw. „turystyki biznesowej”, który aby rozwijać się prawidłowo wymaga utworzenia </w:t>
            </w:r>
            <w:r w:rsidRPr="001A61D5">
              <w:rPr>
                <w:rFonts w:ascii="Calibri" w:hAnsi="Calibri"/>
                <w:b/>
                <w:color w:val="000000"/>
                <w:sz w:val="20"/>
              </w:rPr>
              <w:t xml:space="preserve">odpowiednich udogodnień infrastrukturalnych oraz komunikacyjnych na terenach kluczowych </w:t>
            </w:r>
            <w:r w:rsidRPr="0094642D">
              <w:rPr>
                <w:rFonts w:ascii="Calibri" w:hAnsi="Calibri"/>
                <w:color w:val="000000"/>
                <w:sz w:val="20"/>
              </w:rPr>
              <w:t>dla pełnienia funkcji hotelowo-konferencyjnej.</w:t>
            </w:r>
            <w:r>
              <w:rPr>
                <w:rFonts w:ascii="Calibri" w:hAnsi="Calibri"/>
                <w:color w:val="000000"/>
                <w:sz w:val="20"/>
              </w:rPr>
              <w:t xml:space="preserve"> Turystyka biznesowa cechuje się wysoką specjalizacją świadczonych usług, ale jednocześnie pozwala osiągać wyższe zyski, aniżeli inne rodzaje turystyki. Dobre sk</w:t>
            </w:r>
            <w:r w:rsidR="00D56C7E">
              <w:rPr>
                <w:rFonts w:ascii="Calibri" w:hAnsi="Calibri"/>
                <w:color w:val="000000"/>
                <w:sz w:val="20"/>
              </w:rPr>
              <w:t>omunikowanie, estetyka,</w:t>
            </w:r>
            <w:r>
              <w:rPr>
                <w:rFonts w:ascii="Calibri" w:hAnsi="Calibri"/>
                <w:color w:val="000000"/>
                <w:sz w:val="20"/>
              </w:rPr>
              <w:t xml:space="preserve"> zabytkowy charakter miasta, sąsiedztwo Wrocławia oraz „zagłębia miedziowego” wsparte odpowiednią promocją mogą uczynić Legnicę jednym z ważniejszych ośrodków tzw. „przemysłu spotkań” w Polsce. </w:t>
            </w:r>
          </w:p>
          <w:p w:rsidR="00DD1F35" w:rsidRDefault="00DD1F35" w:rsidP="00C41412">
            <w:pPr>
              <w:spacing w:line="240" w:lineRule="auto"/>
              <w:rPr>
                <w:rFonts w:ascii="Calibri" w:hAnsi="Calibri"/>
                <w:color w:val="000000"/>
                <w:sz w:val="20"/>
              </w:rPr>
            </w:pPr>
          </w:p>
          <w:p w:rsidR="0094642D" w:rsidRDefault="00C41412" w:rsidP="00C41412">
            <w:pPr>
              <w:spacing w:line="240" w:lineRule="auto"/>
              <w:rPr>
                <w:rFonts w:ascii="Calibri" w:hAnsi="Calibri"/>
                <w:color w:val="000000"/>
                <w:sz w:val="20"/>
              </w:rPr>
            </w:pPr>
            <w:r>
              <w:rPr>
                <w:rFonts w:ascii="Calibri" w:hAnsi="Calibri"/>
                <w:color w:val="000000"/>
                <w:sz w:val="20"/>
              </w:rPr>
              <w:t>Z punktu widzenia inwestora, na atrakcyjność danego miasta czy gminy nie mają wpływu tylko czynniki „twarde”</w:t>
            </w:r>
            <w:r w:rsidR="00A458E7">
              <w:rPr>
                <w:rFonts w:ascii="Calibri" w:hAnsi="Calibri"/>
                <w:color w:val="000000"/>
                <w:sz w:val="20"/>
              </w:rPr>
              <w:t>,</w:t>
            </w:r>
            <w:r>
              <w:rPr>
                <w:rFonts w:ascii="Calibri" w:hAnsi="Calibri"/>
                <w:color w:val="000000"/>
                <w:sz w:val="20"/>
              </w:rPr>
              <w:t xml:space="preserve"> jak: skomunikowanie, czy dostępność uzbrojonych terenów. Coraz częściej</w:t>
            </w:r>
            <w:r w:rsidR="00DB5A05">
              <w:rPr>
                <w:rFonts w:ascii="Calibri" w:hAnsi="Calibri"/>
                <w:color w:val="000000"/>
                <w:sz w:val="20"/>
              </w:rPr>
              <w:t xml:space="preserve"> wpływ</w:t>
            </w:r>
            <w:r>
              <w:rPr>
                <w:rFonts w:ascii="Calibri" w:hAnsi="Calibri"/>
                <w:color w:val="000000"/>
                <w:sz w:val="20"/>
              </w:rPr>
              <w:t xml:space="preserve"> na decyzję o </w:t>
            </w:r>
            <w:r w:rsidR="00DB5A05">
              <w:rPr>
                <w:rFonts w:ascii="Calibri" w:hAnsi="Calibri"/>
                <w:color w:val="000000"/>
                <w:sz w:val="20"/>
              </w:rPr>
              <w:t xml:space="preserve">wyborze miejsca ulokowania kapitału przez przedsiębiorców </w:t>
            </w:r>
            <w:r>
              <w:rPr>
                <w:rFonts w:ascii="Calibri" w:hAnsi="Calibri"/>
                <w:color w:val="000000"/>
                <w:sz w:val="20"/>
              </w:rPr>
              <w:t>ma tzw. „klimat dla biznesu”, czyli czas trwania procedur administracyjnych, stopień sformalizowania procesu inwestycyjnego, trudność w dotarciu do niezbędnych informacji, istnienie jednostek otoczenia biznesu czy zaplecza konferencyjno-biznesowego. Dlatego też</w:t>
            </w:r>
            <w:r w:rsidR="0094642D">
              <w:rPr>
                <w:rFonts w:ascii="Calibri" w:hAnsi="Calibri"/>
                <w:color w:val="000000"/>
                <w:sz w:val="20"/>
              </w:rPr>
              <w:t>,</w:t>
            </w:r>
            <w:r>
              <w:rPr>
                <w:rFonts w:ascii="Calibri" w:hAnsi="Calibri"/>
                <w:color w:val="000000"/>
                <w:sz w:val="20"/>
              </w:rPr>
              <w:t xml:space="preserve"> ważnym elementem „otwierania się” na nowych przedsiębiorców</w:t>
            </w:r>
            <w:r w:rsidR="00A458E7">
              <w:rPr>
                <w:rFonts w:ascii="Calibri" w:hAnsi="Calibri"/>
                <w:color w:val="000000"/>
                <w:sz w:val="20"/>
              </w:rPr>
              <w:t>,</w:t>
            </w:r>
            <w:r>
              <w:rPr>
                <w:rFonts w:ascii="Calibri" w:hAnsi="Calibri"/>
                <w:color w:val="000000"/>
                <w:sz w:val="20"/>
              </w:rPr>
              <w:t xml:space="preserve"> stosowanym przez samorządy są </w:t>
            </w:r>
            <w:r w:rsidR="00E56A5A">
              <w:rPr>
                <w:rFonts w:ascii="Calibri" w:hAnsi="Calibri"/>
                <w:color w:val="000000"/>
                <w:sz w:val="20"/>
              </w:rPr>
              <w:t>działania organizacyjne</w:t>
            </w:r>
            <w:r w:rsidRPr="00DB5A05">
              <w:rPr>
                <w:rFonts w:ascii="Calibri" w:hAnsi="Calibri"/>
                <w:color w:val="000000"/>
                <w:sz w:val="20"/>
              </w:rPr>
              <w:t>,</w:t>
            </w:r>
            <w:r>
              <w:rPr>
                <w:rFonts w:ascii="Calibri" w:hAnsi="Calibri"/>
                <w:color w:val="000000"/>
                <w:sz w:val="20"/>
              </w:rPr>
              <w:t xml:space="preserve"> których głównym celem jest: kompleksowa obsługa inwestora zewnętrznego, prezentacja oferty inwestycyjnej miasta oraz działania na rzecz poprawy i promo</w:t>
            </w:r>
            <w:r w:rsidR="00E56A5A">
              <w:rPr>
                <w:rFonts w:ascii="Calibri" w:hAnsi="Calibri"/>
                <w:color w:val="000000"/>
                <w:sz w:val="20"/>
              </w:rPr>
              <w:t>cji oferty inwestycyjnej miasta, a także</w:t>
            </w:r>
            <w:r>
              <w:rPr>
                <w:rFonts w:ascii="Calibri" w:hAnsi="Calibri"/>
                <w:color w:val="000000"/>
                <w:sz w:val="20"/>
              </w:rPr>
              <w:t xml:space="preserve"> </w:t>
            </w:r>
            <w:r w:rsidR="0094642D" w:rsidRPr="0094642D">
              <w:rPr>
                <w:rFonts w:ascii="Calibri" w:hAnsi="Calibri"/>
                <w:b/>
                <w:color w:val="000000"/>
                <w:sz w:val="20"/>
              </w:rPr>
              <w:t>tworzenie narzędzi wspierania sektora małych i średnich przedsiębiorstw,</w:t>
            </w:r>
            <w:r w:rsidR="0094642D">
              <w:rPr>
                <w:rFonts w:ascii="Calibri" w:hAnsi="Calibri"/>
                <w:color w:val="000000"/>
                <w:sz w:val="20"/>
              </w:rPr>
              <w:t xml:space="preserve"> stanowiących o sile gospodarczej miasta. </w:t>
            </w:r>
          </w:p>
          <w:p w:rsidR="0094642D" w:rsidRDefault="0094642D" w:rsidP="00C41412">
            <w:pPr>
              <w:spacing w:line="240" w:lineRule="auto"/>
              <w:rPr>
                <w:rFonts w:ascii="Calibri" w:hAnsi="Calibri"/>
                <w:color w:val="000000"/>
                <w:sz w:val="20"/>
              </w:rPr>
            </w:pPr>
          </w:p>
          <w:p w:rsidR="00C41412" w:rsidRDefault="0094642D" w:rsidP="00C41412">
            <w:pPr>
              <w:spacing w:line="240" w:lineRule="auto"/>
              <w:rPr>
                <w:rFonts w:ascii="Calibri" w:hAnsi="Calibri"/>
                <w:color w:val="000000"/>
                <w:sz w:val="20"/>
              </w:rPr>
            </w:pPr>
            <w:r>
              <w:rPr>
                <w:rFonts w:ascii="Calibri" w:hAnsi="Calibri"/>
                <w:color w:val="000000"/>
                <w:sz w:val="20"/>
              </w:rPr>
              <w:t>Legnica nie może zamykać się na innowacyjność i rozwój nowoczesnych specjalizacji gospodarczych. Wsparcie inicjatyw</w:t>
            </w:r>
            <w:r w:rsidR="00152626">
              <w:rPr>
                <w:rFonts w:ascii="Calibri" w:hAnsi="Calibri"/>
                <w:color w:val="000000"/>
                <w:sz w:val="20"/>
              </w:rPr>
              <w:t>,</w:t>
            </w:r>
            <w:r>
              <w:rPr>
                <w:rFonts w:ascii="Calibri" w:hAnsi="Calibri"/>
                <w:color w:val="000000"/>
                <w:sz w:val="20"/>
              </w:rPr>
              <w:t xml:space="preserve"> takich jak utworzeni</w:t>
            </w:r>
            <w:r w:rsidR="00152626">
              <w:rPr>
                <w:rFonts w:ascii="Calibri" w:hAnsi="Calibri"/>
                <w:color w:val="000000"/>
                <w:sz w:val="20"/>
              </w:rPr>
              <w:t>e Centrum Badawczo-Rozwojowego, ma wpłynąć na atrakcyjność Legnicy, jako miasta sprzyjającego lokowaniu się i tworzeniu nowych przedsiębiorstw, chcących rozwijać działalność, w ramach inteligentnych specjalizacji gospodarczych. Posiadane wykwalifikowane kadry, a także zaplecze akademickie i infrastrukturalne mają pomóc w osiągnięciu tego zamierzenia.</w:t>
            </w:r>
          </w:p>
          <w:p w:rsidR="0010032B" w:rsidRDefault="0010032B" w:rsidP="007E3DC3">
            <w:pPr>
              <w:spacing w:line="240" w:lineRule="auto"/>
              <w:rPr>
                <w:rFonts w:ascii="Calibri" w:hAnsi="Calibri"/>
                <w:color w:val="000000"/>
                <w:sz w:val="20"/>
              </w:rPr>
            </w:pPr>
          </w:p>
          <w:p w:rsidR="001770F9" w:rsidRPr="001770F9" w:rsidRDefault="001770F9" w:rsidP="001770F9">
            <w:pPr>
              <w:spacing w:line="240" w:lineRule="auto"/>
              <w:rPr>
                <w:rFonts w:ascii="Calibri" w:hAnsi="Calibri"/>
                <w:color w:val="000000"/>
                <w:sz w:val="20"/>
              </w:rPr>
            </w:pPr>
            <w:r w:rsidRPr="001770F9">
              <w:rPr>
                <w:rFonts w:ascii="Calibri" w:hAnsi="Calibri"/>
                <w:color w:val="000000"/>
                <w:sz w:val="20"/>
              </w:rPr>
              <w:t>Zadaniami głównymi będą:</w:t>
            </w:r>
          </w:p>
          <w:p w:rsidR="009F2099" w:rsidRPr="001770F9" w:rsidRDefault="00B738E4" w:rsidP="0062416A">
            <w:pPr>
              <w:numPr>
                <w:ilvl w:val="0"/>
                <w:numId w:val="84"/>
              </w:numPr>
              <w:spacing w:line="240" w:lineRule="auto"/>
              <w:rPr>
                <w:rFonts w:ascii="Calibri" w:hAnsi="Calibri"/>
                <w:color w:val="000000"/>
                <w:sz w:val="20"/>
              </w:rPr>
            </w:pPr>
            <w:r w:rsidRPr="001770F9">
              <w:rPr>
                <w:rFonts w:ascii="Calibri" w:hAnsi="Calibri"/>
                <w:b/>
                <w:bCs/>
                <w:color w:val="000000"/>
                <w:sz w:val="20"/>
              </w:rPr>
              <w:t>Przebudowa układu komunikacyjnego oraz przestrzeni publicznych na terenach kluczowych;</w:t>
            </w:r>
          </w:p>
          <w:p w:rsidR="009F2099" w:rsidRPr="00AC119E" w:rsidRDefault="00B738E4" w:rsidP="0062416A">
            <w:pPr>
              <w:numPr>
                <w:ilvl w:val="0"/>
                <w:numId w:val="84"/>
              </w:numPr>
              <w:spacing w:line="240" w:lineRule="auto"/>
              <w:rPr>
                <w:rFonts w:ascii="Calibri" w:hAnsi="Calibri"/>
                <w:color w:val="000000"/>
                <w:sz w:val="20"/>
              </w:rPr>
            </w:pPr>
            <w:r w:rsidRPr="001770F9">
              <w:rPr>
                <w:rFonts w:ascii="Calibri" w:hAnsi="Calibri"/>
                <w:b/>
                <w:bCs/>
                <w:color w:val="000000"/>
                <w:sz w:val="20"/>
              </w:rPr>
              <w:t>Tworzenie narzędzi wspierania rozwoju MŚP;</w:t>
            </w:r>
          </w:p>
          <w:p w:rsidR="00AC119E" w:rsidRPr="001770F9" w:rsidRDefault="00AC119E" w:rsidP="00AC119E">
            <w:pPr>
              <w:spacing w:line="240" w:lineRule="auto"/>
              <w:ind w:left="720"/>
              <w:rPr>
                <w:rFonts w:ascii="Calibri" w:hAnsi="Calibri"/>
                <w:color w:val="000000"/>
                <w:sz w:val="20"/>
              </w:rPr>
            </w:pPr>
          </w:p>
          <w:p w:rsidR="001770F9" w:rsidRPr="001770F9" w:rsidRDefault="001770F9" w:rsidP="001770F9">
            <w:pPr>
              <w:spacing w:line="240" w:lineRule="auto"/>
              <w:rPr>
                <w:rFonts w:ascii="Calibri" w:hAnsi="Calibri"/>
                <w:color w:val="000000"/>
                <w:sz w:val="20"/>
              </w:rPr>
            </w:pPr>
            <w:r>
              <w:rPr>
                <w:rFonts w:ascii="Calibri" w:hAnsi="Calibri"/>
                <w:color w:val="000000"/>
                <w:sz w:val="20"/>
              </w:rPr>
              <w:t>Zadaniami</w:t>
            </w:r>
            <w:r w:rsidRPr="001770F9">
              <w:rPr>
                <w:rFonts w:ascii="Calibri" w:hAnsi="Calibri"/>
                <w:color w:val="000000"/>
                <w:sz w:val="20"/>
              </w:rPr>
              <w:t xml:space="preserve"> uzupełniającym</w:t>
            </w:r>
            <w:r>
              <w:rPr>
                <w:rFonts w:ascii="Calibri" w:hAnsi="Calibri"/>
                <w:color w:val="000000"/>
                <w:sz w:val="20"/>
              </w:rPr>
              <w:t>i będą</w:t>
            </w:r>
            <w:r w:rsidRPr="001770F9">
              <w:rPr>
                <w:rFonts w:ascii="Calibri" w:hAnsi="Calibri"/>
                <w:color w:val="000000"/>
                <w:sz w:val="20"/>
              </w:rPr>
              <w:t>:</w:t>
            </w:r>
          </w:p>
          <w:p w:rsidR="009F2099" w:rsidRPr="001770F9" w:rsidRDefault="00B738E4" w:rsidP="0062416A">
            <w:pPr>
              <w:numPr>
                <w:ilvl w:val="0"/>
                <w:numId w:val="85"/>
              </w:numPr>
              <w:spacing w:line="240" w:lineRule="auto"/>
              <w:rPr>
                <w:rFonts w:ascii="Calibri" w:hAnsi="Calibri"/>
                <w:color w:val="000000"/>
                <w:sz w:val="20"/>
              </w:rPr>
            </w:pPr>
            <w:r w:rsidRPr="001770F9">
              <w:rPr>
                <w:rFonts w:ascii="Calibri" w:hAnsi="Calibri"/>
                <w:b/>
                <w:bCs/>
                <w:color w:val="000000"/>
                <w:sz w:val="20"/>
              </w:rPr>
              <w:t>Działania służące wsparciu inicjatywy utworzenia Centrum Badawczo-Rozwojowego;</w:t>
            </w:r>
          </w:p>
          <w:p w:rsidR="009F2099" w:rsidRPr="001770F9" w:rsidRDefault="00B738E4" w:rsidP="0062416A">
            <w:pPr>
              <w:numPr>
                <w:ilvl w:val="0"/>
                <w:numId w:val="85"/>
              </w:numPr>
              <w:spacing w:line="240" w:lineRule="auto"/>
              <w:rPr>
                <w:rFonts w:ascii="Calibri" w:hAnsi="Calibri"/>
                <w:color w:val="000000"/>
                <w:sz w:val="20"/>
              </w:rPr>
            </w:pPr>
            <w:r w:rsidRPr="001770F9">
              <w:rPr>
                <w:rFonts w:ascii="Calibri" w:hAnsi="Calibri"/>
                <w:b/>
                <w:bCs/>
                <w:color w:val="000000"/>
                <w:sz w:val="20"/>
              </w:rPr>
              <w:t>Promocja Legnicy jako miasta działającego na rzecz rozwoju małej i średniej przedsiębiorczości;</w:t>
            </w:r>
          </w:p>
          <w:p w:rsidR="009B5326" w:rsidRPr="009B5326" w:rsidRDefault="009B5326" w:rsidP="002A7467">
            <w:pPr>
              <w:spacing w:line="240" w:lineRule="auto"/>
              <w:rPr>
                <w:rFonts w:ascii="Calibri" w:hAnsi="Calibri"/>
                <w:color w:val="000000"/>
                <w:sz w:val="20"/>
              </w:rPr>
            </w:pPr>
            <w:r>
              <w:rPr>
                <w:rFonts w:ascii="Calibri" w:hAnsi="Calibri"/>
                <w:color w:val="000000"/>
                <w:sz w:val="20"/>
              </w:rPr>
              <w:t>Źródłami finansowania będą środki własne budżetu miasta</w:t>
            </w:r>
            <w:r w:rsidR="00562903">
              <w:rPr>
                <w:rFonts w:ascii="Calibri" w:hAnsi="Calibri"/>
                <w:color w:val="000000"/>
                <w:sz w:val="20"/>
              </w:rPr>
              <w:t xml:space="preserve"> oraz środki unijne </w:t>
            </w:r>
            <w:r w:rsidR="00562903">
              <w:rPr>
                <w:rFonts w:ascii="Calibri" w:hAnsi="Calibri"/>
                <w:color w:val="000000"/>
                <w:sz w:val="20"/>
              </w:rPr>
              <w:lastRenderedPageBreak/>
              <w:t>uzyskane w ramach RPO Województwa Dolnośląskiego.</w:t>
            </w:r>
            <w:r w:rsidR="002A7467">
              <w:rPr>
                <w:rFonts w:ascii="Calibri" w:hAnsi="Calibri"/>
                <w:color w:val="000000"/>
                <w:sz w:val="20"/>
              </w:rPr>
              <w:t xml:space="preserve"> </w:t>
            </w:r>
            <w:r w:rsidR="002A7467" w:rsidRPr="002A7467">
              <w:rPr>
                <w:rFonts w:ascii="Calibri" w:hAnsi="Calibri"/>
                <w:color w:val="000000" w:themeColor="text1"/>
                <w:sz w:val="20"/>
              </w:rPr>
              <w:t>Przy wsparciu Państwowej Wyższej Szkoły Zawodowej, Letii Business Center, Legnickiej Specjalnej Strefy Ekonomicznej oraz innych przedsiębiorców.</w:t>
            </w:r>
            <w:r w:rsidR="002A7467">
              <w:rPr>
                <w:rFonts w:ascii="Calibri" w:hAnsi="Calibri"/>
                <w:color w:val="000000" w:themeColor="text1"/>
                <w:sz w:val="20"/>
              </w:rPr>
              <w:t xml:space="preserve"> </w:t>
            </w:r>
            <w:r w:rsidR="00E56A5A" w:rsidRPr="00E56A5A">
              <w:rPr>
                <w:rFonts w:ascii="Calibri" w:hAnsi="Calibri" w:cs="Calibri"/>
                <w:color w:val="000000" w:themeColor="text1"/>
                <w:sz w:val="20"/>
              </w:rPr>
              <w:t>Osie priorytetowe  zostaną określone po zatwierdzeniu  „Uszczegółowienia RPO WD”.</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94642D" w:rsidP="00A45758">
            <w:pPr>
              <w:jc w:val="center"/>
              <w:rPr>
                <w:rFonts w:asciiTheme="minorHAnsi" w:hAnsiTheme="minorHAnsi"/>
                <w:b/>
                <w:bCs/>
                <w:color w:val="FFFFFF" w:themeColor="background1"/>
                <w:sz w:val="2"/>
              </w:rPr>
            </w:pPr>
            <w:r>
              <w:rPr>
                <w:rFonts w:asciiTheme="minorHAnsi" w:hAnsiTheme="minorHAnsi"/>
                <w:b/>
                <w:bCs/>
                <w:color w:val="FFFFFF" w:themeColor="background1"/>
                <w:sz w:val="2"/>
              </w:rPr>
              <w:lastRenderedPageBreak/>
              <w:t xml:space="preserve"> mog</w:t>
            </w: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C45911" w:themeFill="accent2" w:themeFillShade="BF"/>
          </w:tcPr>
          <w:p w:rsidR="000D7217" w:rsidRPr="004A393C" w:rsidRDefault="000D7217" w:rsidP="00B73014">
            <w:pPr>
              <w:jc w:val="center"/>
              <w:rPr>
                <w:rFonts w:ascii="Calibri" w:hAnsi="Calibri"/>
                <w:b/>
                <w:color w:val="000000"/>
                <w:sz w:val="20"/>
              </w:rPr>
            </w:pPr>
            <w:r w:rsidRPr="004A393C">
              <w:rPr>
                <w:rFonts w:ascii="Calibri" w:hAnsi="Calibri"/>
                <w:b/>
                <w:color w:val="FFFFFF" w:themeColor="background1"/>
                <w:sz w:val="22"/>
              </w:rPr>
              <w:t>Wskaźniki rezultatu dla Celu operacyjnego I.4</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FBE4D5" w:themeFill="accent2" w:themeFillTint="33"/>
          </w:tcPr>
          <w:p w:rsidR="00E83459" w:rsidRPr="00E83459" w:rsidRDefault="00E83459" w:rsidP="00E83459">
            <w:pPr>
              <w:pStyle w:val="Akapitzlist"/>
              <w:numPr>
                <w:ilvl w:val="0"/>
                <w:numId w:val="55"/>
              </w:numPr>
              <w:rPr>
                <w:rFonts w:ascii="Calibri" w:hAnsi="Calibri"/>
                <w:color w:val="000000"/>
                <w:sz w:val="20"/>
              </w:rPr>
            </w:pPr>
            <w:r w:rsidRPr="00E83459">
              <w:rPr>
                <w:rFonts w:ascii="Calibri" w:hAnsi="Calibri"/>
                <w:color w:val="000000"/>
                <w:sz w:val="20"/>
              </w:rPr>
              <w:t>Liczba zorganizowanych przez UM spotkań i konferencji z udziałem przedstawicieli największych pracodawców w regionie oraz małych i średnich przedsiębiorstw</w:t>
            </w:r>
            <w:r w:rsidR="00EB4C28">
              <w:rPr>
                <w:rFonts w:ascii="Calibri" w:hAnsi="Calibri"/>
                <w:color w:val="000000"/>
                <w:sz w:val="20"/>
              </w:rPr>
              <w:t>;</w:t>
            </w:r>
          </w:p>
          <w:p w:rsidR="004A393C" w:rsidRPr="004A393C" w:rsidRDefault="00E83459" w:rsidP="00E83459">
            <w:pPr>
              <w:pStyle w:val="Akapitzlist"/>
              <w:numPr>
                <w:ilvl w:val="0"/>
                <w:numId w:val="55"/>
              </w:numPr>
              <w:rPr>
                <w:rFonts w:ascii="Calibri" w:hAnsi="Calibri"/>
                <w:color w:val="000000"/>
                <w:sz w:val="20"/>
              </w:rPr>
            </w:pPr>
            <w:r w:rsidRPr="00E83459">
              <w:rPr>
                <w:rFonts w:ascii="Calibri" w:hAnsi="Calibri"/>
                <w:color w:val="000000"/>
                <w:sz w:val="20"/>
              </w:rPr>
              <w:t>Liczba zewnętrznych spotkań i konferencji dedykowanych przedsiębiorczości, w których udział wzięli przedstawiciele UM</w:t>
            </w:r>
            <w:r w:rsidR="00EB4C28">
              <w:rPr>
                <w:rFonts w:ascii="Calibri" w:hAnsi="Calibri"/>
                <w:color w:val="000000"/>
                <w:sz w:val="20"/>
              </w:rPr>
              <w:t>;</w:t>
            </w:r>
          </w:p>
        </w:tc>
      </w:tr>
      <w:tr w:rsidR="002E3FD4" w:rsidTr="009855D9">
        <w:trPr>
          <w:trHeight w:val="227"/>
        </w:trPr>
        <w:tc>
          <w:tcPr>
            <w:tcW w:w="9067" w:type="dxa"/>
            <w:gridSpan w:val="2"/>
            <w:tcBorders>
              <w:left w:val="nil"/>
              <w:bottom w:val="single" w:sz="4" w:space="0" w:color="auto"/>
              <w:right w:val="nil"/>
            </w:tcBorders>
            <w:shd w:val="clear" w:color="auto" w:fill="auto"/>
          </w:tcPr>
          <w:p w:rsidR="002E3FD4" w:rsidRPr="002E3FD4" w:rsidRDefault="002E3FD4" w:rsidP="00A45758">
            <w:pPr>
              <w:jc w:val="center"/>
              <w:rPr>
                <w:rFonts w:asciiTheme="minorHAnsi" w:hAnsiTheme="minorHAnsi"/>
                <w:b/>
                <w:bCs/>
                <w:color w:val="FFFFFF" w:themeColor="background1"/>
                <w:sz w:val="10"/>
              </w:rPr>
            </w:pPr>
          </w:p>
        </w:tc>
      </w:tr>
      <w:tr w:rsidR="00D36034" w:rsidTr="009855D9">
        <w:tc>
          <w:tcPr>
            <w:tcW w:w="9067" w:type="dxa"/>
            <w:gridSpan w:val="2"/>
            <w:tcBorders>
              <w:bottom w:val="single" w:sz="4" w:space="0" w:color="auto"/>
            </w:tcBorders>
            <w:shd w:val="clear" w:color="auto" w:fill="A5A5A5" w:themeFill="accent3"/>
          </w:tcPr>
          <w:p w:rsidR="00D36034" w:rsidRDefault="00D36034" w:rsidP="00EA76D8">
            <w:pPr>
              <w:spacing w:before="240" w:after="240"/>
              <w:jc w:val="center"/>
              <w:rPr>
                <w:rFonts w:asciiTheme="minorHAnsi" w:hAnsiTheme="minorHAnsi"/>
              </w:rPr>
            </w:pPr>
            <w:r w:rsidRPr="00EA76D8">
              <w:rPr>
                <w:rFonts w:asciiTheme="minorHAnsi" w:hAnsiTheme="minorHAnsi"/>
                <w:b/>
                <w:bCs/>
                <w:color w:val="FFFFFF" w:themeColor="background1"/>
                <w:sz w:val="32"/>
              </w:rPr>
              <w:t xml:space="preserve">Cel strategiczny II - </w:t>
            </w:r>
            <w:r w:rsidRPr="00EA76D8">
              <w:rPr>
                <w:rFonts w:asciiTheme="minorHAnsi" w:hAnsiTheme="minorHAnsi"/>
                <w:b/>
                <w:bCs/>
                <w:i/>
                <w:iCs/>
                <w:color w:val="FFFFFF" w:themeColor="background1"/>
                <w:sz w:val="32"/>
              </w:rPr>
              <w:t>Wzrost znaczenia Legnicy jako regionalnego ośrodka edukacji, kultury</w:t>
            </w:r>
            <w:r w:rsidR="00152626">
              <w:rPr>
                <w:rFonts w:asciiTheme="minorHAnsi" w:hAnsiTheme="minorHAnsi"/>
                <w:b/>
                <w:bCs/>
                <w:i/>
                <w:iCs/>
                <w:color w:val="FFFFFF" w:themeColor="background1"/>
                <w:sz w:val="32"/>
              </w:rPr>
              <w:t>,</w:t>
            </w:r>
            <w:r w:rsidRPr="00EA76D8">
              <w:rPr>
                <w:rFonts w:asciiTheme="minorHAnsi" w:hAnsiTheme="minorHAnsi"/>
                <w:b/>
                <w:bCs/>
                <w:i/>
                <w:iCs/>
                <w:color w:val="FFFFFF" w:themeColor="background1"/>
                <w:sz w:val="32"/>
              </w:rPr>
              <w:t xml:space="preserve"> </w:t>
            </w:r>
            <w:r w:rsidR="001770F9">
              <w:rPr>
                <w:rFonts w:asciiTheme="minorHAnsi" w:hAnsiTheme="minorHAnsi"/>
                <w:b/>
                <w:bCs/>
                <w:i/>
                <w:iCs/>
                <w:color w:val="FFFFFF" w:themeColor="background1"/>
                <w:sz w:val="32"/>
              </w:rPr>
              <w:t xml:space="preserve">turystyki i </w:t>
            </w:r>
            <w:r w:rsidRPr="00EA76D8">
              <w:rPr>
                <w:rFonts w:asciiTheme="minorHAnsi" w:hAnsiTheme="minorHAnsi"/>
                <w:b/>
                <w:bCs/>
                <w:i/>
                <w:iCs/>
                <w:color w:val="FFFFFF" w:themeColor="background1"/>
                <w:sz w:val="32"/>
              </w:rPr>
              <w:t>sportu</w:t>
            </w:r>
          </w:p>
        </w:tc>
      </w:tr>
      <w:tr w:rsidR="00F51613" w:rsidRPr="00F51613" w:rsidTr="009855D9">
        <w:trPr>
          <w:trHeight w:val="227"/>
        </w:trPr>
        <w:tc>
          <w:tcPr>
            <w:tcW w:w="9067" w:type="dxa"/>
            <w:gridSpan w:val="2"/>
            <w:tcBorders>
              <w:left w:val="nil"/>
              <w:right w:val="nil"/>
            </w:tcBorders>
            <w:shd w:val="clear" w:color="auto" w:fill="FFFFFF" w:themeFill="background1"/>
          </w:tcPr>
          <w:p w:rsidR="00F51613" w:rsidRPr="00F51613" w:rsidRDefault="00F51613" w:rsidP="00841C5B">
            <w:pPr>
              <w:spacing w:line="240" w:lineRule="auto"/>
              <w:jc w:val="left"/>
              <w:rPr>
                <w:rFonts w:ascii="Calibri" w:hAnsi="Calibri"/>
                <w:color w:val="000000"/>
                <w:sz w:val="2"/>
              </w:rPr>
            </w:pPr>
          </w:p>
        </w:tc>
      </w:tr>
      <w:tr w:rsidR="00D36034" w:rsidTr="009855D9">
        <w:trPr>
          <w:trHeight w:val="171"/>
        </w:trPr>
        <w:tc>
          <w:tcPr>
            <w:tcW w:w="2553" w:type="dxa"/>
            <w:shd w:val="clear" w:color="auto" w:fill="C9C9C9" w:themeFill="accent3" w:themeFillTint="99"/>
          </w:tcPr>
          <w:p w:rsidR="00D36034" w:rsidRPr="00A45758" w:rsidRDefault="00A458E7" w:rsidP="00E56A5A">
            <w:pPr>
              <w:rPr>
                <w:rFonts w:asciiTheme="minorHAnsi" w:hAnsiTheme="minorHAnsi"/>
                <w:sz w:val="22"/>
              </w:rPr>
            </w:pPr>
            <w:r>
              <w:rPr>
                <w:rFonts w:asciiTheme="minorHAnsi" w:hAnsiTheme="minorHAnsi"/>
                <w:b/>
                <w:bCs/>
                <w:sz w:val="22"/>
              </w:rPr>
              <w:t>Cel operacyjny II.1</w:t>
            </w:r>
            <w:r w:rsidR="00E56A5A">
              <w:rPr>
                <w:rFonts w:asciiTheme="minorHAnsi" w:hAnsiTheme="minorHAnsi"/>
                <w:b/>
                <w:bCs/>
                <w:sz w:val="22"/>
              </w:rPr>
              <w:t xml:space="preserve"> - Dostosowanie</w:t>
            </w:r>
            <w:r w:rsidR="00D36034" w:rsidRPr="00A45758">
              <w:rPr>
                <w:rFonts w:asciiTheme="minorHAnsi" w:hAnsiTheme="minorHAnsi"/>
                <w:b/>
                <w:bCs/>
                <w:sz w:val="22"/>
              </w:rPr>
              <w:t xml:space="preserve"> oferty </w:t>
            </w:r>
            <w:r w:rsidR="00F02926">
              <w:rPr>
                <w:rFonts w:asciiTheme="minorHAnsi" w:hAnsiTheme="minorHAnsi"/>
                <w:b/>
                <w:bCs/>
                <w:sz w:val="22"/>
              </w:rPr>
              <w:t>edukacyjnej</w:t>
            </w:r>
            <w:r w:rsidR="00D36034" w:rsidRPr="00A45758">
              <w:rPr>
                <w:rFonts w:asciiTheme="minorHAnsi" w:hAnsiTheme="minorHAnsi"/>
                <w:b/>
                <w:bCs/>
                <w:sz w:val="22"/>
              </w:rPr>
              <w:t xml:space="preserve"> do potrzeb rynku pracy</w:t>
            </w:r>
          </w:p>
        </w:tc>
        <w:tc>
          <w:tcPr>
            <w:tcW w:w="6514" w:type="dxa"/>
            <w:tcBorders>
              <w:top w:val="single" w:sz="8" w:space="0" w:color="auto"/>
              <w:left w:val="single" w:sz="8" w:space="0" w:color="auto"/>
              <w:bottom w:val="single" w:sz="4" w:space="0" w:color="auto"/>
              <w:right w:val="single" w:sz="8" w:space="0" w:color="auto"/>
            </w:tcBorders>
            <w:shd w:val="clear" w:color="auto" w:fill="EDEDED" w:themeFill="accent3" w:themeFillTint="33"/>
            <w:vAlign w:val="bottom"/>
          </w:tcPr>
          <w:p w:rsidR="00D36034" w:rsidRDefault="00F02926" w:rsidP="00F02926">
            <w:pPr>
              <w:spacing w:line="240" w:lineRule="auto"/>
              <w:rPr>
                <w:rFonts w:ascii="Calibri" w:hAnsi="Calibri"/>
                <w:color w:val="000000"/>
                <w:sz w:val="20"/>
              </w:rPr>
            </w:pPr>
            <w:r>
              <w:rPr>
                <w:rFonts w:ascii="Calibri" w:hAnsi="Calibri"/>
                <w:color w:val="000000"/>
                <w:sz w:val="20"/>
              </w:rPr>
              <w:t>W nowoczesnym procesie dydaktycznym niez</w:t>
            </w:r>
            <w:r w:rsidR="00766C45">
              <w:rPr>
                <w:rFonts w:ascii="Calibri" w:hAnsi="Calibri"/>
                <w:color w:val="000000"/>
                <w:sz w:val="20"/>
              </w:rPr>
              <w:t>wykle ważna jest elastyczność i </w:t>
            </w:r>
            <w:r w:rsidRPr="00A41138">
              <w:rPr>
                <w:rFonts w:ascii="Calibri" w:hAnsi="Calibri"/>
                <w:color w:val="000000"/>
                <w:sz w:val="20"/>
              </w:rPr>
              <w:t xml:space="preserve">dostosowanie </w:t>
            </w:r>
            <w:r w:rsidR="00CD3C5B" w:rsidRPr="00A41138">
              <w:rPr>
                <w:rFonts w:ascii="Calibri" w:hAnsi="Calibri"/>
                <w:color w:val="000000"/>
                <w:sz w:val="20"/>
              </w:rPr>
              <w:t>kierunków kształcenia</w:t>
            </w:r>
            <w:r>
              <w:rPr>
                <w:rFonts w:ascii="Calibri" w:hAnsi="Calibri"/>
                <w:color w:val="000000"/>
                <w:sz w:val="20"/>
              </w:rPr>
              <w:t xml:space="preserve"> do wymogów rynku pracy. Szybko zmieniająca się rzeczywistość i zachodzące procesy cywilizacyjne</w:t>
            </w:r>
            <w:r w:rsidR="00CD3C5B">
              <w:rPr>
                <w:rFonts w:ascii="Calibri" w:hAnsi="Calibri"/>
                <w:color w:val="000000"/>
                <w:sz w:val="20"/>
              </w:rPr>
              <w:t xml:space="preserve"> często</w:t>
            </w:r>
            <w:r>
              <w:rPr>
                <w:rFonts w:ascii="Calibri" w:hAnsi="Calibri"/>
                <w:color w:val="000000"/>
                <w:sz w:val="20"/>
              </w:rPr>
              <w:t xml:space="preserve">  prowadz</w:t>
            </w:r>
            <w:r w:rsidR="00CD3C5B">
              <w:rPr>
                <w:rFonts w:ascii="Calibri" w:hAnsi="Calibri"/>
                <w:color w:val="000000"/>
                <w:sz w:val="20"/>
              </w:rPr>
              <w:t>ą</w:t>
            </w:r>
            <w:r>
              <w:rPr>
                <w:rFonts w:ascii="Calibri" w:hAnsi="Calibri"/>
                <w:color w:val="000000"/>
                <w:sz w:val="20"/>
              </w:rPr>
              <w:t xml:space="preserve"> do dezorientacji młodzieży i </w:t>
            </w:r>
            <w:r w:rsidR="00CD3C5B">
              <w:rPr>
                <w:rFonts w:ascii="Calibri" w:hAnsi="Calibri"/>
                <w:color w:val="000000"/>
                <w:sz w:val="20"/>
              </w:rPr>
              <w:t>trudności</w:t>
            </w:r>
            <w:r w:rsidR="00827581">
              <w:rPr>
                <w:rFonts w:ascii="Calibri" w:hAnsi="Calibri"/>
                <w:color w:val="000000"/>
                <w:sz w:val="20"/>
              </w:rPr>
              <w:t xml:space="preserve"> w podjęciu</w:t>
            </w:r>
            <w:r>
              <w:rPr>
                <w:rFonts w:ascii="Calibri" w:hAnsi="Calibri"/>
                <w:color w:val="000000"/>
                <w:sz w:val="20"/>
              </w:rPr>
              <w:t xml:space="preserve"> decyzji co do własnej przyszłości i kierunku rozwoju edukacyjnego, a w dalszej kolejności zawodowego. Słusznie postulowaną inicjatywą </w:t>
            </w:r>
            <w:r w:rsidR="00CD3C5B">
              <w:rPr>
                <w:rFonts w:ascii="Calibri" w:hAnsi="Calibri"/>
                <w:color w:val="000000"/>
                <w:sz w:val="20"/>
              </w:rPr>
              <w:t>jest</w:t>
            </w:r>
            <w:r>
              <w:rPr>
                <w:rFonts w:ascii="Calibri" w:hAnsi="Calibri"/>
                <w:color w:val="000000"/>
                <w:sz w:val="20"/>
              </w:rPr>
              <w:t xml:space="preserve"> zatem </w:t>
            </w:r>
            <w:r w:rsidR="00CD3C5B">
              <w:rPr>
                <w:rFonts w:ascii="Calibri" w:hAnsi="Calibri"/>
                <w:color w:val="000000"/>
                <w:sz w:val="20"/>
              </w:rPr>
              <w:t xml:space="preserve">udoskonalenie funkcjonującego </w:t>
            </w:r>
            <w:r w:rsidRPr="001A61D5">
              <w:rPr>
                <w:rFonts w:ascii="Calibri" w:hAnsi="Calibri"/>
                <w:b/>
                <w:color w:val="000000"/>
                <w:sz w:val="20"/>
              </w:rPr>
              <w:t>systemu doradztwa zawodowego</w:t>
            </w:r>
            <w:r>
              <w:rPr>
                <w:rFonts w:ascii="Calibri" w:hAnsi="Calibri"/>
                <w:color w:val="000000"/>
                <w:sz w:val="20"/>
              </w:rPr>
              <w:t>, który stworzyłby  p</w:t>
            </w:r>
            <w:r w:rsidR="00D36034" w:rsidRPr="00955473">
              <w:rPr>
                <w:rFonts w:ascii="Calibri" w:hAnsi="Calibri"/>
                <w:color w:val="000000"/>
                <w:sz w:val="20"/>
              </w:rPr>
              <w:t>rogram</w:t>
            </w:r>
            <w:r>
              <w:rPr>
                <w:rFonts w:ascii="Calibri" w:hAnsi="Calibri"/>
                <w:color w:val="000000"/>
                <w:sz w:val="20"/>
              </w:rPr>
              <w:t>y</w:t>
            </w:r>
            <w:r w:rsidR="00D36034" w:rsidRPr="00955473">
              <w:rPr>
                <w:rFonts w:ascii="Calibri" w:hAnsi="Calibri"/>
                <w:color w:val="000000"/>
                <w:sz w:val="20"/>
              </w:rPr>
              <w:t xml:space="preserve"> rozwoju doradztwa zawodowego</w:t>
            </w:r>
            <w:r>
              <w:rPr>
                <w:rFonts w:ascii="Calibri" w:hAnsi="Calibri"/>
                <w:color w:val="000000"/>
                <w:sz w:val="20"/>
              </w:rPr>
              <w:t>,</w:t>
            </w:r>
            <w:r w:rsidR="00DD254B">
              <w:rPr>
                <w:rFonts w:ascii="Calibri" w:hAnsi="Calibri"/>
                <w:color w:val="000000"/>
                <w:sz w:val="20"/>
              </w:rPr>
              <w:t xml:space="preserve"> wdrażane</w:t>
            </w:r>
            <w:r>
              <w:rPr>
                <w:rFonts w:ascii="Calibri" w:hAnsi="Calibri"/>
                <w:color w:val="000000"/>
                <w:sz w:val="20"/>
              </w:rPr>
              <w:t xml:space="preserve"> począwszy od klas</w:t>
            </w:r>
            <w:r w:rsidR="00D36034" w:rsidRPr="00955473">
              <w:rPr>
                <w:rFonts w:ascii="Calibri" w:hAnsi="Calibri"/>
                <w:color w:val="000000"/>
                <w:sz w:val="20"/>
              </w:rPr>
              <w:t xml:space="preserve"> gimnazjalnych</w:t>
            </w:r>
            <w:r w:rsidR="00DD254B">
              <w:rPr>
                <w:rFonts w:ascii="Calibri" w:hAnsi="Calibri"/>
                <w:color w:val="000000"/>
                <w:sz w:val="20"/>
              </w:rPr>
              <w:t>,</w:t>
            </w:r>
            <w:r w:rsidR="00D36034" w:rsidRPr="00955473">
              <w:rPr>
                <w:rFonts w:ascii="Calibri" w:hAnsi="Calibri"/>
                <w:color w:val="000000"/>
                <w:sz w:val="20"/>
              </w:rPr>
              <w:t xml:space="preserve"> w kierunku świadomego wyboru</w:t>
            </w:r>
            <w:r w:rsidR="00CD3C5B">
              <w:rPr>
                <w:rFonts w:ascii="Calibri" w:hAnsi="Calibri"/>
                <w:color w:val="000000"/>
                <w:sz w:val="20"/>
              </w:rPr>
              <w:t xml:space="preserve"> dalszego kierunku kształcenia. </w:t>
            </w:r>
            <w:r w:rsidR="00DD254B">
              <w:rPr>
                <w:rFonts w:ascii="Calibri" w:hAnsi="Calibri"/>
                <w:color w:val="000000"/>
                <w:sz w:val="20"/>
              </w:rPr>
              <w:t>Zespół koordynujący powsta</w:t>
            </w:r>
            <w:r w:rsidR="00D32A67">
              <w:rPr>
                <w:rFonts w:ascii="Calibri" w:hAnsi="Calibri"/>
                <w:color w:val="000000"/>
                <w:sz w:val="20"/>
              </w:rPr>
              <w:t>wa</w:t>
            </w:r>
            <w:r w:rsidR="00DD254B">
              <w:rPr>
                <w:rFonts w:ascii="Calibri" w:hAnsi="Calibri"/>
                <w:color w:val="000000"/>
                <w:sz w:val="20"/>
              </w:rPr>
              <w:t xml:space="preserve">nie i wdrażanie systemu poprzez kontakty z pracodawcami śledziłby zmiany na rynku </w:t>
            </w:r>
            <w:r w:rsidR="00CD3C5B">
              <w:rPr>
                <w:rFonts w:ascii="Calibri" w:hAnsi="Calibri"/>
                <w:color w:val="000000"/>
                <w:sz w:val="20"/>
              </w:rPr>
              <w:t xml:space="preserve">pracy </w:t>
            </w:r>
            <w:r w:rsidR="00DD254B">
              <w:rPr>
                <w:rFonts w:ascii="Calibri" w:hAnsi="Calibri"/>
                <w:color w:val="000000"/>
                <w:sz w:val="20"/>
              </w:rPr>
              <w:t>i wraz z</w:t>
            </w:r>
            <w:r w:rsidR="00DD254B" w:rsidRPr="00955473">
              <w:rPr>
                <w:rFonts w:ascii="Calibri" w:hAnsi="Calibri"/>
                <w:color w:val="000000"/>
                <w:sz w:val="20"/>
              </w:rPr>
              <w:t xml:space="preserve"> udziałem </w:t>
            </w:r>
            <w:r w:rsidR="00DD254B">
              <w:rPr>
                <w:rFonts w:ascii="Calibri" w:hAnsi="Calibri"/>
                <w:color w:val="000000"/>
                <w:sz w:val="20"/>
              </w:rPr>
              <w:t xml:space="preserve">przedstawicieli szkół i poradni, mógłby na bieżąco aktualizować programy doradztwa zawodowego oraz programy praktyk. </w:t>
            </w:r>
          </w:p>
          <w:p w:rsidR="001B61A7" w:rsidRDefault="001B61A7" w:rsidP="00F02926">
            <w:pPr>
              <w:spacing w:line="240" w:lineRule="auto"/>
              <w:jc w:val="left"/>
              <w:rPr>
                <w:rFonts w:ascii="Calibri" w:hAnsi="Calibri"/>
                <w:color w:val="000000"/>
                <w:sz w:val="20"/>
              </w:rPr>
            </w:pPr>
          </w:p>
          <w:p w:rsidR="00F02926" w:rsidRDefault="00DD254B" w:rsidP="00D32A67">
            <w:pPr>
              <w:spacing w:line="240" w:lineRule="auto"/>
              <w:rPr>
                <w:rFonts w:ascii="Calibri" w:hAnsi="Calibri"/>
                <w:color w:val="000000"/>
                <w:sz w:val="20"/>
              </w:rPr>
            </w:pPr>
            <w:r>
              <w:rPr>
                <w:rFonts w:ascii="Calibri" w:hAnsi="Calibri"/>
                <w:color w:val="000000"/>
                <w:sz w:val="20"/>
              </w:rPr>
              <w:t>Oprócz implementacji rozwiązań systemowych</w:t>
            </w:r>
            <w:r w:rsidR="00A458E7">
              <w:rPr>
                <w:rFonts w:ascii="Calibri" w:hAnsi="Calibri"/>
                <w:color w:val="000000"/>
                <w:sz w:val="20"/>
              </w:rPr>
              <w:t>,</w:t>
            </w:r>
            <w:r>
              <w:rPr>
                <w:rFonts w:ascii="Calibri" w:hAnsi="Calibri"/>
                <w:color w:val="000000"/>
                <w:sz w:val="20"/>
              </w:rPr>
              <w:t xml:space="preserve"> n</w:t>
            </w:r>
            <w:r w:rsidR="00F02926">
              <w:rPr>
                <w:rFonts w:ascii="Calibri" w:hAnsi="Calibri"/>
                <w:color w:val="000000"/>
                <w:sz w:val="20"/>
              </w:rPr>
              <w:t xml:space="preserve">adal </w:t>
            </w:r>
            <w:r>
              <w:rPr>
                <w:rFonts w:ascii="Calibri" w:hAnsi="Calibri"/>
                <w:color w:val="000000"/>
                <w:sz w:val="20"/>
              </w:rPr>
              <w:t>kontynuowana</w:t>
            </w:r>
            <w:r w:rsidR="00D32A67">
              <w:rPr>
                <w:rFonts w:ascii="Calibri" w:hAnsi="Calibri"/>
                <w:color w:val="000000"/>
                <w:sz w:val="20"/>
              </w:rPr>
              <w:t xml:space="preserve"> powinna być</w:t>
            </w:r>
            <w:r>
              <w:rPr>
                <w:rFonts w:ascii="Calibri" w:hAnsi="Calibri"/>
                <w:color w:val="000000"/>
                <w:sz w:val="20"/>
              </w:rPr>
              <w:t xml:space="preserve"> </w:t>
            </w:r>
            <w:r w:rsidR="00F02926" w:rsidRPr="001A61D5">
              <w:rPr>
                <w:rFonts w:ascii="Calibri" w:hAnsi="Calibri"/>
                <w:b/>
                <w:color w:val="000000"/>
                <w:sz w:val="20"/>
              </w:rPr>
              <w:t>współpraca szkół zawodowych z pracodawcami</w:t>
            </w:r>
            <w:r w:rsidR="00F02926">
              <w:rPr>
                <w:rFonts w:ascii="Calibri" w:hAnsi="Calibri"/>
                <w:color w:val="000000"/>
                <w:sz w:val="20"/>
              </w:rPr>
              <w:t xml:space="preserve"> w </w:t>
            </w:r>
            <w:r w:rsidR="00F02926" w:rsidRPr="00955473">
              <w:rPr>
                <w:rFonts w:ascii="Calibri" w:hAnsi="Calibri"/>
                <w:color w:val="000000"/>
                <w:sz w:val="20"/>
              </w:rPr>
              <w:t>zakresie ustalania kierunków kszta</w:t>
            </w:r>
            <w:r w:rsidR="00F02926">
              <w:rPr>
                <w:rFonts w:ascii="Calibri" w:hAnsi="Calibri"/>
                <w:color w:val="000000"/>
                <w:sz w:val="20"/>
              </w:rPr>
              <w:t>łcenia i </w:t>
            </w:r>
            <w:r w:rsidR="00F02926" w:rsidRPr="00955473">
              <w:rPr>
                <w:rFonts w:ascii="Calibri" w:hAnsi="Calibri"/>
                <w:color w:val="000000"/>
                <w:sz w:val="20"/>
              </w:rPr>
              <w:t>ewentualnego późniejszego zatrudnienia (wypracowanie sposobów, metod współpracy na bazie dobrych doświadczeń szkół prowadzących klasy patronackie)</w:t>
            </w:r>
            <w:r w:rsidR="00F02926">
              <w:rPr>
                <w:rFonts w:ascii="Calibri" w:hAnsi="Calibri"/>
                <w:color w:val="000000"/>
                <w:sz w:val="20"/>
              </w:rPr>
              <w:t xml:space="preserve">. </w:t>
            </w:r>
            <w:r w:rsidR="00D32A67">
              <w:rPr>
                <w:rFonts w:ascii="Calibri" w:hAnsi="Calibri"/>
                <w:color w:val="000000"/>
                <w:sz w:val="20"/>
              </w:rPr>
              <w:t>Rozwiązanie</w:t>
            </w:r>
            <w:r>
              <w:rPr>
                <w:rFonts w:ascii="Calibri" w:hAnsi="Calibri"/>
                <w:color w:val="000000"/>
                <w:sz w:val="20"/>
              </w:rPr>
              <w:t xml:space="preserve"> to</w:t>
            </w:r>
            <w:r w:rsidR="00D32A67">
              <w:rPr>
                <w:rFonts w:ascii="Calibri" w:hAnsi="Calibri"/>
                <w:color w:val="000000"/>
                <w:sz w:val="20"/>
              </w:rPr>
              <w:t xml:space="preserve"> wpłynie</w:t>
            </w:r>
            <w:r>
              <w:rPr>
                <w:rFonts w:ascii="Calibri" w:hAnsi="Calibri"/>
                <w:color w:val="000000"/>
                <w:sz w:val="20"/>
              </w:rPr>
              <w:t xml:space="preserve"> na rozwój tych kompetencji uczniów szkół zawodowych, które odpowiadają bieżącym standardom i są najbardziej poszukiwane na rynku pracy. </w:t>
            </w:r>
          </w:p>
          <w:p w:rsidR="00E067C1" w:rsidRDefault="00E067C1" w:rsidP="00D32A67">
            <w:pPr>
              <w:spacing w:line="240" w:lineRule="auto"/>
              <w:rPr>
                <w:rFonts w:ascii="Calibri" w:hAnsi="Calibri"/>
                <w:color w:val="000000"/>
                <w:sz w:val="20"/>
              </w:rPr>
            </w:pPr>
          </w:p>
          <w:p w:rsidR="00346A2D" w:rsidRDefault="00346A2D" w:rsidP="00D32A67">
            <w:pPr>
              <w:spacing w:line="240" w:lineRule="auto"/>
              <w:rPr>
                <w:rFonts w:ascii="Calibri" w:hAnsi="Calibri"/>
                <w:color w:val="000000"/>
                <w:sz w:val="20"/>
              </w:rPr>
            </w:pPr>
            <w:r>
              <w:rPr>
                <w:rFonts w:ascii="Calibri" w:hAnsi="Calibri"/>
                <w:color w:val="000000"/>
                <w:sz w:val="20"/>
              </w:rPr>
              <w:t>Zadaniami realizowanymi w ramach celu będą:</w:t>
            </w:r>
          </w:p>
          <w:p w:rsidR="00346A2D" w:rsidRPr="004479AA" w:rsidRDefault="00CD3C5B" w:rsidP="0062416A">
            <w:pPr>
              <w:pStyle w:val="Akapitzlist"/>
              <w:numPr>
                <w:ilvl w:val="0"/>
                <w:numId w:val="80"/>
              </w:numPr>
              <w:spacing w:line="240" w:lineRule="auto"/>
              <w:rPr>
                <w:rFonts w:ascii="Calibri" w:hAnsi="Calibri"/>
                <w:b/>
                <w:color w:val="000000"/>
                <w:sz w:val="20"/>
              </w:rPr>
            </w:pPr>
            <w:r w:rsidRPr="001770F9">
              <w:rPr>
                <w:rFonts w:ascii="Calibri" w:hAnsi="Calibri"/>
                <w:b/>
                <w:color w:val="000000"/>
                <w:sz w:val="20"/>
              </w:rPr>
              <w:t>D</w:t>
            </w:r>
            <w:r w:rsidR="001B1BD8" w:rsidRPr="001770F9">
              <w:rPr>
                <w:rFonts w:ascii="Calibri" w:hAnsi="Calibri"/>
                <w:b/>
                <w:color w:val="000000"/>
                <w:sz w:val="20"/>
              </w:rPr>
              <w:t>ostosowanie</w:t>
            </w:r>
            <w:r w:rsidR="00346A2D" w:rsidRPr="001770F9">
              <w:rPr>
                <w:rFonts w:ascii="Calibri" w:hAnsi="Calibri"/>
                <w:b/>
                <w:color w:val="000000"/>
                <w:sz w:val="20"/>
              </w:rPr>
              <w:t xml:space="preserve"> ogólnomiejskiego systemu doradztwa zawodowego</w:t>
            </w:r>
            <w:r w:rsidRPr="001770F9">
              <w:rPr>
                <w:rFonts w:ascii="Calibri" w:hAnsi="Calibri"/>
                <w:b/>
                <w:color w:val="000000"/>
                <w:sz w:val="20"/>
              </w:rPr>
              <w:t xml:space="preserve"> do współczesnych wymogów rynku pracy,</w:t>
            </w:r>
            <w:r>
              <w:rPr>
                <w:rFonts w:ascii="Calibri" w:hAnsi="Calibri"/>
                <w:b/>
                <w:color w:val="000000"/>
                <w:sz w:val="20"/>
              </w:rPr>
              <w:t xml:space="preserve"> w tym s</w:t>
            </w:r>
            <w:r w:rsidRPr="004479AA">
              <w:rPr>
                <w:rFonts w:ascii="Calibri" w:hAnsi="Calibri"/>
                <w:b/>
                <w:color w:val="000000"/>
                <w:sz w:val="20"/>
              </w:rPr>
              <w:t>tworzenie programu doradztwa zawodowego w klasach gimnazjalnych w kierunku świadomego wyboru dalszego kierunku kształcenia</w:t>
            </w:r>
            <w:r w:rsidR="00346A2D" w:rsidRPr="004479AA">
              <w:rPr>
                <w:rFonts w:ascii="Calibri" w:hAnsi="Calibri"/>
                <w:b/>
                <w:color w:val="000000"/>
                <w:sz w:val="20"/>
              </w:rPr>
              <w:t>;</w:t>
            </w:r>
          </w:p>
          <w:p w:rsidR="00346A2D" w:rsidRDefault="00346A2D" w:rsidP="0062416A">
            <w:pPr>
              <w:pStyle w:val="Akapitzlist"/>
              <w:numPr>
                <w:ilvl w:val="0"/>
                <w:numId w:val="55"/>
              </w:numPr>
              <w:spacing w:line="240" w:lineRule="auto"/>
              <w:rPr>
                <w:rFonts w:ascii="Calibri" w:hAnsi="Calibri"/>
                <w:b/>
                <w:color w:val="000000"/>
                <w:sz w:val="20"/>
              </w:rPr>
            </w:pPr>
            <w:r w:rsidRPr="004479AA">
              <w:rPr>
                <w:rFonts w:ascii="Calibri" w:hAnsi="Calibri"/>
                <w:b/>
                <w:color w:val="000000"/>
                <w:sz w:val="20"/>
              </w:rPr>
              <w:t>Współpraca szkół zawodowych z pracodawcami w zakresie ustalania kierunków kształcenia i ewentualnego późniejszego zatrudnienia (wykorzystanie doświadczenia szkół w ramach prowadzonych klas patronackich);</w:t>
            </w:r>
          </w:p>
          <w:p w:rsidR="00AC119E" w:rsidRDefault="00AC119E" w:rsidP="00AC119E">
            <w:pPr>
              <w:pStyle w:val="Akapitzlist"/>
              <w:spacing w:line="240" w:lineRule="auto"/>
              <w:rPr>
                <w:rFonts w:ascii="Calibri" w:hAnsi="Calibri"/>
                <w:b/>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Zadaniem uzupełniającym będzie:</w:t>
            </w:r>
          </w:p>
          <w:p w:rsidR="009F2099" w:rsidRPr="0043551F" w:rsidRDefault="00B738E4" w:rsidP="0062416A">
            <w:pPr>
              <w:numPr>
                <w:ilvl w:val="0"/>
                <w:numId w:val="86"/>
              </w:numPr>
              <w:spacing w:line="240" w:lineRule="auto"/>
              <w:rPr>
                <w:rFonts w:ascii="Calibri" w:hAnsi="Calibri"/>
                <w:b/>
                <w:color w:val="000000"/>
                <w:sz w:val="20"/>
              </w:rPr>
            </w:pPr>
            <w:r w:rsidRPr="0043551F">
              <w:rPr>
                <w:rFonts w:ascii="Calibri" w:hAnsi="Calibri"/>
                <w:b/>
                <w:bCs/>
                <w:color w:val="000000"/>
                <w:sz w:val="20"/>
              </w:rPr>
              <w:t>Promocja miasta jako ponadregionalnego ośrodka edukacji zawodowej dopasowanej do potrzeb rynku pracy;</w:t>
            </w:r>
          </w:p>
          <w:p w:rsidR="00346A2D" w:rsidRPr="00955473" w:rsidRDefault="00562903" w:rsidP="00D32A67">
            <w:pPr>
              <w:spacing w:line="240" w:lineRule="auto"/>
              <w:rPr>
                <w:rFonts w:ascii="Calibri" w:hAnsi="Calibri"/>
                <w:color w:val="000000"/>
                <w:sz w:val="20"/>
              </w:rPr>
            </w:pPr>
            <w:r>
              <w:rPr>
                <w:rFonts w:ascii="Calibri" w:hAnsi="Calibri"/>
                <w:color w:val="000000"/>
                <w:sz w:val="20"/>
              </w:rPr>
              <w:t xml:space="preserve">Źródłami finansowania działań w ramach celu operacyjnego II.1 będą środki </w:t>
            </w:r>
            <w:r>
              <w:rPr>
                <w:rFonts w:ascii="Calibri" w:hAnsi="Calibri"/>
                <w:color w:val="000000"/>
                <w:sz w:val="20"/>
              </w:rPr>
              <w:lastRenderedPageBreak/>
              <w:t xml:space="preserve">własne budżetu miasta, środki </w:t>
            </w:r>
            <w:r w:rsidRPr="00F967A4">
              <w:rPr>
                <w:rFonts w:ascii="Calibri" w:hAnsi="Calibri"/>
                <w:color w:val="000000"/>
                <w:sz w:val="20"/>
              </w:rPr>
              <w:t>partnerów</w:t>
            </w:r>
            <w:r>
              <w:rPr>
                <w:rFonts w:ascii="Calibri" w:hAnsi="Calibri"/>
                <w:color w:val="000000"/>
                <w:sz w:val="20"/>
              </w:rPr>
              <w:t xml:space="preserve"> prywatnych, a także środki pochodzące z funduszy europejskich (Program Operacyjny Wiedza Edukacja Rozwój, RPO Województwa Dolnośląskiego)</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FE0E55" w:rsidTr="009855D9">
        <w:trPr>
          <w:trHeight w:val="113"/>
        </w:trPr>
        <w:tc>
          <w:tcPr>
            <w:tcW w:w="9067" w:type="dxa"/>
            <w:gridSpan w:val="2"/>
            <w:tcBorders>
              <w:left w:val="nil"/>
              <w:bottom w:val="single" w:sz="4" w:space="0" w:color="auto"/>
              <w:right w:val="nil"/>
            </w:tcBorders>
            <w:shd w:val="clear" w:color="auto" w:fill="FFFFFF" w:themeFill="background1"/>
          </w:tcPr>
          <w:p w:rsidR="00FE0E55" w:rsidRPr="00FE0E55" w:rsidRDefault="00FE0E55" w:rsidP="002E3FD4">
            <w:pPr>
              <w:jc w:val="center"/>
              <w:rPr>
                <w:rFonts w:ascii="Calibri" w:hAnsi="Calibri"/>
                <w:b/>
                <w:color w:val="000000"/>
                <w:sz w:val="8"/>
                <w:szCs w:val="16"/>
              </w:rPr>
            </w:pPr>
          </w:p>
        </w:tc>
      </w:tr>
      <w:tr w:rsid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2E3FD4" w:rsidRPr="002E3FD4" w:rsidRDefault="002E3FD4" w:rsidP="002E3FD4">
            <w:pPr>
              <w:jc w:val="center"/>
              <w:rPr>
                <w:rFonts w:ascii="Calibri" w:hAnsi="Calibri"/>
                <w:b/>
                <w:color w:val="000000"/>
                <w:sz w:val="20"/>
                <w:highlight w:val="yellow"/>
              </w:rPr>
            </w:pPr>
            <w:r w:rsidRPr="00FE0E55">
              <w:rPr>
                <w:rFonts w:ascii="Calibri" w:hAnsi="Calibri"/>
                <w:b/>
                <w:color w:val="FFFFFF" w:themeColor="background1"/>
                <w:sz w:val="22"/>
              </w:rPr>
              <w:t>Wskaźniki rezultatu</w:t>
            </w:r>
            <w:r w:rsidR="00FE0E55">
              <w:rPr>
                <w:rFonts w:ascii="Calibri" w:hAnsi="Calibri"/>
                <w:b/>
                <w:color w:val="FFFFFF" w:themeColor="background1"/>
                <w:sz w:val="22"/>
              </w:rPr>
              <w:t xml:space="preserve"> dla Celu operacyjnego</w:t>
            </w:r>
            <w:r w:rsidR="000D7217">
              <w:rPr>
                <w:rFonts w:ascii="Calibri" w:hAnsi="Calibri"/>
                <w:b/>
                <w:color w:val="FFFFFF" w:themeColor="background1"/>
                <w:sz w:val="22"/>
              </w:rPr>
              <w:t xml:space="preserve"> II.1</w:t>
            </w:r>
          </w:p>
        </w:tc>
      </w:tr>
      <w:tr w:rsidR="002E3FD4"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EB4C28" w:rsidRPr="00EB4C28" w:rsidRDefault="00EB4C28" w:rsidP="00EB4C28">
            <w:pPr>
              <w:pStyle w:val="Default"/>
              <w:numPr>
                <w:ilvl w:val="0"/>
                <w:numId w:val="59"/>
              </w:numPr>
              <w:rPr>
                <w:rFonts w:ascii="Calibri" w:hAnsi="Calibri" w:cstheme="minorBidi"/>
                <w:sz w:val="20"/>
                <w:szCs w:val="22"/>
              </w:rPr>
            </w:pPr>
            <w:r w:rsidRPr="00EB4C28">
              <w:rPr>
                <w:rFonts w:ascii="Calibri" w:hAnsi="Calibri" w:cstheme="minorBidi"/>
                <w:sz w:val="20"/>
                <w:szCs w:val="22"/>
              </w:rPr>
              <w:t>Liczba zawodów, w których kształci się uczniów</w:t>
            </w:r>
            <w:r>
              <w:rPr>
                <w:rFonts w:ascii="Calibri" w:hAnsi="Calibri" w:cstheme="minorBidi"/>
                <w:sz w:val="20"/>
                <w:szCs w:val="22"/>
              </w:rPr>
              <w:t>;</w:t>
            </w:r>
          </w:p>
          <w:p w:rsidR="00EB4C28" w:rsidRPr="00EB4C28" w:rsidRDefault="00EB4C28" w:rsidP="00EB4C28">
            <w:pPr>
              <w:pStyle w:val="Default"/>
              <w:numPr>
                <w:ilvl w:val="0"/>
                <w:numId w:val="59"/>
              </w:numPr>
              <w:rPr>
                <w:rFonts w:ascii="Calibri" w:hAnsi="Calibri" w:cstheme="minorBidi"/>
                <w:sz w:val="20"/>
                <w:szCs w:val="22"/>
              </w:rPr>
            </w:pPr>
            <w:r w:rsidRPr="00EB4C28">
              <w:rPr>
                <w:rFonts w:ascii="Calibri" w:hAnsi="Calibri" w:cstheme="minorBidi"/>
                <w:sz w:val="20"/>
                <w:szCs w:val="22"/>
              </w:rPr>
              <w:t>Liczba pracodawców, z którymi podpisano umowy o praktyki zawodowe</w:t>
            </w:r>
            <w:r>
              <w:rPr>
                <w:rFonts w:ascii="Calibri" w:hAnsi="Calibri" w:cstheme="minorBidi"/>
                <w:sz w:val="20"/>
                <w:szCs w:val="22"/>
              </w:rPr>
              <w:t>;</w:t>
            </w:r>
          </w:p>
          <w:p w:rsidR="009E2F38" w:rsidRPr="009E2F38" w:rsidRDefault="00EB4C28" w:rsidP="00EB4C28">
            <w:pPr>
              <w:pStyle w:val="Default"/>
              <w:numPr>
                <w:ilvl w:val="0"/>
                <w:numId w:val="59"/>
              </w:numPr>
              <w:jc w:val="both"/>
              <w:rPr>
                <w:rFonts w:ascii="Calibri" w:hAnsi="Calibri" w:cstheme="minorBidi"/>
                <w:sz w:val="20"/>
                <w:szCs w:val="22"/>
              </w:rPr>
            </w:pPr>
            <w:r w:rsidRPr="00EB4C28">
              <w:rPr>
                <w:rFonts w:ascii="Calibri" w:hAnsi="Calibri" w:cstheme="minorBidi"/>
                <w:sz w:val="20"/>
                <w:szCs w:val="22"/>
              </w:rPr>
              <w:t>Liczba uczniów w szkołach ponadgimnazjalnych zawodowych</w:t>
            </w:r>
            <w:r>
              <w:rPr>
                <w:rFonts w:ascii="Calibri" w:hAnsi="Calibri" w:cstheme="minorBidi"/>
                <w:sz w:val="20"/>
                <w:szCs w:val="22"/>
              </w:rPr>
              <w:t>;</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C52A46" w:rsidRDefault="00F51613" w:rsidP="00841C5B">
            <w:pPr>
              <w:rPr>
                <w:rFonts w:ascii="Calibri" w:hAnsi="Calibri"/>
                <w:color w:val="000000"/>
                <w:sz w:val="4"/>
              </w:rPr>
            </w:pPr>
          </w:p>
        </w:tc>
      </w:tr>
      <w:tr w:rsidR="00A52760" w:rsidTr="009855D9">
        <w:trPr>
          <w:trHeight w:val="567"/>
        </w:trPr>
        <w:tc>
          <w:tcPr>
            <w:tcW w:w="2553" w:type="dxa"/>
            <w:tcBorders>
              <w:right w:val="single" w:sz="4" w:space="0" w:color="auto"/>
            </w:tcBorders>
            <w:shd w:val="clear" w:color="auto" w:fill="C9C9C9" w:themeFill="accent3" w:themeFillTint="99"/>
          </w:tcPr>
          <w:p w:rsidR="00A52760" w:rsidRPr="00A45758" w:rsidRDefault="00A52760" w:rsidP="00841C5B">
            <w:pPr>
              <w:rPr>
                <w:rFonts w:asciiTheme="minorHAnsi" w:hAnsiTheme="minorHAnsi"/>
                <w:sz w:val="22"/>
              </w:rPr>
            </w:pPr>
            <w:r w:rsidRPr="00A45758">
              <w:rPr>
                <w:rFonts w:asciiTheme="minorHAnsi" w:hAnsiTheme="minorHAnsi"/>
                <w:b/>
                <w:bCs/>
                <w:sz w:val="22"/>
              </w:rPr>
              <w:t>Cel operacyjny II.2 - Implementacja nowoczesnych technologii w edukacji, służąca rozwojowi kompetencji cyfrowych dzieci i młodzieży</w:t>
            </w:r>
          </w:p>
        </w:tc>
        <w:tc>
          <w:tcPr>
            <w:tcW w:w="6514" w:type="dxa"/>
            <w:tcBorders>
              <w:top w:val="single" w:sz="4" w:space="0" w:color="auto"/>
              <w:left w:val="single" w:sz="4" w:space="0" w:color="auto"/>
              <w:right w:val="single" w:sz="4" w:space="0" w:color="auto"/>
            </w:tcBorders>
            <w:shd w:val="clear" w:color="auto" w:fill="EDEDED" w:themeFill="accent3" w:themeFillTint="33"/>
          </w:tcPr>
          <w:p w:rsidR="00A52760" w:rsidRDefault="00A52760" w:rsidP="00A52760">
            <w:pPr>
              <w:spacing w:line="240" w:lineRule="auto"/>
              <w:rPr>
                <w:rFonts w:ascii="Calibri" w:hAnsi="Calibri"/>
                <w:color w:val="000000"/>
                <w:sz w:val="20"/>
              </w:rPr>
            </w:pPr>
            <w:r>
              <w:rPr>
                <w:rFonts w:ascii="Calibri" w:hAnsi="Calibri"/>
                <w:color w:val="000000"/>
                <w:sz w:val="20"/>
              </w:rPr>
              <w:t>Realizacja tego celu ma służyć przede wszystkim</w:t>
            </w:r>
            <w:r w:rsidR="00B40E3D">
              <w:rPr>
                <w:rFonts w:ascii="Calibri" w:hAnsi="Calibri"/>
                <w:color w:val="000000"/>
                <w:sz w:val="20"/>
              </w:rPr>
              <w:t xml:space="preserve"> dalszemu</w:t>
            </w:r>
            <w:r>
              <w:rPr>
                <w:rFonts w:ascii="Calibri" w:hAnsi="Calibri"/>
                <w:color w:val="000000"/>
                <w:sz w:val="20"/>
              </w:rPr>
              <w:t xml:space="preserve"> rozwojowi kompetencji cyfrowych dzieci i młodzieży, niezbędnych dla właściwego funkcjonowania w realiach współczesnej cywilizacji cyfrowej i rynku pracy.</w:t>
            </w:r>
          </w:p>
          <w:p w:rsidR="00A52760" w:rsidRDefault="00A52760" w:rsidP="00A52760">
            <w:pPr>
              <w:spacing w:line="240" w:lineRule="auto"/>
              <w:rPr>
                <w:rFonts w:ascii="Calibri" w:hAnsi="Calibri"/>
                <w:color w:val="000000"/>
                <w:sz w:val="20"/>
              </w:rPr>
            </w:pPr>
          </w:p>
          <w:p w:rsidR="00A52760" w:rsidRDefault="00A52760" w:rsidP="00A52760">
            <w:pPr>
              <w:spacing w:line="240" w:lineRule="auto"/>
              <w:rPr>
                <w:rFonts w:ascii="Calibri" w:hAnsi="Calibri"/>
                <w:color w:val="000000"/>
                <w:sz w:val="20"/>
              </w:rPr>
            </w:pPr>
            <w:r w:rsidRPr="001A61D5">
              <w:rPr>
                <w:rFonts w:ascii="Calibri" w:hAnsi="Calibri"/>
                <w:b/>
                <w:color w:val="000000"/>
                <w:sz w:val="20"/>
              </w:rPr>
              <w:t>Poprawa dostępności technologii informatycznej w procesie dydaktycznym</w:t>
            </w:r>
            <w:r>
              <w:rPr>
                <w:rFonts w:ascii="Calibri" w:hAnsi="Calibri"/>
                <w:color w:val="000000"/>
                <w:sz w:val="20"/>
              </w:rPr>
              <w:t xml:space="preserve"> powinna dokonywać się przede wszystkim </w:t>
            </w:r>
            <w:r w:rsidRPr="00955473">
              <w:rPr>
                <w:rFonts w:ascii="Calibri" w:hAnsi="Calibri"/>
                <w:color w:val="000000"/>
                <w:sz w:val="20"/>
              </w:rPr>
              <w:t xml:space="preserve">poprzez  zakup nowego i wymianę zużytego sprzętu </w:t>
            </w:r>
            <w:r>
              <w:rPr>
                <w:rFonts w:ascii="Calibri" w:hAnsi="Calibri"/>
                <w:color w:val="000000"/>
                <w:sz w:val="20"/>
              </w:rPr>
              <w:t>komputerowego i multimedialnego. Sprzęt, o parametrach zbliżonych do obowiązujących standardów wraz z odpowiednio wykwalifikowaną i wyszkoloną kadrą nauczycielską stanowi gwarant prawidłowego, nowoczesnego prowadzenia procesu dydaktycznego na każdym etapie nauczania. Wykorzystanie technologii multimedialnych znacząco poprawia atrakcyjność prowadzonych zajęć oraz możliwości efektywnego przekazywania wiedzy i informacji, co powinno przełożyć się na wyniki uzyskiwane przez uczniów legnickich szkół.</w:t>
            </w:r>
          </w:p>
          <w:p w:rsidR="00A52760" w:rsidRDefault="00A52760" w:rsidP="00A52760">
            <w:pPr>
              <w:spacing w:line="240" w:lineRule="auto"/>
              <w:rPr>
                <w:rFonts w:ascii="Calibri" w:hAnsi="Calibri"/>
                <w:color w:val="000000"/>
                <w:sz w:val="20"/>
              </w:rPr>
            </w:pPr>
          </w:p>
          <w:p w:rsidR="00A52760" w:rsidRDefault="00A52760" w:rsidP="00D06F09">
            <w:pPr>
              <w:spacing w:line="240" w:lineRule="auto"/>
              <w:rPr>
                <w:rFonts w:ascii="Calibri" w:hAnsi="Calibri"/>
                <w:color w:val="000000"/>
                <w:sz w:val="20"/>
              </w:rPr>
            </w:pPr>
            <w:r>
              <w:rPr>
                <w:rFonts w:ascii="Calibri" w:hAnsi="Calibri"/>
                <w:color w:val="000000"/>
                <w:sz w:val="20"/>
              </w:rPr>
              <w:t>Szkoły zawodowe powinny być systematycznie</w:t>
            </w:r>
            <w:r w:rsidRPr="001A61D5">
              <w:rPr>
                <w:rFonts w:ascii="Calibri" w:hAnsi="Calibri"/>
                <w:b/>
                <w:color w:val="000000"/>
                <w:sz w:val="20"/>
              </w:rPr>
              <w:t xml:space="preserve"> doposażane w nowoczesny sprzęt techniczno-dydaktyczny</w:t>
            </w:r>
            <w:r>
              <w:rPr>
                <w:rFonts w:ascii="Calibri" w:hAnsi="Calibri"/>
                <w:color w:val="000000"/>
                <w:sz w:val="20"/>
              </w:rPr>
              <w:t xml:space="preserve"> odpowiadający parametrom sprzętowi wykorzystywanemu w przedsiębiorstwach. Ułatwi to absolwentom szkół zawodowych wejście na rynek pracy oraz szybką adaptację do stanowiska pracy, ponieważ ich kompetencje praktyczne będą dostosowane do </w:t>
            </w:r>
            <w:r w:rsidR="00D06F09">
              <w:rPr>
                <w:rFonts w:ascii="Calibri" w:hAnsi="Calibri"/>
                <w:color w:val="000000"/>
                <w:sz w:val="20"/>
              </w:rPr>
              <w:t xml:space="preserve">przyjętych standardów i urządzeń. </w:t>
            </w:r>
          </w:p>
          <w:p w:rsidR="009F27B3" w:rsidRDefault="009F27B3" w:rsidP="00D06F09">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głównymi będą:</w:t>
            </w:r>
          </w:p>
          <w:p w:rsidR="009F2099" w:rsidRPr="0043551F" w:rsidRDefault="00B738E4" w:rsidP="0062416A">
            <w:pPr>
              <w:numPr>
                <w:ilvl w:val="0"/>
                <w:numId w:val="87"/>
              </w:numPr>
              <w:spacing w:line="240" w:lineRule="auto"/>
              <w:rPr>
                <w:rFonts w:ascii="Calibri" w:hAnsi="Calibri"/>
                <w:color w:val="000000"/>
                <w:sz w:val="20"/>
              </w:rPr>
            </w:pPr>
            <w:r w:rsidRPr="0043551F">
              <w:rPr>
                <w:rFonts w:ascii="Calibri" w:hAnsi="Calibri"/>
                <w:b/>
                <w:bCs/>
                <w:color w:val="000000"/>
                <w:sz w:val="20"/>
              </w:rPr>
              <w:t>Zakup nowego i wymiana zużytego sprzętu komputerowego i multimedialnego w szkołach i placówkach oświatowych;</w:t>
            </w:r>
          </w:p>
          <w:p w:rsidR="009F2099" w:rsidRPr="0043551F" w:rsidRDefault="00B738E4" w:rsidP="0062416A">
            <w:pPr>
              <w:numPr>
                <w:ilvl w:val="0"/>
                <w:numId w:val="87"/>
              </w:numPr>
              <w:spacing w:line="240" w:lineRule="auto"/>
              <w:rPr>
                <w:rFonts w:ascii="Calibri" w:hAnsi="Calibri"/>
                <w:color w:val="000000"/>
                <w:sz w:val="20"/>
              </w:rPr>
            </w:pPr>
            <w:r w:rsidRPr="0043551F">
              <w:rPr>
                <w:rFonts w:ascii="Calibri" w:hAnsi="Calibri"/>
                <w:b/>
                <w:bCs/>
                <w:color w:val="000000"/>
                <w:sz w:val="20"/>
              </w:rPr>
              <w:t>Zakup nowoczesnego sprzętu wykorzystywanego w procesie dydaktycznym oraz w systemie egzaminów zawodowych w ramach doposażania szkół zawodowych;</w:t>
            </w:r>
          </w:p>
          <w:p w:rsidR="009F2099" w:rsidRPr="0043551F" w:rsidRDefault="00B738E4" w:rsidP="0062416A">
            <w:pPr>
              <w:numPr>
                <w:ilvl w:val="0"/>
                <w:numId w:val="87"/>
              </w:numPr>
              <w:spacing w:line="240" w:lineRule="auto"/>
              <w:rPr>
                <w:rFonts w:ascii="Calibri" w:hAnsi="Calibri"/>
                <w:color w:val="000000"/>
                <w:sz w:val="20"/>
              </w:rPr>
            </w:pPr>
            <w:r w:rsidRPr="0043551F">
              <w:rPr>
                <w:rFonts w:ascii="Calibri" w:hAnsi="Calibri"/>
                <w:b/>
                <w:bCs/>
                <w:color w:val="000000"/>
                <w:sz w:val="20"/>
              </w:rPr>
              <w:t>Kształcenie kadr prowadzących i kierujących procesem edukacji dzieci i młodzieży w kierunku rozszerzania ich umiejętności w wykorzystywaniu technologii w procesie nauczania ;</w:t>
            </w:r>
          </w:p>
          <w:p w:rsidR="009F2099" w:rsidRPr="0043551F" w:rsidRDefault="00B738E4" w:rsidP="0062416A">
            <w:pPr>
              <w:numPr>
                <w:ilvl w:val="0"/>
                <w:numId w:val="87"/>
              </w:numPr>
              <w:spacing w:line="240" w:lineRule="auto"/>
              <w:rPr>
                <w:rFonts w:ascii="Calibri" w:hAnsi="Calibri"/>
                <w:color w:val="000000"/>
                <w:sz w:val="20"/>
              </w:rPr>
            </w:pPr>
            <w:r w:rsidRPr="0043551F">
              <w:rPr>
                <w:rFonts w:ascii="Calibri" w:hAnsi="Calibri"/>
                <w:b/>
                <w:bCs/>
                <w:color w:val="000000"/>
                <w:sz w:val="20"/>
              </w:rPr>
              <w:t>Prowadzenie zajęć dydaktycznych opartych na nowoczesnych technologiach;</w:t>
            </w:r>
          </w:p>
          <w:p w:rsidR="009F2099" w:rsidRPr="0043551F" w:rsidRDefault="00B738E4" w:rsidP="0062416A">
            <w:pPr>
              <w:numPr>
                <w:ilvl w:val="0"/>
                <w:numId w:val="87"/>
              </w:numPr>
              <w:spacing w:line="240" w:lineRule="auto"/>
              <w:rPr>
                <w:rFonts w:ascii="Calibri" w:hAnsi="Calibri"/>
                <w:color w:val="000000"/>
                <w:sz w:val="20"/>
              </w:rPr>
            </w:pPr>
            <w:r w:rsidRPr="0043551F">
              <w:rPr>
                <w:rFonts w:ascii="Calibri" w:hAnsi="Calibri"/>
                <w:b/>
                <w:bCs/>
                <w:color w:val="000000"/>
                <w:sz w:val="20"/>
              </w:rPr>
              <w:t>Promocja Legnicy jako miasta nowoczesnej edukacji;</w:t>
            </w:r>
          </w:p>
          <w:p w:rsidR="00562903" w:rsidRDefault="00562903" w:rsidP="00562903">
            <w:pPr>
              <w:spacing w:line="240" w:lineRule="auto"/>
              <w:rPr>
                <w:rFonts w:ascii="Calibri" w:hAnsi="Calibri"/>
                <w:color w:val="000000"/>
                <w:sz w:val="20"/>
              </w:rPr>
            </w:pPr>
          </w:p>
          <w:p w:rsidR="0054460E" w:rsidRPr="00562903" w:rsidRDefault="00562903" w:rsidP="00E067C1">
            <w:pPr>
              <w:spacing w:line="240" w:lineRule="auto"/>
              <w:rPr>
                <w:rFonts w:ascii="Calibri" w:hAnsi="Calibri"/>
                <w:color w:val="000000"/>
                <w:sz w:val="20"/>
              </w:rPr>
            </w:pPr>
            <w:r>
              <w:rPr>
                <w:rFonts w:ascii="Calibri" w:hAnsi="Calibri"/>
                <w:color w:val="000000"/>
                <w:sz w:val="20"/>
              </w:rPr>
              <w:t>Źródłami finansowania działań w ramach celu operacyjnego II.2 będą środki własne budżetu miasta, a także środki pochodzące z funduszy europejskich (Program Operacyjny Wiedza Edukacja Rozwój, RPO Województwa Dolnośląskiego)</w:t>
            </w:r>
            <w:r w:rsidR="005B319A">
              <w:rPr>
                <w:rFonts w:ascii="Calibri" w:hAnsi="Calibri"/>
                <w:color w:val="000000"/>
                <w:sz w:val="20"/>
              </w:rPr>
              <w:t>.</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E067C1" w:rsidP="00841C5B">
            <w:pPr>
              <w:rPr>
                <w:rFonts w:ascii="Calibri" w:hAnsi="Calibri"/>
                <w:color w:val="000000"/>
                <w:sz w:val="2"/>
              </w:rPr>
            </w:pPr>
            <w:r>
              <w:br w:type="page"/>
            </w:r>
          </w:p>
        </w:tc>
      </w:tr>
      <w:tr w:rsidR="00FE0E55"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FE0E55" w:rsidRPr="0004045C" w:rsidRDefault="00FE0E55" w:rsidP="00B73014">
            <w:pPr>
              <w:jc w:val="center"/>
              <w:rPr>
                <w:rFonts w:ascii="Calibri" w:hAnsi="Calibri"/>
                <w:b/>
                <w:color w:val="000000"/>
                <w:sz w:val="20"/>
              </w:rPr>
            </w:pPr>
            <w:r w:rsidRPr="0004045C">
              <w:rPr>
                <w:rFonts w:ascii="Calibri" w:hAnsi="Calibri"/>
                <w:b/>
                <w:color w:val="FFFFFF" w:themeColor="background1"/>
                <w:sz w:val="22"/>
              </w:rPr>
              <w:t>Wskaźniki rezultatu dla Celu operacyjnego II.2</w:t>
            </w:r>
          </w:p>
        </w:tc>
      </w:tr>
      <w:tr w:rsidR="00FE0E55"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EB4C28" w:rsidRPr="00EB4C28" w:rsidRDefault="00EB4C28" w:rsidP="00EB4C28">
            <w:pPr>
              <w:pStyle w:val="Akapitzlist"/>
              <w:numPr>
                <w:ilvl w:val="0"/>
                <w:numId w:val="75"/>
              </w:numPr>
              <w:rPr>
                <w:rFonts w:ascii="Calibri" w:hAnsi="Calibri"/>
                <w:b/>
                <w:color w:val="000000"/>
                <w:sz w:val="20"/>
              </w:rPr>
            </w:pPr>
            <w:r w:rsidRPr="00EB4C28">
              <w:rPr>
                <w:rFonts w:ascii="Calibri" w:hAnsi="Calibri"/>
                <w:b/>
                <w:color w:val="000000"/>
                <w:sz w:val="20"/>
              </w:rPr>
              <w:t>Liczba osób szkolonych w zakresie technologii informacyjnej i komunikacyjnej</w:t>
            </w:r>
            <w:r>
              <w:rPr>
                <w:rFonts w:ascii="Calibri" w:hAnsi="Calibri"/>
                <w:b/>
                <w:color w:val="000000"/>
                <w:sz w:val="20"/>
              </w:rPr>
              <w:t>;</w:t>
            </w:r>
            <w:r w:rsidRPr="00EB4C28">
              <w:rPr>
                <w:rFonts w:ascii="Calibri" w:hAnsi="Calibri"/>
                <w:b/>
                <w:color w:val="000000"/>
                <w:sz w:val="20"/>
              </w:rPr>
              <w:t xml:space="preserve"> </w:t>
            </w:r>
          </w:p>
          <w:p w:rsidR="00EB4C28" w:rsidRPr="00EB4C28" w:rsidRDefault="00EB4C28" w:rsidP="00EB4C28">
            <w:pPr>
              <w:pStyle w:val="Akapitzlist"/>
              <w:numPr>
                <w:ilvl w:val="0"/>
                <w:numId w:val="75"/>
              </w:numPr>
              <w:rPr>
                <w:rFonts w:ascii="Calibri" w:hAnsi="Calibri"/>
                <w:b/>
                <w:color w:val="000000"/>
                <w:sz w:val="20"/>
              </w:rPr>
            </w:pPr>
            <w:r w:rsidRPr="00EB4C28">
              <w:rPr>
                <w:rFonts w:ascii="Calibri" w:hAnsi="Calibri"/>
                <w:b/>
                <w:color w:val="000000"/>
                <w:sz w:val="20"/>
              </w:rPr>
              <w:t>Liczba osób korzystających z usług edukacyjnych w formie e-learningu</w:t>
            </w:r>
            <w:r>
              <w:rPr>
                <w:rFonts w:ascii="Calibri" w:hAnsi="Calibri"/>
                <w:b/>
                <w:color w:val="000000"/>
                <w:sz w:val="20"/>
              </w:rPr>
              <w:t>;</w:t>
            </w:r>
            <w:r w:rsidRPr="00EB4C28">
              <w:rPr>
                <w:rFonts w:ascii="Calibri" w:hAnsi="Calibri"/>
                <w:b/>
                <w:color w:val="000000"/>
                <w:sz w:val="20"/>
              </w:rPr>
              <w:t xml:space="preserve"> </w:t>
            </w:r>
          </w:p>
          <w:p w:rsidR="0004045C" w:rsidRPr="0004045C" w:rsidRDefault="00EB4C28" w:rsidP="00EB4C28">
            <w:pPr>
              <w:pStyle w:val="Akapitzlist"/>
              <w:numPr>
                <w:ilvl w:val="0"/>
                <w:numId w:val="75"/>
              </w:numPr>
              <w:rPr>
                <w:rFonts w:ascii="Calibri" w:hAnsi="Calibri"/>
                <w:b/>
                <w:color w:val="000000"/>
                <w:sz w:val="20"/>
              </w:rPr>
            </w:pPr>
            <w:r w:rsidRPr="00EB4C28">
              <w:rPr>
                <w:rFonts w:ascii="Calibri" w:hAnsi="Calibri"/>
                <w:b/>
                <w:color w:val="000000"/>
                <w:sz w:val="20"/>
              </w:rPr>
              <w:lastRenderedPageBreak/>
              <w:t>Liczba uczniów przypadających na 1 stanowisko komputerowe</w:t>
            </w:r>
            <w:r>
              <w:rPr>
                <w:rFonts w:ascii="Calibri" w:hAnsi="Calibri"/>
                <w:b/>
                <w:color w:val="000000"/>
                <w:sz w:val="20"/>
              </w:rPr>
              <w:t>;</w:t>
            </w:r>
          </w:p>
        </w:tc>
      </w:tr>
      <w:tr w:rsidR="00FE0E55" w:rsidRPr="00F51613" w:rsidTr="009855D9">
        <w:trPr>
          <w:trHeight w:val="113"/>
        </w:trPr>
        <w:tc>
          <w:tcPr>
            <w:tcW w:w="9067" w:type="dxa"/>
            <w:gridSpan w:val="2"/>
            <w:tcBorders>
              <w:left w:val="nil"/>
              <w:right w:val="nil"/>
            </w:tcBorders>
            <w:shd w:val="clear" w:color="auto" w:fill="FFFFFF" w:themeFill="background1"/>
          </w:tcPr>
          <w:p w:rsidR="00FE0E55" w:rsidRPr="00F51613" w:rsidRDefault="00FE0E55" w:rsidP="00841C5B">
            <w:pPr>
              <w:rPr>
                <w:rFonts w:ascii="Calibri" w:hAnsi="Calibri"/>
                <w:color w:val="000000"/>
                <w:sz w:val="2"/>
              </w:rPr>
            </w:pPr>
          </w:p>
        </w:tc>
      </w:tr>
      <w:tr w:rsidR="00D36034" w:rsidTr="009855D9">
        <w:trPr>
          <w:trHeight w:val="201"/>
        </w:trPr>
        <w:tc>
          <w:tcPr>
            <w:tcW w:w="2553" w:type="dxa"/>
            <w:tcBorders>
              <w:right w:val="single" w:sz="4" w:space="0" w:color="auto"/>
            </w:tcBorders>
            <w:shd w:val="clear" w:color="auto" w:fill="C9C9C9" w:themeFill="accent3"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t>Cel operacyjny II.3 - R</w:t>
            </w:r>
            <w:r w:rsidR="00FE6625">
              <w:rPr>
                <w:rFonts w:asciiTheme="minorHAnsi" w:hAnsiTheme="minorHAnsi"/>
                <w:b/>
                <w:bCs/>
                <w:sz w:val="22"/>
              </w:rPr>
              <w:t>ozbudowa oferty pozalekcyjnej i </w:t>
            </w:r>
            <w:r w:rsidRPr="00A45758">
              <w:rPr>
                <w:rFonts w:asciiTheme="minorHAnsi" w:hAnsiTheme="minorHAnsi"/>
                <w:b/>
                <w:bCs/>
                <w:sz w:val="22"/>
              </w:rPr>
              <w:t>pozaszkolnej dla dzieci i młodzieży</w:t>
            </w:r>
          </w:p>
        </w:tc>
        <w:tc>
          <w:tcPr>
            <w:tcW w:w="651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572E32" w:rsidRDefault="00572E32" w:rsidP="00A4132B">
            <w:pPr>
              <w:spacing w:line="240" w:lineRule="auto"/>
              <w:rPr>
                <w:rFonts w:ascii="Calibri" w:hAnsi="Calibri"/>
                <w:color w:val="000000"/>
                <w:sz w:val="20"/>
              </w:rPr>
            </w:pPr>
            <w:r>
              <w:rPr>
                <w:rFonts w:ascii="Calibri" w:hAnsi="Calibri"/>
                <w:color w:val="000000"/>
                <w:sz w:val="20"/>
              </w:rPr>
              <w:t xml:space="preserve">Potrzeby edukacyjne dzieci i młodzieży powinny być zaspokajane </w:t>
            </w:r>
            <w:r w:rsidR="00B00FFC">
              <w:rPr>
                <w:rFonts w:ascii="Calibri" w:hAnsi="Calibri"/>
                <w:color w:val="000000"/>
                <w:sz w:val="20"/>
              </w:rPr>
              <w:t>nie tylko</w:t>
            </w:r>
            <w:r>
              <w:rPr>
                <w:rFonts w:ascii="Calibri" w:hAnsi="Calibri"/>
                <w:color w:val="000000"/>
                <w:sz w:val="20"/>
              </w:rPr>
              <w:t xml:space="preserve"> poprzez obowiązkowe zajęcia szkolne. Charakter tych potrzeb bywa zróżnicowany. Z jednej strony część uczniów (zwłaszcza </w:t>
            </w:r>
            <w:r w:rsidR="00A4132B">
              <w:rPr>
                <w:rFonts w:ascii="Calibri" w:hAnsi="Calibri"/>
                <w:color w:val="000000"/>
                <w:sz w:val="20"/>
              </w:rPr>
              <w:t>szkół podstawowych i </w:t>
            </w:r>
            <w:r>
              <w:rPr>
                <w:rFonts w:ascii="Calibri" w:hAnsi="Calibri"/>
                <w:color w:val="000000"/>
                <w:sz w:val="20"/>
              </w:rPr>
              <w:t xml:space="preserve">gimnazjów) </w:t>
            </w:r>
            <w:r w:rsidRPr="004479AA">
              <w:rPr>
                <w:rFonts w:ascii="Calibri" w:hAnsi="Calibri"/>
                <w:color w:val="000000"/>
                <w:sz w:val="20"/>
              </w:rPr>
              <w:t xml:space="preserve">potrzebuje </w:t>
            </w:r>
            <w:r w:rsidRPr="00745106">
              <w:rPr>
                <w:rFonts w:ascii="Calibri" w:hAnsi="Calibri"/>
                <w:b/>
                <w:color w:val="000000"/>
                <w:sz w:val="20"/>
              </w:rPr>
              <w:t>dodatkowych zajęć dydaktyczno-wychowawczych czy korekcyjno-kompensacyjnych</w:t>
            </w:r>
            <w:r w:rsidRPr="004479AA">
              <w:rPr>
                <w:rFonts w:ascii="Calibri" w:hAnsi="Calibri"/>
                <w:color w:val="000000"/>
                <w:sz w:val="20"/>
              </w:rPr>
              <w:t>,</w:t>
            </w:r>
            <w:r>
              <w:rPr>
                <w:rFonts w:ascii="Calibri" w:hAnsi="Calibri"/>
                <w:color w:val="000000"/>
                <w:sz w:val="20"/>
              </w:rPr>
              <w:t xml:space="preserve"> które</w:t>
            </w:r>
            <w:r w:rsidR="00AC63FB">
              <w:rPr>
                <w:rFonts w:ascii="Calibri" w:hAnsi="Calibri"/>
                <w:color w:val="000000"/>
                <w:sz w:val="20"/>
              </w:rPr>
              <w:t xml:space="preserve"> zniwelują różnice edukacyjne i </w:t>
            </w:r>
            <w:r>
              <w:rPr>
                <w:rFonts w:ascii="Calibri" w:hAnsi="Calibri"/>
                <w:color w:val="000000"/>
                <w:sz w:val="20"/>
              </w:rPr>
              <w:t>pozwolą im opanować trudniej przyswaja</w:t>
            </w:r>
            <w:r w:rsidR="00AC63FB">
              <w:rPr>
                <w:rFonts w:ascii="Calibri" w:hAnsi="Calibri"/>
                <w:color w:val="000000"/>
                <w:sz w:val="20"/>
              </w:rPr>
              <w:t>ny materiał czy umiejętności, z </w:t>
            </w:r>
            <w:r>
              <w:rPr>
                <w:rFonts w:ascii="Calibri" w:hAnsi="Calibri"/>
                <w:color w:val="000000"/>
                <w:sz w:val="20"/>
              </w:rPr>
              <w:t xml:space="preserve">drugiej strony osoby szczególnie uzdolnione potrzebują </w:t>
            </w:r>
            <w:r w:rsidRPr="001A61D5">
              <w:rPr>
                <w:rFonts w:ascii="Calibri" w:hAnsi="Calibri"/>
                <w:b/>
                <w:color w:val="000000"/>
                <w:sz w:val="20"/>
              </w:rPr>
              <w:t xml:space="preserve">przestrzeni dla rozwijania swoich pasji i </w:t>
            </w:r>
            <w:r w:rsidR="00A4132B" w:rsidRPr="001A61D5">
              <w:rPr>
                <w:rFonts w:ascii="Calibri" w:hAnsi="Calibri"/>
                <w:b/>
                <w:color w:val="000000"/>
                <w:sz w:val="20"/>
              </w:rPr>
              <w:t>zainteresowań</w:t>
            </w:r>
            <w:r w:rsidR="00A4132B">
              <w:rPr>
                <w:rFonts w:ascii="Calibri" w:hAnsi="Calibri"/>
                <w:color w:val="000000"/>
                <w:sz w:val="20"/>
              </w:rPr>
              <w:t xml:space="preserve"> w postaci kół naukowych czy dodatkowych zajęć pozalekcyjnych. </w:t>
            </w:r>
          </w:p>
          <w:p w:rsidR="00A4132B" w:rsidRDefault="00A4132B" w:rsidP="00A4132B">
            <w:pPr>
              <w:spacing w:line="240" w:lineRule="auto"/>
              <w:rPr>
                <w:rFonts w:ascii="Calibri" w:hAnsi="Calibri"/>
                <w:color w:val="000000"/>
                <w:sz w:val="20"/>
              </w:rPr>
            </w:pPr>
          </w:p>
          <w:p w:rsidR="00A4132B" w:rsidRDefault="00C83EB2" w:rsidP="00A4132B">
            <w:pPr>
              <w:spacing w:line="240" w:lineRule="auto"/>
              <w:rPr>
                <w:rFonts w:ascii="Calibri" w:hAnsi="Calibri"/>
                <w:color w:val="000000"/>
                <w:sz w:val="20"/>
              </w:rPr>
            </w:pPr>
            <w:r>
              <w:rPr>
                <w:rFonts w:ascii="Calibri" w:hAnsi="Calibri"/>
                <w:color w:val="000000"/>
                <w:sz w:val="20"/>
              </w:rPr>
              <w:t xml:space="preserve">Interesującą i nowoczesną formę zajęć pozaszkolnych stanowią </w:t>
            </w:r>
            <w:r w:rsidRPr="001A61D5">
              <w:rPr>
                <w:rFonts w:ascii="Calibri" w:hAnsi="Calibri"/>
                <w:b/>
                <w:color w:val="000000"/>
                <w:sz w:val="20"/>
              </w:rPr>
              <w:t>zajęcia</w:t>
            </w:r>
            <w:r w:rsidR="00A4132B" w:rsidRPr="001A61D5">
              <w:rPr>
                <w:rFonts w:ascii="Calibri" w:hAnsi="Calibri"/>
                <w:b/>
                <w:color w:val="000000"/>
                <w:sz w:val="20"/>
              </w:rPr>
              <w:t xml:space="preserve"> prowadzone z udziałem osób stars</w:t>
            </w:r>
            <w:r w:rsidR="00052D3E" w:rsidRPr="001A61D5">
              <w:rPr>
                <w:rFonts w:ascii="Calibri" w:hAnsi="Calibri"/>
                <w:b/>
                <w:color w:val="000000"/>
                <w:sz w:val="20"/>
              </w:rPr>
              <w:t>zych</w:t>
            </w:r>
            <w:r w:rsidR="00A458E7">
              <w:rPr>
                <w:rFonts w:ascii="Calibri" w:hAnsi="Calibri"/>
                <w:b/>
                <w:color w:val="000000"/>
                <w:sz w:val="20"/>
              </w:rPr>
              <w:t>,</w:t>
            </w:r>
            <w:r w:rsidR="00A4132B">
              <w:rPr>
                <w:rFonts w:ascii="Calibri" w:hAnsi="Calibri"/>
                <w:color w:val="000000"/>
                <w:sz w:val="20"/>
              </w:rPr>
              <w:t xml:space="preserve"> polegające na obustronnej współpracy pokoleń. Doś</w:t>
            </w:r>
            <w:r w:rsidR="009B12B7">
              <w:rPr>
                <w:rFonts w:ascii="Calibri" w:hAnsi="Calibri"/>
                <w:color w:val="000000"/>
                <w:sz w:val="20"/>
              </w:rPr>
              <w:t>wiadczenie i wiedza przekazywane</w:t>
            </w:r>
            <w:r w:rsidR="00A4132B">
              <w:rPr>
                <w:rFonts w:ascii="Calibri" w:hAnsi="Calibri"/>
                <w:color w:val="000000"/>
                <w:sz w:val="20"/>
              </w:rPr>
              <w:t xml:space="preserve"> młodym uczniom mo</w:t>
            </w:r>
            <w:r w:rsidR="009B12B7">
              <w:rPr>
                <w:rFonts w:ascii="Calibri" w:hAnsi="Calibri"/>
                <w:color w:val="000000"/>
                <w:sz w:val="20"/>
              </w:rPr>
              <w:t>gą</w:t>
            </w:r>
            <w:r w:rsidR="00A4132B">
              <w:rPr>
                <w:rFonts w:ascii="Calibri" w:hAnsi="Calibri"/>
                <w:color w:val="000000"/>
                <w:sz w:val="20"/>
              </w:rPr>
              <w:t xml:space="preserve"> okazać się niezwykle</w:t>
            </w:r>
            <w:r w:rsidR="009B12B7">
              <w:rPr>
                <w:rFonts w:ascii="Calibri" w:hAnsi="Calibri"/>
                <w:color w:val="000000"/>
                <w:sz w:val="20"/>
              </w:rPr>
              <w:t xml:space="preserve"> cenne</w:t>
            </w:r>
            <w:r w:rsidR="00A458E7">
              <w:rPr>
                <w:rFonts w:ascii="Calibri" w:hAnsi="Calibri"/>
                <w:color w:val="000000"/>
                <w:sz w:val="20"/>
              </w:rPr>
              <w:t>,</w:t>
            </w:r>
            <w:r w:rsidR="00A4132B">
              <w:rPr>
                <w:rFonts w:ascii="Calibri" w:hAnsi="Calibri"/>
                <w:color w:val="000000"/>
                <w:sz w:val="20"/>
              </w:rPr>
              <w:t xml:space="preserve"> nie tylko </w:t>
            </w:r>
            <w:r w:rsidR="009B12B7">
              <w:rPr>
                <w:rFonts w:ascii="Calibri" w:hAnsi="Calibri"/>
                <w:color w:val="000000"/>
                <w:sz w:val="20"/>
              </w:rPr>
              <w:t>w </w:t>
            </w:r>
            <w:r w:rsidR="000146D8">
              <w:rPr>
                <w:rFonts w:ascii="Calibri" w:hAnsi="Calibri"/>
                <w:color w:val="000000"/>
                <w:sz w:val="20"/>
              </w:rPr>
              <w:t>ich zmaganiach edukacyjnych, ale także</w:t>
            </w:r>
            <w:r w:rsidR="009B12B7">
              <w:rPr>
                <w:rFonts w:ascii="Calibri" w:hAnsi="Calibri"/>
                <w:color w:val="000000"/>
                <w:sz w:val="20"/>
              </w:rPr>
              <w:t xml:space="preserve"> w</w:t>
            </w:r>
            <w:r w:rsidR="000146D8">
              <w:rPr>
                <w:rFonts w:ascii="Calibri" w:hAnsi="Calibri"/>
                <w:color w:val="000000"/>
                <w:sz w:val="20"/>
              </w:rPr>
              <w:t xml:space="preserve"> życiu codziennym. </w:t>
            </w:r>
            <w:r w:rsidR="009B12B7">
              <w:rPr>
                <w:rFonts w:ascii="Calibri" w:hAnsi="Calibri"/>
                <w:color w:val="000000"/>
                <w:sz w:val="20"/>
              </w:rPr>
              <w:t>O</w:t>
            </w:r>
            <w:r w:rsidR="000146D8">
              <w:rPr>
                <w:rFonts w:ascii="Calibri" w:hAnsi="Calibri"/>
                <w:color w:val="000000"/>
                <w:sz w:val="20"/>
              </w:rPr>
              <w:t>soby starsze</w:t>
            </w:r>
            <w:r w:rsidR="009B12B7">
              <w:rPr>
                <w:rFonts w:ascii="Calibri" w:hAnsi="Calibri"/>
                <w:color w:val="000000"/>
                <w:sz w:val="20"/>
              </w:rPr>
              <w:t>, dzięki k</w:t>
            </w:r>
            <w:r w:rsidR="00592731">
              <w:rPr>
                <w:rFonts w:ascii="Calibri" w:hAnsi="Calibri"/>
                <w:color w:val="000000"/>
                <w:sz w:val="20"/>
              </w:rPr>
              <w:t>ontaktowi</w:t>
            </w:r>
            <w:r w:rsidR="009B12B7">
              <w:rPr>
                <w:rFonts w:ascii="Calibri" w:hAnsi="Calibri"/>
                <w:color w:val="000000"/>
                <w:sz w:val="20"/>
              </w:rPr>
              <w:t xml:space="preserve"> z młodzieżą</w:t>
            </w:r>
            <w:r w:rsidR="000146D8">
              <w:rPr>
                <w:rFonts w:ascii="Calibri" w:hAnsi="Calibri"/>
                <w:color w:val="000000"/>
                <w:sz w:val="20"/>
              </w:rPr>
              <w:t xml:space="preserve"> także </w:t>
            </w:r>
            <w:r w:rsidR="009B12B7">
              <w:rPr>
                <w:rFonts w:ascii="Calibri" w:hAnsi="Calibri"/>
                <w:color w:val="000000"/>
                <w:sz w:val="20"/>
              </w:rPr>
              <w:t>zdobywa</w:t>
            </w:r>
            <w:r w:rsidR="00D32A67">
              <w:rPr>
                <w:rFonts w:ascii="Calibri" w:hAnsi="Calibri"/>
                <w:color w:val="000000"/>
                <w:sz w:val="20"/>
              </w:rPr>
              <w:t>ją</w:t>
            </w:r>
            <w:r w:rsidR="009B12B7">
              <w:rPr>
                <w:rFonts w:ascii="Calibri" w:hAnsi="Calibri"/>
                <w:color w:val="000000"/>
                <w:sz w:val="20"/>
              </w:rPr>
              <w:t xml:space="preserve"> nowe umiejętności przekazywane przez młodz</w:t>
            </w:r>
            <w:r w:rsidR="00AC63FB">
              <w:rPr>
                <w:rFonts w:ascii="Calibri" w:hAnsi="Calibri"/>
                <w:color w:val="000000"/>
                <w:sz w:val="20"/>
              </w:rPr>
              <w:t>ież np. w </w:t>
            </w:r>
            <w:r w:rsidR="009B12B7">
              <w:rPr>
                <w:rFonts w:ascii="Calibri" w:hAnsi="Calibri"/>
                <w:color w:val="000000"/>
                <w:sz w:val="20"/>
              </w:rPr>
              <w:t>zakresie kompetencji cyfrowych, a przede wszystkim</w:t>
            </w:r>
            <w:r w:rsidR="000146D8">
              <w:rPr>
                <w:rFonts w:ascii="Calibri" w:hAnsi="Calibri"/>
                <w:color w:val="000000"/>
                <w:sz w:val="20"/>
              </w:rPr>
              <w:t xml:space="preserve"> </w:t>
            </w:r>
            <w:r w:rsidR="00592731">
              <w:rPr>
                <w:rFonts w:ascii="Calibri" w:hAnsi="Calibri"/>
                <w:color w:val="000000"/>
                <w:sz w:val="20"/>
              </w:rPr>
              <w:t xml:space="preserve">mają możliwość aktywizacji i uczestnictwa w życiu społeczno-kulturowym. </w:t>
            </w:r>
          </w:p>
          <w:p w:rsidR="00D36034" w:rsidRDefault="00D36034" w:rsidP="00841C5B">
            <w:pPr>
              <w:spacing w:line="240" w:lineRule="auto"/>
              <w:jc w:val="left"/>
              <w:rPr>
                <w:rFonts w:ascii="Calibri" w:hAnsi="Calibri"/>
                <w:color w:val="000000"/>
                <w:sz w:val="20"/>
              </w:rPr>
            </w:pPr>
          </w:p>
          <w:p w:rsidR="00592731" w:rsidRDefault="005464D6" w:rsidP="00D32A67">
            <w:pPr>
              <w:spacing w:line="240" w:lineRule="auto"/>
              <w:rPr>
                <w:rFonts w:ascii="Calibri" w:hAnsi="Calibri"/>
                <w:color w:val="000000"/>
                <w:sz w:val="20"/>
              </w:rPr>
            </w:pPr>
            <w:r>
              <w:rPr>
                <w:rFonts w:ascii="Calibri" w:hAnsi="Calibri"/>
                <w:color w:val="000000"/>
                <w:sz w:val="20"/>
              </w:rPr>
              <w:t>Organizując dodatkowe</w:t>
            </w:r>
            <w:r w:rsidR="00D8107E">
              <w:rPr>
                <w:rFonts w:ascii="Calibri" w:hAnsi="Calibri"/>
                <w:color w:val="000000"/>
                <w:sz w:val="20"/>
              </w:rPr>
              <w:t xml:space="preserve"> zajęcia</w:t>
            </w:r>
            <w:r>
              <w:rPr>
                <w:rFonts w:ascii="Calibri" w:hAnsi="Calibri"/>
                <w:color w:val="000000"/>
                <w:sz w:val="20"/>
              </w:rPr>
              <w:t xml:space="preserve"> edukacyjno-wychowawcze </w:t>
            </w:r>
            <w:r w:rsidR="00D32A67">
              <w:rPr>
                <w:rFonts w:ascii="Calibri" w:hAnsi="Calibri"/>
                <w:color w:val="000000"/>
                <w:sz w:val="20"/>
              </w:rPr>
              <w:t>należy pamiętać także</w:t>
            </w:r>
            <w:r>
              <w:rPr>
                <w:rFonts w:ascii="Calibri" w:hAnsi="Calibri"/>
                <w:color w:val="000000"/>
                <w:sz w:val="20"/>
              </w:rPr>
              <w:t xml:space="preserve"> o zapewnieniu uczniom </w:t>
            </w:r>
            <w:r w:rsidRPr="001A61D5">
              <w:rPr>
                <w:rFonts w:ascii="Calibri" w:hAnsi="Calibri"/>
                <w:b/>
                <w:color w:val="000000"/>
                <w:sz w:val="20"/>
              </w:rPr>
              <w:t>dostępu do różnych form pomocy psychologiczno-pedagogicznej</w:t>
            </w:r>
            <w:r>
              <w:rPr>
                <w:rFonts w:ascii="Calibri" w:hAnsi="Calibri"/>
                <w:color w:val="000000"/>
                <w:sz w:val="20"/>
              </w:rPr>
              <w:t>, która będzie bezpośrednim wsparciem dla uczniów nie radzących sobie ze stresem</w:t>
            </w:r>
            <w:r w:rsidR="00A458E7">
              <w:rPr>
                <w:rFonts w:ascii="Calibri" w:hAnsi="Calibri"/>
                <w:color w:val="000000"/>
                <w:sz w:val="20"/>
              </w:rPr>
              <w:t>,</w:t>
            </w:r>
            <w:r>
              <w:rPr>
                <w:rFonts w:ascii="Calibri" w:hAnsi="Calibri"/>
                <w:color w:val="000000"/>
                <w:sz w:val="20"/>
              </w:rPr>
              <w:t xml:space="preserve"> czy innymi problemami natury psychologicznej lub wychowawczej. </w:t>
            </w:r>
          </w:p>
          <w:p w:rsidR="009F27B3" w:rsidRDefault="009F27B3" w:rsidP="00D32A67">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głównymi będą:</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Kontynuacja zajęć dydaktyczno-wychowawczych i korekcyjno-kompensacyjnych, zwłaszcza w szkołach podstawowych i gimnazjach;</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Poszerzenie oferty  zajęć pozalekcyjnych dla młodzieży uzdolnionej</w:t>
            </w:r>
            <w:r w:rsidR="00A458E7">
              <w:rPr>
                <w:rFonts w:ascii="Calibri" w:hAnsi="Calibri"/>
                <w:b/>
                <w:bCs/>
                <w:color w:val="000000"/>
                <w:sz w:val="20"/>
              </w:rPr>
              <w:t>,</w:t>
            </w:r>
            <w:r w:rsidRPr="0043551F">
              <w:rPr>
                <w:rFonts w:ascii="Calibri" w:hAnsi="Calibri"/>
                <w:b/>
                <w:bCs/>
                <w:color w:val="000000"/>
                <w:sz w:val="20"/>
              </w:rPr>
              <w:t xml:space="preserve"> uczącej się w legnickich szkołach ponadgimnazjalnych;</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Zapewnienie uczniom szkół podstawowych form pomocy psychologiczno-pedagogicznej;</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Organizacja zajęć dodatkowych w zakresie przedmiotów matematyczno-przyrodniczych i języków obcych;</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Wdrożenie programu zajęć pozalekcyjnych pozaszkolnych</w:t>
            </w:r>
            <w:r w:rsidRPr="0043551F">
              <w:rPr>
                <w:rFonts w:ascii="Calibri" w:hAnsi="Calibri"/>
                <w:b/>
                <w:bCs/>
                <w:color w:val="000000"/>
                <w:sz w:val="20"/>
              </w:rPr>
              <w:br/>
              <w:t>(w Młodzieżowym Centrum Kultury) przy wykorzystaniu doświadczeń osób starszych;</w:t>
            </w:r>
          </w:p>
          <w:p w:rsidR="009F2099" w:rsidRPr="0043551F" w:rsidRDefault="00B738E4" w:rsidP="0062416A">
            <w:pPr>
              <w:numPr>
                <w:ilvl w:val="0"/>
                <w:numId w:val="88"/>
              </w:numPr>
              <w:spacing w:line="240" w:lineRule="auto"/>
              <w:rPr>
                <w:rFonts w:ascii="Calibri" w:hAnsi="Calibri"/>
                <w:color w:val="000000"/>
                <w:sz w:val="20"/>
              </w:rPr>
            </w:pPr>
            <w:r w:rsidRPr="0043551F">
              <w:rPr>
                <w:rFonts w:ascii="Calibri" w:hAnsi="Calibri"/>
                <w:b/>
                <w:bCs/>
                <w:color w:val="000000"/>
                <w:sz w:val="20"/>
              </w:rPr>
              <w:t>Promocja Legnicy jako miasta, które edukuje i wychowuje;</w:t>
            </w:r>
          </w:p>
          <w:p w:rsidR="00562903" w:rsidRDefault="00562903" w:rsidP="00562903">
            <w:pPr>
              <w:spacing w:line="240" w:lineRule="auto"/>
              <w:rPr>
                <w:rFonts w:ascii="Calibri" w:hAnsi="Calibri"/>
                <w:color w:val="000000"/>
                <w:sz w:val="20"/>
              </w:rPr>
            </w:pPr>
          </w:p>
          <w:p w:rsidR="0010032B" w:rsidRPr="00562903" w:rsidRDefault="00562903" w:rsidP="00B00FFC">
            <w:pPr>
              <w:spacing w:line="240" w:lineRule="auto"/>
              <w:rPr>
                <w:rFonts w:ascii="Calibri" w:hAnsi="Calibri"/>
                <w:color w:val="000000"/>
                <w:sz w:val="20"/>
              </w:rPr>
            </w:pPr>
            <w:r>
              <w:rPr>
                <w:rFonts w:ascii="Calibri" w:hAnsi="Calibri"/>
                <w:color w:val="000000"/>
                <w:sz w:val="20"/>
              </w:rPr>
              <w:t>Źródłami finansowania działań w ramach celu operacyjnego II.3 będą środki własne budżetu miasta, a także środki pochodzące z funduszy europejskich (Program Operacyjny Wiedza Edukacja Rozwój, RPO Województwa Dolnośląskiego)</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F51613" w:rsidP="00841C5B">
            <w:pPr>
              <w:rPr>
                <w:rFonts w:ascii="Calibri" w:hAnsi="Calibri"/>
                <w:color w:val="000000"/>
                <w:sz w:val="6"/>
              </w:rPr>
            </w:pPr>
          </w:p>
        </w:tc>
      </w:tr>
      <w:tr w:rsidR="00FE0E55"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FE0E55" w:rsidRPr="009E2F38" w:rsidRDefault="00FE0E55" w:rsidP="00B73014">
            <w:pPr>
              <w:jc w:val="center"/>
              <w:rPr>
                <w:rFonts w:ascii="Calibri" w:hAnsi="Calibri"/>
                <w:b/>
                <w:color w:val="000000"/>
                <w:sz w:val="20"/>
              </w:rPr>
            </w:pPr>
            <w:r w:rsidRPr="009E2F38">
              <w:rPr>
                <w:rFonts w:ascii="Calibri" w:hAnsi="Calibri"/>
                <w:b/>
                <w:color w:val="FFFFFF" w:themeColor="background1"/>
                <w:sz w:val="22"/>
              </w:rPr>
              <w:t>Wskaźniki rezultatu dla Celu operacyjnego</w:t>
            </w:r>
            <w:r w:rsidR="000D7217" w:rsidRPr="009E2F38">
              <w:rPr>
                <w:rFonts w:ascii="Calibri" w:hAnsi="Calibri"/>
                <w:b/>
                <w:color w:val="FFFFFF" w:themeColor="background1"/>
                <w:sz w:val="22"/>
              </w:rPr>
              <w:t xml:space="preserve"> II.3</w:t>
            </w:r>
          </w:p>
        </w:tc>
      </w:tr>
      <w:tr w:rsidR="00FE0E55"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EB4C28" w:rsidRPr="00EB4C28" w:rsidRDefault="00EB4C28" w:rsidP="00EB4C28">
            <w:pPr>
              <w:pStyle w:val="Default"/>
              <w:numPr>
                <w:ilvl w:val="0"/>
                <w:numId w:val="61"/>
              </w:numPr>
              <w:rPr>
                <w:rFonts w:ascii="Calibri" w:hAnsi="Calibri"/>
                <w:b/>
                <w:sz w:val="20"/>
              </w:rPr>
            </w:pPr>
            <w:r w:rsidRPr="00EB4C28">
              <w:rPr>
                <w:rFonts w:ascii="Calibri" w:hAnsi="Calibri"/>
                <w:b/>
                <w:sz w:val="20"/>
              </w:rPr>
              <w:t>Liczba uczniów biorących udział w zajęciach pozalekcyjnych</w:t>
            </w:r>
            <w:r>
              <w:rPr>
                <w:rFonts w:ascii="Calibri" w:hAnsi="Calibri"/>
                <w:b/>
                <w:sz w:val="20"/>
              </w:rPr>
              <w:t>;</w:t>
            </w:r>
          </w:p>
          <w:p w:rsidR="00EB4C28" w:rsidRPr="00EB4C28" w:rsidRDefault="00EB4C28" w:rsidP="00EB4C28">
            <w:pPr>
              <w:pStyle w:val="Default"/>
              <w:numPr>
                <w:ilvl w:val="0"/>
                <w:numId w:val="61"/>
              </w:numPr>
              <w:rPr>
                <w:rFonts w:ascii="Calibri" w:hAnsi="Calibri"/>
                <w:b/>
                <w:sz w:val="20"/>
              </w:rPr>
            </w:pPr>
            <w:r w:rsidRPr="00EB4C28">
              <w:rPr>
                <w:rFonts w:ascii="Calibri" w:hAnsi="Calibri"/>
                <w:b/>
                <w:sz w:val="20"/>
              </w:rPr>
              <w:t>Liczba godzin zajęć dydaktyczno – wyrównawczych i zajęć korekcyjno – kompensacyjnych w szkołach podstawowych i gimnazjach</w:t>
            </w:r>
            <w:r>
              <w:rPr>
                <w:rFonts w:ascii="Calibri" w:hAnsi="Calibri"/>
                <w:b/>
                <w:sz w:val="20"/>
              </w:rPr>
              <w:t>;</w:t>
            </w:r>
          </w:p>
          <w:p w:rsidR="00EB4C28" w:rsidRPr="00EB4C28" w:rsidRDefault="00EB4C28" w:rsidP="00EB4C28">
            <w:pPr>
              <w:pStyle w:val="Default"/>
              <w:numPr>
                <w:ilvl w:val="0"/>
                <w:numId w:val="61"/>
              </w:numPr>
              <w:rPr>
                <w:rFonts w:ascii="Calibri" w:hAnsi="Calibri"/>
                <w:b/>
                <w:sz w:val="20"/>
              </w:rPr>
            </w:pPr>
            <w:r w:rsidRPr="00EB4C28">
              <w:rPr>
                <w:rFonts w:ascii="Calibri" w:hAnsi="Calibri"/>
                <w:b/>
                <w:sz w:val="20"/>
              </w:rPr>
              <w:t>Liczba godzin zajęć dodatkowych w zakresie przedmiotów matematyczno-przyrodniczych i języków obcych</w:t>
            </w:r>
            <w:r>
              <w:rPr>
                <w:rFonts w:ascii="Calibri" w:hAnsi="Calibri"/>
                <w:b/>
                <w:sz w:val="20"/>
              </w:rPr>
              <w:t>;</w:t>
            </w:r>
          </w:p>
          <w:p w:rsidR="00A458E7" w:rsidRPr="009E2F38" w:rsidRDefault="00EB4C28" w:rsidP="00EB4C28">
            <w:pPr>
              <w:pStyle w:val="Default"/>
              <w:numPr>
                <w:ilvl w:val="0"/>
                <w:numId w:val="61"/>
              </w:numPr>
              <w:jc w:val="both"/>
              <w:rPr>
                <w:rFonts w:ascii="Calibri" w:hAnsi="Calibri"/>
                <w:b/>
                <w:sz w:val="20"/>
              </w:rPr>
            </w:pPr>
            <w:r w:rsidRPr="00EB4C28">
              <w:rPr>
                <w:rFonts w:ascii="Calibri" w:hAnsi="Calibri"/>
                <w:b/>
                <w:sz w:val="20"/>
              </w:rPr>
              <w:t>Liczba etatów specjalistów zatrudnionych w szkołach</w:t>
            </w:r>
            <w:r>
              <w:rPr>
                <w:rFonts w:ascii="Calibri" w:hAnsi="Calibri"/>
                <w:b/>
                <w:sz w:val="20"/>
              </w:rPr>
              <w:t>;</w:t>
            </w:r>
          </w:p>
        </w:tc>
      </w:tr>
      <w:tr w:rsidR="00FE0E55" w:rsidRPr="00F51613" w:rsidTr="009855D9">
        <w:trPr>
          <w:trHeight w:val="113"/>
        </w:trPr>
        <w:tc>
          <w:tcPr>
            <w:tcW w:w="9067" w:type="dxa"/>
            <w:gridSpan w:val="2"/>
            <w:tcBorders>
              <w:left w:val="nil"/>
              <w:right w:val="nil"/>
            </w:tcBorders>
            <w:shd w:val="clear" w:color="auto" w:fill="FFFFFF" w:themeFill="background1"/>
          </w:tcPr>
          <w:p w:rsidR="00FE0E55" w:rsidRPr="00F51613" w:rsidRDefault="00FE0E55" w:rsidP="00841C5B">
            <w:pPr>
              <w:rPr>
                <w:rFonts w:ascii="Calibri" w:hAnsi="Calibri"/>
                <w:color w:val="000000"/>
                <w:sz w:val="6"/>
              </w:rPr>
            </w:pPr>
          </w:p>
        </w:tc>
      </w:tr>
      <w:tr w:rsidR="00D36034" w:rsidTr="009855D9">
        <w:trPr>
          <w:trHeight w:val="420"/>
        </w:trPr>
        <w:tc>
          <w:tcPr>
            <w:tcW w:w="2553" w:type="dxa"/>
            <w:tcBorders>
              <w:right w:val="single" w:sz="4" w:space="0" w:color="auto"/>
            </w:tcBorders>
            <w:shd w:val="clear" w:color="auto" w:fill="C9C9C9" w:themeFill="accent3"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lastRenderedPageBreak/>
              <w:t>Cel operacyjny II.4 - Rozwój edukacji ustawicznej i innych form podnoszenia kwalifikacji dla osób pozostających na rynku pracy</w:t>
            </w:r>
          </w:p>
          <w:p w:rsidR="00D36034" w:rsidRPr="00A45758" w:rsidRDefault="00D36034" w:rsidP="00841C5B">
            <w:pPr>
              <w:rPr>
                <w:rFonts w:asciiTheme="minorHAnsi" w:hAnsiTheme="minorHAnsi"/>
                <w:sz w:val="22"/>
              </w:rPr>
            </w:pPr>
          </w:p>
        </w:tc>
        <w:tc>
          <w:tcPr>
            <w:tcW w:w="651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402CDD" w:rsidRDefault="002E51B1" w:rsidP="00402CDD">
            <w:pPr>
              <w:spacing w:line="240" w:lineRule="auto"/>
              <w:rPr>
                <w:rFonts w:ascii="Calibri" w:hAnsi="Calibri"/>
                <w:color w:val="000000"/>
                <w:sz w:val="20"/>
              </w:rPr>
            </w:pPr>
            <w:r>
              <w:rPr>
                <w:rFonts w:ascii="Calibri" w:hAnsi="Calibri"/>
                <w:color w:val="000000"/>
                <w:sz w:val="20"/>
              </w:rPr>
              <w:t>Mimo, iż poziom bezrobocia w Legnicy na tle innych miast Dolnego Śląska prezentuje się korzystnie, t</w:t>
            </w:r>
            <w:r w:rsidR="00402CDD">
              <w:rPr>
                <w:rFonts w:ascii="Calibri" w:hAnsi="Calibri"/>
                <w:color w:val="000000"/>
                <w:sz w:val="20"/>
              </w:rPr>
              <w:t>o sytuacja na rynku pracy nie jest w pełni zadowalająca.</w:t>
            </w:r>
            <w:r w:rsidR="00E12C39">
              <w:rPr>
                <w:rFonts w:ascii="Calibri" w:hAnsi="Calibri"/>
                <w:color w:val="000000"/>
                <w:sz w:val="20"/>
              </w:rPr>
              <w:t xml:space="preserve"> Bezrobocie rejestrowane oscyluje wokół poziomu 10%</w:t>
            </w:r>
            <w:r w:rsidR="003C3838">
              <w:rPr>
                <w:rFonts w:ascii="Calibri" w:hAnsi="Calibri"/>
                <w:color w:val="000000"/>
                <w:sz w:val="20"/>
              </w:rPr>
              <w:t>, a </w:t>
            </w:r>
            <w:r w:rsidR="00E12C39">
              <w:rPr>
                <w:rFonts w:ascii="Calibri" w:hAnsi="Calibri"/>
                <w:color w:val="000000"/>
                <w:sz w:val="20"/>
              </w:rPr>
              <w:t xml:space="preserve">znaczna część społeczeństwa zmuszona jest do korzystania ze wsparcia opieki społecznej. </w:t>
            </w:r>
            <w:r w:rsidR="00402CDD">
              <w:rPr>
                <w:rFonts w:ascii="Calibri" w:hAnsi="Calibri"/>
                <w:color w:val="000000"/>
                <w:sz w:val="20"/>
              </w:rPr>
              <w:t>Konieczne jest zatem</w:t>
            </w:r>
            <w:r w:rsidR="00E12C39">
              <w:rPr>
                <w:rFonts w:ascii="Calibri" w:hAnsi="Calibri"/>
                <w:color w:val="000000"/>
                <w:sz w:val="20"/>
              </w:rPr>
              <w:t xml:space="preserve"> podjęcie niezbędnych działań służących ograniczeniu zjawiska wykluczenia społecznego, przede wszystkim poprzez</w:t>
            </w:r>
            <w:r w:rsidR="00402CDD">
              <w:rPr>
                <w:rFonts w:ascii="Calibri" w:hAnsi="Calibri"/>
                <w:color w:val="000000"/>
                <w:sz w:val="20"/>
              </w:rPr>
              <w:t xml:space="preserve"> </w:t>
            </w:r>
            <w:r w:rsidR="00402CDD" w:rsidRPr="001A61D5">
              <w:rPr>
                <w:rFonts w:ascii="Calibri" w:hAnsi="Calibri"/>
                <w:color w:val="000000"/>
                <w:sz w:val="20"/>
              </w:rPr>
              <w:t>umożliwienie poszerzania kwalifikacji</w:t>
            </w:r>
            <w:r w:rsidR="00402CDD">
              <w:rPr>
                <w:rFonts w:ascii="Calibri" w:hAnsi="Calibri"/>
                <w:color w:val="000000"/>
                <w:sz w:val="20"/>
              </w:rPr>
              <w:t xml:space="preserve"> osobom,</w:t>
            </w:r>
            <w:r w:rsidR="00E12C39">
              <w:rPr>
                <w:rFonts w:ascii="Calibri" w:hAnsi="Calibri"/>
                <w:color w:val="000000"/>
                <w:sz w:val="20"/>
              </w:rPr>
              <w:t xml:space="preserve"> których  wykształcenie i posiadane umiejętności nie są dostosowane do współczesnych wymogów rynku pracy.</w:t>
            </w:r>
            <w:r w:rsidR="00402CDD">
              <w:rPr>
                <w:rFonts w:ascii="Calibri" w:hAnsi="Calibri"/>
                <w:color w:val="000000"/>
                <w:sz w:val="20"/>
              </w:rPr>
              <w:t xml:space="preserve"> </w:t>
            </w:r>
          </w:p>
          <w:p w:rsidR="003C3838" w:rsidRDefault="003C3838" w:rsidP="00402CDD">
            <w:pPr>
              <w:spacing w:line="240" w:lineRule="auto"/>
              <w:rPr>
                <w:rFonts w:ascii="Calibri" w:hAnsi="Calibri"/>
                <w:color w:val="000000"/>
                <w:sz w:val="20"/>
              </w:rPr>
            </w:pPr>
          </w:p>
          <w:p w:rsidR="00AA3F2F" w:rsidRDefault="00402CDD" w:rsidP="00402CDD">
            <w:pPr>
              <w:spacing w:line="240" w:lineRule="auto"/>
              <w:rPr>
                <w:rFonts w:ascii="Calibri" w:hAnsi="Calibri"/>
                <w:color w:val="000000"/>
                <w:sz w:val="20"/>
              </w:rPr>
            </w:pPr>
            <w:r>
              <w:rPr>
                <w:rFonts w:ascii="Calibri" w:hAnsi="Calibri"/>
                <w:color w:val="000000"/>
                <w:sz w:val="20"/>
              </w:rPr>
              <w:t>Dlatego też</w:t>
            </w:r>
            <w:r w:rsidR="00E657FF">
              <w:rPr>
                <w:rFonts w:ascii="Calibri" w:hAnsi="Calibri"/>
                <w:color w:val="000000"/>
                <w:sz w:val="20"/>
              </w:rPr>
              <w:t>,</w:t>
            </w:r>
            <w:r>
              <w:rPr>
                <w:rFonts w:ascii="Calibri" w:hAnsi="Calibri"/>
                <w:color w:val="000000"/>
                <w:sz w:val="20"/>
              </w:rPr>
              <w:t xml:space="preserve"> w kolejnych latach powinno się </w:t>
            </w:r>
            <w:r w:rsidRPr="001A61D5">
              <w:rPr>
                <w:rFonts w:ascii="Calibri" w:hAnsi="Calibri"/>
                <w:b/>
                <w:color w:val="000000"/>
                <w:sz w:val="20"/>
              </w:rPr>
              <w:t>poszerzać ofertę kwalifikacyjnych kursów zawodowych,</w:t>
            </w:r>
            <w:r>
              <w:rPr>
                <w:rFonts w:ascii="Calibri" w:hAnsi="Calibri"/>
                <w:color w:val="000000"/>
                <w:sz w:val="20"/>
              </w:rPr>
              <w:t xml:space="preserve"> świadczonych zwłaszcza za</w:t>
            </w:r>
            <w:r w:rsidR="00AA3F2F">
              <w:rPr>
                <w:rFonts w:ascii="Calibri" w:hAnsi="Calibri"/>
                <w:color w:val="000000"/>
                <w:sz w:val="20"/>
              </w:rPr>
              <w:t xml:space="preserve"> pośrednictwem szkół zawodowych.</w:t>
            </w:r>
            <w:r w:rsidR="00E12C39">
              <w:rPr>
                <w:rFonts w:ascii="Calibri" w:hAnsi="Calibri"/>
                <w:color w:val="000000"/>
                <w:sz w:val="20"/>
              </w:rPr>
              <w:t xml:space="preserve"> Oferta kursów i szkoleń powinna być dostosowana do </w:t>
            </w:r>
            <w:r w:rsidR="00AA3F2F">
              <w:rPr>
                <w:rFonts w:ascii="Calibri" w:hAnsi="Calibri"/>
                <w:color w:val="000000"/>
                <w:sz w:val="20"/>
              </w:rPr>
              <w:t xml:space="preserve"> </w:t>
            </w:r>
            <w:r w:rsidR="00E12C39">
              <w:rPr>
                <w:rFonts w:ascii="Calibri" w:hAnsi="Calibri"/>
                <w:color w:val="000000"/>
                <w:sz w:val="20"/>
              </w:rPr>
              <w:t xml:space="preserve">wymogów i trendów na rynku pracy, aby wiedza zdobywana przez kursantów mogła być przez nich wykorzystana przy staraniach o nową pracę. </w:t>
            </w:r>
            <w:r w:rsidR="00AA3F2F">
              <w:rPr>
                <w:rFonts w:ascii="Calibri" w:hAnsi="Calibri"/>
                <w:color w:val="000000"/>
                <w:sz w:val="20"/>
              </w:rPr>
              <w:t>Pomocnym rozwiązaniem w tym zakresi</w:t>
            </w:r>
            <w:r w:rsidR="003C3838">
              <w:rPr>
                <w:rFonts w:ascii="Calibri" w:hAnsi="Calibri"/>
                <w:color w:val="000000"/>
                <w:sz w:val="20"/>
              </w:rPr>
              <w:t>e byłoby także</w:t>
            </w:r>
            <w:r w:rsidR="00AA3F2F">
              <w:rPr>
                <w:rFonts w:ascii="Calibri" w:hAnsi="Calibri"/>
                <w:color w:val="000000"/>
                <w:sz w:val="20"/>
              </w:rPr>
              <w:t xml:space="preserve"> w</w:t>
            </w:r>
            <w:r w:rsidR="00AA3F2F" w:rsidRPr="00955473">
              <w:rPr>
                <w:rFonts w:ascii="Calibri" w:hAnsi="Calibri"/>
                <w:color w:val="000000"/>
                <w:sz w:val="20"/>
              </w:rPr>
              <w:t xml:space="preserve">prowadzenie </w:t>
            </w:r>
            <w:r w:rsidR="00AA3F2F" w:rsidRPr="001A61D5">
              <w:rPr>
                <w:rFonts w:ascii="Calibri" w:hAnsi="Calibri"/>
                <w:b/>
                <w:color w:val="000000"/>
                <w:sz w:val="20"/>
              </w:rPr>
              <w:t>kształcenia na odległość</w:t>
            </w:r>
            <w:r w:rsidR="00E657FF">
              <w:rPr>
                <w:rFonts w:ascii="Calibri" w:hAnsi="Calibri"/>
                <w:b/>
                <w:color w:val="000000"/>
                <w:sz w:val="20"/>
              </w:rPr>
              <w:t>,</w:t>
            </w:r>
            <w:r w:rsidR="00AA3F2F" w:rsidRPr="00955473">
              <w:rPr>
                <w:rFonts w:ascii="Calibri" w:hAnsi="Calibri"/>
                <w:color w:val="000000"/>
                <w:sz w:val="20"/>
              </w:rPr>
              <w:t xml:space="preserve"> celem zwiększenia możl</w:t>
            </w:r>
            <w:r w:rsidR="003C3838">
              <w:rPr>
                <w:rFonts w:ascii="Calibri" w:hAnsi="Calibri"/>
                <w:color w:val="000000"/>
                <w:sz w:val="20"/>
              </w:rPr>
              <w:t>iwości udziału osób dorosłych w </w:t>
            </w:r>
            <w:r w:rsidR="00AA3F2F" w:rsidRPr="00955473">
              <w:rPr>
                <w:rFonts w:ascii="Calibri" w:hAnsi="Calibri"/>
                <w:color w:val="000000"/>
                <w:sz w:val="20"/>
              </w:rPr>
              <w:t>uzupełnieniu wykształcenia, zdobyciu kwalifikacji zawodowych lub przekwalifikowaniu się</w:t>
            </w:r>
            <w:r w:rsidR="00AA3F2F">
              <w:rPr>
                <w:rFonts w:ascii="Calibri" w:hAnsi="Calibri"/>
                <w:color w:val="000000"/>
                <w:sz w:val="20"/>
              </w:rPr>
              <w:t>.</w:t>
            </w:r>
            <w:r w:rsidR="00825C93">
              <w:rPr>
                <w:rFonts w:ascii="Calibri" w:hAnsi="Calibri"/>
                <w:color w:val="000000"/>
                <w:sz w:val="20"/>
              </w:rPr>
              <w:t xml:space="preserve"> Właściwa, możliwie efektywna</w:t>
            </w:r>
            <w:r w:rsidR="00AA3F2F">
              <w:rPr>
                <w:rFonts w:ascii="Calibri" w:hAnsi="Calibri"/>
                <w:color w:val="000000"/>
                <w:sz w:val="20"/>
              </w:rPr>
              <w:t xml:space="preserve"> </w:t>
            </w:r>
            <w:r w:rsidR="00825C93">
              <w:rPr>
                <w:rFonts w:ascii="Calibri" w:hAnsi="Calibri"/>
                <w:color w:val="000000"/>
                <w:sz w:val="20"/>
              </w:rPr>
              <w:t>r</w:t>
            </w:r>
            <w:r w:rsidR="00AA3F2F">
              <w:rPr>
                <w:rFonts w:ascii="Calibri" w:hAnsi="Calibri"/>
                <w:color w:val="000000"/>
                <w:sz w:val="20"/>
              </w:rPr>
              <w:t>e</w:t>
            </w:r>
            <w:r w:rsidR="00E12C39">
              <w:rPr>
                <w:rFonts w:ascii="Calibri" w:hAnsi="Calibri"/>
                <w:color w:val="000000"/>
                <w:sz w:val="20"/>
              </w:rPr>
              <w:t>alizacja tego zadania wiązałaby</w:t>
            </w:r>
            <w:r w:rsidR="00D8107E">
              <w:rPr>
                <w:rFonts w:ascii="Calibri" w:hAnsi="Calibri"/>
                <w:color w:val="000000"/>
                <w:sz w:val="20"/>
              </w:rPr>
              <w:t xml:space="preserve"> się</w:t>
            </w:r>
            <w:r w:rsidR="003C3838">
              <w:rPr>
                <w:rFonts w:ascii="Calibri" w:hAnsi="Calibri"/>
                <w:color w:val="000000"/>
                <w:sz w:val="20"/>
              </w:rPr>
              <w:t xml:space="preserve"> także z </w:t>
            </w:r>
            <w:r w:rsidR="00AA3F2F">
              <w:rPr>
                <w:rFonts w:ascii="Calibri" w:hAnsi="Calibri"/>
                <w:color w:val="000000"/>
                <w:sz w:val="20"/>
              </w:rPr>
              <w:t>odpowiednim p</w:t>
            </w:r>
            <w:r w:rsidR="00AA3F2F" w:rsidRPr="00955473">
              <w:rPr>
                <w:rFonts w:ascii="Calibri" w:hAnsi="Calibri"/>
                <w:color w:val="000000"/>
                <w:sz w:val="20"/>
              </w:rPr>
              <w:t>rzygotowanie</w:t>
            </w:r>
            <w:r w:rsidR="00AA3F2F">
              <w:rPr>
                <w:rFonts w:ascii="Calibri" w:hAnsi="Calibri"/>
                <w:color w:val="000000"/>
                <w:sz w:val="20"/>
              </w:rPr>
              <w:t>m</w:t>
            </w:r>
            <w:r w:rsidR="00AA3F2F" w:rsidRPr="00955473">
              <w:rPr>
                <w:rFonts w:ascii="Calibri" w:hAnsi="Calibri"/>
                <w:color w:val="000000"/>
                <w:sz w:val="20"/>
              </w:rPr>
              <w:t xml:space="preserve"> kadry dydaktycznej do </w:t>
            </w:r>
            <w:r w:rsidR="00C410A1">
              <w:rPr>
                <w:rFonts w:ascii="Calibri" w:hAnsi="Calibri"/>
                <w:color w:val="000000"/>
                <w:sz w:val="20"/>
              </w:rPr>
              <w:t xml:space="preserve">wykorzystywania nowoczesnych technologii w procesie dydaktycznym, w tym </w:t>
            </w:r>
            <w:r w:rsidR="00825C93">
              <w:rPr>
                <w:rFonts w:ascii="Calibri" w:hAnsi="Calibri"/>
                <w:color w:val="000000"/>
                <w:sz w:val="20"/>
              </w:rPr>
              <w:t xml:space="preserve">zwłaszcza </w:t>
            </w:r>
            <w:r w:rsidR="00C410A1">
              <w:rPr>
                <w:rFonts w:ascii="Calibri" w:hAnsi="Calibri"/>
                <w:color w:val="000000"/>
                <w:sz w:val="20"/>
              </w:rPr>
              <w:t>do nauczania e</w:t>
            </w:r>
            <w:r w:rsidR="00C410A1">
              <w:rPr>
                <w:rFonts w:ascii="Calibri" w:hAnsi="Calibri"/>
                <w:color w:val="000000"/>
                <w:sz w:val="20"/>
              </w:rPr>
              <w:noBreakHyphen/>
              <w:t>learningowego.</w:t>
            </w:r>
            <w:r w:rsidR="00AA3F2F">
              <w:rPr>
                <w:rFonts w:ascii="Calibri" w:hAnsi="Calibri"/>
                <w:color w:val="000000"/>
                <w:sz w:val="20"/>
              </w:rPr>
              <w:t xml:space="preserve"> </w:t>
            </w:r>
          </w:p>
          <w:p w:rsidR="00825C93" w:rsidRDefault="00825C93" w:rsidP="00402CDD">
            <w:pPr>
              <w:spacing w:line="240" w:lineRule="auto"/>
              <w:rPr>
                <w:rFonts w:ascii="Calibri" w:hAnsi="Calibri"/>
                <w:color w:val="000000"/>
                <w:sz w:val="20"/>
              </w:rPr>
            </w:pPr>
          </w:p>
          <w:p w:rsidR="00AA3F2F" w:rsidRDefault="00AA3F2F" w:rsidP="00C83EB2">
            <w:pPr>
              <w:spacing w:line="240" w:lineRule="auto"/>
              <w:rPr>
                <w:rFonts w:ascii="Calibri" w:hAnsi="Calibri"/>
                <w:color w:val="000000"/>
                <w:sz w:val="20"/>
              </w:rPr>
            </w:pPr>
            <w:r>
              <w:rPr>
                <w:rFonts w:ascii="Calibri" w:hAnsi="Calibri"/>
                <w:color w:val="000000"/>
                <w:sz w:val="20"/>
              </w:rPr>
              <w:t xml:space="preserve">Ponadto </w:t>
            </w:r>
            <w:r w:rsidR="00C83EB2">
              <w:rPr>
                <w:rFonts w:ascii="Calibri" w:hAnsi="Calibri"/>
                <w:color w:val="000000"/>
                <w:sz w:val="20"/>
              </w:rPr>
              <w:t>należy wspierać</w:t>
            </w:r>
            <w:r>
              <w:rPr>
                <w:rFonts w:ascii="Calibri" w:hAnsi="Calibri"/>
                <w:color w:val="000000"/>
                <w:sz w:val="20"/>
              </w:rPr>
              <w:t xml:space="preserve"> </w:t>
            </w:r>
            <w:r w:rsidRPr="001A61D5">
              <w:rPr>
                <w:rFonts w:ascii="Calibri" w:hAnsi="Calibri"/>
                <w:b/>
                <w:color w:val="000000"/>
                <w:sz w:val="20"/>
              </w:rPr>
              <w:t>programy pr</w:t>
            </w:r>
            <w:r w:rsidR="00E12C39" w:rsidRPr="001A61D5">
              <w:rPr>
                <w:rFonts w:ascii="Calibri" w:hAnsi="Calibri"/>
                <w:b/>
                <w:color w:val="000000"/>
                <w:sz w:val="20"/>
              </w:rPr>
              <w:t>aktyk i staży</w:t>
            </w:r>
            <w:r w:rsidR="00E12C39">
              <w:rPr>
                <w:rFonts w:ascii="Calibri" w:hAnsi="Calibri"/>
                <w:color w:val="000000"/>
                <w:sz w:val="20"/>
              </w:rPr>
              <w:t>, aby</w:t>
            </w:r>
            <w:r w:rsidR="003C3838">
              <w:rPr>
                <w:rFonts w:ascii="Calibri" w:hAnsi="Calibri"/>
                <w:color w:val="000000"/>
                <w:sz w:val="20"/>
              </w:rPr>
              <w:t xml:space="preserve"> umożliwić</w:t>
            </w:r>
            <w:r w:rsidR="00E12C39">
              <w:rPr>
                <w:rFonts w:ascii="Calibri" w:hAnsi="Calibri"/>
                <w:color w:val="000000"/>
                <w:sz w:val="20"/>
              </w:rPr>
              <w:t xml:space="preserve"> pracodawc</w:t>
            </w:r>
            <w:r w:rsidR="003C3838">
              <w:rPr>
                <w:rFonts w:ascii="Calibri" w:hAnsi="Calibri"/>
                <w:color w:val="000000"/>
                <w:sz w:val="20"/>
              </w:rPr>
              <w:t>y</w:t>
            </w:r>
            <w:r w:rsidR="00E12C39">
              <w:rPr>
                <w:rFonts w:ascii="Calibri" w:hAnsi="Calibri"/>
                <w:color w:val="000000"/>
                <w:sz w:val="20"/>
              </w:rPr>
              <w:t xml:space="preserve"> </w:t>
            </w:r>
            <w:r w:rsidR="003C3838">
              <w:rPr>
                <w:rFonts w:ascii="Calibri" w:hAnsi="Calibri"/>
                <w:color w:val="000000"/>
                <w:sz w:val="20"/>
              </w:rPr>
              <w:t>weryfikację</w:t>
            </w:r>
            <w:r w:rsidR="00E12C39">
              <w:rPr>
                <w:rFonts w:ascii="Calibri" w:hAnsi="Calibri"/>
                <w:color w:val="000000"/>
                <w:sz w:val="20"/>
              </w:rPr>
              <w:t xml:space="preserve"> umiejętności potencjalnego pracownika</w:t>
            </w:r>
            <w:r w:rsidR="003C3838">
              <w:rPr>
                <w:rFonts w:ascii="Calibri" w:hAnsi="Calibri"/>
                <w:color w:val="000000"/>
                <w:sz w:val="20"/>
              </w:rPr>
              <w:t xml:space="preserve"> w praktyce</w:t>
            </w:r>
            <w:r w:rsidR="00E12C39">
              <w:rPr>
                <w:rFonts w:ascii="Calibri" w:hAnsi="Calibri"/>
                <w:color w:val="000000"/>
                <w:sz w:val="20"/>
              </w:rPr>
              <w:t xml:space="preserve">, a </w:t>
            </w:r>
            <w:r w:rsidR="003C3838">
              <w:rPr>
                <w:rFonts w:ascii="Calibri" w:hAnsi="Calibri"/>
                <w:color w:val="000000"/>
                <w:sz w:val="20"/>
              </w:rPr>
              <w:t>osobie</w:t>
            </w:r>
            <w:r w:rsidR="00E12C39">
              <w:rPr>
                <w:rFonts w:ascii="Calibri" w:hAnsi="Calibri"/>
                <w:color w:val="000000"/>
                <w:sz w:val="20"/>
              </w:rPr>
              <w:t xml:space="preserve"> </w:t>
            </w:r>
            <w:r w:rsidR="003C3838">
              <w:rPr>
                <w:rFonts w:ascii="Calibri" w:hAnsi="Calibri"/>
                <w:color w:val="000000"/>
                <w:sz w:val="20"/>
              </w:rPr>
              <w:t>zainteresowanej</w:t>
            </w:r>
            <w:r w:rsidR="00E12C39">
              <w:rPr>
                <w:rFonts w:ascii="Calibri" w:hAnsi="Calibri"/>
                <w:color w:val="000000"/>
                <w:sz w:val="20"/>
              </w:rPr>
              <w:t xml:space="preserve"> podjęciem zatrudnienia </w:t>
            </w:r>
            <w:r w:rsidR="003C3838">
              <w:rPr>
                <w:rFonts w:ascii="Calibri" w:hAnsi="Calibri"/>
                <w:color w:val="000000"/>
                <w:sz w:val="20"/>
              </w:rPr>
              <w:t>dać możliwość zaznajomienia się ze specyfiką stanowiska oraz</w:t>
            </w:r>
            <w:r w:rsidR="00E12C39">
              <w:rPr>
                <w:rFonts w:ascii="Calibri" w:hAnsi="Calibri"/>
                <w:color w:val="000000"/>
                <w:sz w:val="20"/>
              </w:rPr>
              <w:t xml:space="preserve"> danego zakładu pracy, </w:t>
            </w:r>
            <w:r w:rsidR="003C3838">
              <w:rPr>
                <w:rFonts w:ascii="Calibri" w:hAnsi="Calibri"/>
                <w:color w:val="000000"/>
                <w:sz w:val="20"/>
              </w:rPr>
              <w:t xml:space="preserve">a także zdobycia </w:t>
            </w:r>
            <w:r w:rsidR="00E12C39">
              <w:rPr>
                <w:rFonts w:ascii="Calibri" w:hAnsi="Calibri"/>
                <w:color w:val="000000"/>
                <w:sz w:val="20"/>
              </w:rPr>
              <w:t>cenne</w:t>
            </w:r>
            <w:r w:rsidR="003C3838">
              <w:rPr>
                <w:rFonts w:ascii="Calibri" w:hAnsi="Calibri"/>
                <w:color w:val="000000"/>
                <w:sz w:val="20"/>
              </w:rPr>
              <w:t>go doświadczenia</w:t>
            </w:r>
            <w:r w:rsidR="00E12C39">
              <w:rPr>
                <w:rFonts w:ascii="Calibri" w:hAnsi="Calibri"/>
                <w:color w:val="000000"/>
                <w:sz w:val="20"/>
              </w:rPr>
              <w:t xml:space="preserve"> zawodowe</w:t>
            </w:r>
            <w:r w:rsidR="003C3838">
              <w:rPr>
                <w:rFonts w:ascii="Calibri" w:hAnsi="Calibri"/>
                <w:color w:val="000000"/>
                <w:sz w:val="20"/>
              </w:rPr>
              <w:t>go</w:t>
            </w:r>
            <w:r>
              <w:rPr>
                <w:rFonts w:ascii="Calibri" w:hAnsi="Calibri"/>
                <w:color w:val="000000"/>
                <w:sz w:val="20"/>
              </w:rPr>
              <w:t>.</w:t>
            </w:r>
          </w:p>
          <w:p w:rsidR="007178DA" w:rsidRDefault="007178DA" w:rsidP="00C83EB2">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głównymi będą:</w:t>
            </w:r>
          </w:p>
          <w:p w:rsidR="009F2099" w:rsidRPr="0043551F" w:rsidRDefault="00B738E4" w:rsidP="0062416A">
            <w:pPr>
              <w:numPr>
                <w:ilvl w:val="0"/>
                <w:numId w:val="89"/>
              </w:numPr>
              <w:spacing w:line="240" w:lineRule="auto"/>
              <w:rPr>
                <w:rFonts w:ascii="Calibri" w:hAnsi="Calibri"/>
                <w:color w:val="000000"/>
                <w:sz w:val="20"/>
              </w:rPr>
            </w:pPr>
            <w:r w:rsidRPr="0043551F">
              <w:rPr>
                <w:rFonts w:ascii="Calibri" w:hAnsi="Calibri"/>
                <w:b/>
                <w:bCs/>
                <w:color w:val="000000"/>
                <w:sz w:val="20"/>
              </w:rPr>
              <w:t>Poszerzenie oferty kursów zawodowych świadczonych przez szkoły zawodowe;</w:t>
            </w:r>
          </w:p>
          <w:p w:rsidR="009F2099" w:rsidRPr="0043551F" w:rsidRDefault="00B738E4" w:rsidP="0062416A">
            <w:pPr>
              <w:numPr>
                <w:ilvl w:val="0"/>
                <w:numId w:val="89"/>
              </w:numPr>
              <w:spacing w:line="240" w:lineRule="auto"/>
              <w:rPr>
                <w:rFonts w:ascii="Calibri" w:hAnsi="Calibri"/>
                <w:color w:val="000000"/>
                <w:sz w:val="20"/>
              </w:rPr>
            </w:pPr>
            <w:r w:rsidRPr="0043551F">
              <w:rPr>
                <w:rFonts w:ascii="Calibri" w:hAnsi="Calibri"/>
                <w:b/>
                <w:bCs/>
                <w:color w:val="000000"/>
                <w:sz w:val="20"/>
              </w:rPr>
              <w:t>Wprowadzenie systemu kształcenia na odległość;</w:t>
            </w:r>
          </w:p>
          <w:p w:rsidR="0043551F" w:rsidRPr="0043551F" w:rsidRDefault="00B738E4" w:rsidP="0062416A">
            <w:pPr>
              <w:numPr>
                <w:ilvl w:val="0"/>
                <w:numId w:val="89"/>
              </w:numPr>
              <w:spacing w:line="240" w:lineRule="auto"/>
              <w:rPr>
                <w:rFonts w:ascii="Calibri" w:hAnsi="Calibri"/>
                <w:color w:val="000000"/>
                <w:sz w:val="20"/>
              </w:rPr>
            </w:pPr>
            <w:r w:rsidRPr="0043551F">
              <w:rPr>
                <w:rFonts w:ascii="Calibri" w:hAnsi="Calibri"/>
                <w:b/>
                <w:bCs/>
                <w:color w:val="000000"/>
                <w:sz w:val="20"/>
              </w:rPr>
              <w:t>Wdrożenie systemu szkoleń dla nauczycieli w ramach przygotowania kadry d</w:t>
            </w:r>
            <w:r w:rsidR="0043551F">
              <w:rPr>
                <w:rFonts w:ascii="Calibri" w:hAnsi="Calibri"/>
                <w:b/>
                <w:bCs/>
                <w:color w:val="000000"/>
                <w:sz w:val="20"/>
              </w:rPr>
              <w:t>ydaktycznej do nauczania, w tym e</w:t>
            </w:r>
            <w:r w:rsidR="0043551F">
              <w:rPr>
                <w:rFonts w:ascii="Calibri" w:hAnsi="Calibri"/>
                <w:b/>
                <w:bCs/>
                <w:color w:val="000000"/>
                <w:sz w:val="20"/>
              </w:rPr>
              <w:noBreakHyphen/>
            </w:r>
            <w:r w:rsidR="0043551F" w:rsidRPr="0043551F">
              <w:rPr>
                <w:rFonts w:ascii="Calibri" w:hAnsi="Calibri"/>
                <w:b/>
                <w:bCs/>
                <w:color w:val="000000"/>
                <w:sz w:val="20"/>
              </w:rPr>
              <w:t>learningowego;</w:t>
            </w:r>
          </w:p>
          <w:p w:rsidR="009F2099" w:rsidRPr="0043551F" w:rsidRDefault="00B738E4" w:rsidP="0062416A">
            <w:pPr>
              <w:numPr>
                <w:ilvl w:val="0"/>
                <w:numId w:val="90"/>
              </w:numPr>
              <w:spacing w:line="240" w:lineRule="auto"/>
              <w:rPr>
                <w:rFonts w:ascii="Calibri" w:hAnsi="Calibri"/>
                <w:color w:val="000000"/>
                <w:sz w:val="20"/>
              </w:rPr>
            </w:pPr>
            <w:r w:rsidRPr="0043551F">
              <w:rPr>
                <w:rFonts w:ascii="Calibri" w:hAnsi="Calibri"/>
                <w:b/>
                <w:bCs/>
                <w:color w:val="000000"/>
                <w:sz w:val="20"/>
              </w:rPr>
              <w:t>Programy praktyk i staży, np. „Wykorzystaj szansę. Zdobądź zatrudnienie”;</w:t>
            </w:r>
          </w:p>
          <w:p w:rsidR="009F2099" w:rsidRPr="0043551F" w:rsidRDefault="00B738E4" w:rsidP="0062416A">
            <w:pPr>
              <w:numPr>
                <w:ilvl w:val="0"/>
                <w:numId w:val="90"/>
              </w:numPr>
              <w:spacing w:line="240" w:lineRule="auto"/>
              <w:rPr>
                <w:rFonts w:ascii="Calibri" w:hAnsi="Calibri"/>
                <w:color w:val="000000"/>
                <w:sz w:val="20"/>
              </w:rPr>
            </w:pPr>
            <w:r w:rsidRPr="0043551F">
              <w:rPr>
                <w:rFonts w:ascii="Calibri" w:hAnsi="Calibri"/>
                <w:b/>
                <w:bCs/>
                <w:color w:val="000000"/>
                <w:sz w:val="20"/>
              </w:rPr>
              <w:t>Promocja miasta, które uczy nowych umiejętności zawodowych;</w:t>
            </w:r>
          </w:p>
          <w:p w:rsidR="00570A65" w:rsidRDefault="00570A65" w:rsidP="00570A65">
            <w:pPr>
              <w:spacing w:line="240" w:lineRule="auto"/>
              <w:rPr>
                <w:rFonts w:ascii="Calibri" w:hAnsi="Calibri"/>
                <w:color w:val="000000"/>
                <w:sz w:val="20"/>
              </w:rPr>
            </w:pPr>
          </w:p>
          <w:p w:rsidR="0010032B" w:rsidRPr="00570A65" w:rsidRDefault="00570A65" w:rsidP="0010032B">
            <w:pPr>
              <w:spacing w:line="240" w:lineRule="auto"/>
              <w:rPr>
                <w:rFonts w:ascii="Calibri" w:hAnsi="Calibri"/>
                <w:color w:val="000000"/>
                <w:sz w:val="20"/>
              </w:rPr>
            </w:pPr>
            <w:r>
              <w:rPr>
                <w:rFonts w:ascii="Calibri" w:hAnsi="Calibri"/>
                <w:color w:val="000000"/>
                <w:sz w:val="20"/>
              </w:rPr>
              <w:t xml:space="preserve">Źródłami finansowania działań w ramach celu II.4 będą środki własne budżetu miasta, </w:t>
            </w:r>
            <w:r w:rsidR="00F967A4">
              <w:rPr>
                <w:rFonts w:ascii="Calibri" w:hAnsi="Calibri"/>
                <w:color w:val="000000"/>
                <w:sz w:val="20"/>
              </w:rPr>
              <w:t>środki Powiatowego Urzędu Pracy oraz</w:t>
            </w:r>
            <w:r>
              <w:rPr>
                <w:rFonts w:ascii="Calibri" w:hAnsi="Calibri"/>
                <w:color w:val="000000"/>
                <w:sz w:val="20"/>
              </w:rPr>
              <w:t xml:space="preserve"> fundusze zewnętrzne (Program </w:t>
            </w:r>
            <w:r w:rsidR="00AA36E1">
              <w:rPr>
                <w:rFonts w:ascii="Calibri" w:hAnsi="Calibri"/>
                <w:color w:val="000000"/>
                <w:sz w:val="20"/>
              </w:rPr>
              <w:t>Operacyjny Wiedza Edukacja Rozwój, Program Operacyjny Polska Cyfrowa,</w:t>
            </w:r>
            <w:r>
              <w:rPr>
                <w:rFonts w:ascii="Calibri" w:hAnsi="Calibri"/>
                <w:color w:val="000000"/>
                <w:sz w:val="20"/>
              </w:rPr>
              <w:t xml:space="preserve"> </w:t>
            </w:r>
            <w:r w:rsidR="00AA36E1">
              <w:rPr>
                <w:rFonts w:ascii="Calibri" w:hAnsi="Calibri"/>
                <w:color w:val="000000"/>
                <w:sz w:val="20"/>
              </w:rPr>
              <w:t>Regionalny Program Operacyjny</w:t>
            </w:r>
            <w:r w:rsidR="006308E8">
              <w:rPr>
                <w:rFonts w:ascii="Calibri" w:hAnsi="Calibri"/>
                <w:color w:val="000000"/>
                <w:sz w:val="20"/>
              </w:rPr>
              <w:t xml:space="preserve"> dla Województwa Dolnośląskiego</w:t>
            </w:r>
            <w:r>
              <w:rPr>
                <w:rFonts w:ascii="Calibri" w:hAnsi="Calibri"/>
                <w:color w:val="000000"/>
                <w:sz w:val="20"/>
              </w:rPr>
              <w:t>).</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FE0E55" w:rsidTr="009855D9">
        <w:trPr>
          <w:trHeight w:val="113"/>
        </w:trPr>
        <w:tc>
          <w:tcPr>
            <w:tcW w:w="9067" w:type="dxa"/>
            <w:gridSpan w:val="2"/>
            <w:tcBorders>
              <w:left w:val="nil"/>
              <w:right w:val="nil"/>
            </w:tcBorders>
            <w:shd w:val="clear" w:color="auto" w:fill="FFFFFF" w:themeFill="background1"/>
          </w:tcPr>
          <w:p w:rsidR="00FE0E55" w:rsidRPr="00F51613" w:rsidRDefault="00FE0E55" w:rsidP="00841C5B">
            <w:pPr>
              <w:rPr>
                <w:rFonts w:ascii="Calibri" w:hAnsi="Calibri"/>
                <w:color w:val="000000"/>
                <w:sz w:val="6"/>
                <w:szCs w:val="16"/>
              </w:rPr>
            </w:pPr>
          </w:p>
        </w:tc>
      </w:tr>
      <w:tr w:rsidR="00FE0E55"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FE0E55" w:rsidRPr="009E2F38" w:rsidRDefault="00FE0E55" w:rsidP="00B73014">
            <w:pPr>
              <w:jc w:val="center"/>
              <w:rPr>
                <w:rFonts w:ascii="Calibri" w:hAnsi="Calibri"/>
                <w:b/>
                <w:color w:val="000000"/>
                <w:sz w:val="20"/>
              </w:rPr>
            </w:pPr>
            <w:r w:rsidRPr="009E2F38">
              <w:rPr>
                <w:rFonts w:ascii="Calibri" w:hAnsi="Calibri"/>
                <w:b/>
                <w:color w:val="FFFFFF" w:themeColor="background1"/>
                <w:sz w:val="22"/>
              </w:rPr>
              <w:t>Wskaźniki rezultatu dla Celu operacyjnego II.4</w:t>
            </w:r>
          </w:p>
        </w:tc>
      </w:tr>
      <w:tr w:rsidR="00FE0E55"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9855D9" w:rsidRPr="009855D9" w:rsidRDefault="009855D9" w:rsidP="009855D9">
            <w:pPr>
              <w:pStyle w:val="Default"/>
              <w:numPr>
                <w:ilvl w:val="0"/>
                <w:numId w:val="62"/>
              </w:numPr>
              <w:rPr>
                <w:rFonts w:ascii="Calibri" w:hAnsi="Calibri"/>
                <w:b/>
                <w:sz w:val="20"/>
              </w:rPr>
            </w:pPr>
            <w:r w:rsidRPr="009855D9">
              <w:rPr>
                <w:rFonts w:ascii="Calibri" w:hAnsi="Calibri"/>
                <w:b/>
                <w:sz w:val="20"/>
              </w:rPr>
              <w:t>Liczba osób podnoszących kwalifikacje w ramach edukacji ustawicznej</w:t>
            </w:r>
            <w:r>
              <w:rPr>
                <w:rFonts w:ascii="Calibri" w:hAnsi="Calibri"/>
                <w:b/>
                <w:sz w:val="20"/>
              </w:rPr>
              <w:t>;</w:t>
            </w:r>
          </w:p>
          <w:p w:rsidR="0004045C" w:rsidRPr="0004045C" w:rsidRDefault="009855D9" w:rsidP="009855D9">
            <w:pPr>
              <w:pStyle w:val="Default"/>
              <w:numPr>
                <w:ilvl w:val="0"/>
                <w:numId w:val="62"/>
              </w:numPr>
              <w:jc w:val="both"/>
              <w:rPr>
                <w:rFonts w:ascii="Calibri" w:hAnsi="Calibri"/>
                <w:b/>
                <w:sz w:val="20"/>
              </w:rPr>
            </w:pPr>
            <w:r w:rsidRPr="009855D9">
              <w:rPr>
                <w:rFonts w:ascii="Calibri" w:hAnsi="Calibri"/>
                <w:b/>
                <w:sz w:val="20"/>
              </w:rPr>
              <w:t>Liczba osób dorosłych, objętych wsparciem w programie z zakresu rozwoju kwalifikacji i</w:t>
            </w:r>
            <w:r>
              <w:rPr>
                <w:rFonts w:ascii="Calibri" w:hAnsi="Calibri"/>
                <w:b/>
                <w:sz w:val="20"/>
              </w:rPr>
              <w:t> </w:t>
            </w:r>
            <w:r w:rsidRPr="009855D9">
              <w:rPr>
                <w:rFonts w:ascii="Calibri" w:hAnsi="Calibri"/>
                <w:b/>
                <w:sz w:val="20"/>
              </w:rPr>
              <w:t>umiejętności zawodowych</w:t>
            </w:r>
            <w:r>
              <w:rPr>
                <w:rFonts w:ascii="Calibri" w:hAnsi="Calibri"/>
                <w:b/>
                <w:sz w:val="20"/>
              </w:rPr>
              <w:t>;</w:t>
            </w:r>
          </w:p>
        </w:tc>
      </w:tr>
      <w:tr w:rsidR="00F51613" w:rsidTr="009855D9">
        <w:trPr>
          <w:trHeight w:val="113"/>
        </w:trPr>
        <w:tc>
          <w:tcPr>
            <w:tcW w:w="9067" w:type="dxa"/>
            <w:gridSpan w:val="2"/>
            <w:tcBorders>
              <w:left w:val="nil"/>
              <w:right w:val="nil"/>
            </w:tcBorders>
            <w:shd w:val="clear" w:color="auto" w:fill="FFFFFF" w:themeFill="background1"/>
          </w:tcPr>
          <w:p w:rsidR="00F51613" w:rsidRPr="00F51613" w:rsidRDefault="00F51613" w:rsidP="00841C5B">
            <w:pPr>
              <w:rPr>
                <w:rFonts w:ascii="Calibri" w:hAnsi="Calibri"/>
                <w:color w:val="000000"/>
                <w:sz w:val="6"/>
                <w:szCs w:val="16"/>
              </w:rPr>
            </w:pPr>
          </w:p>
        </w:tc>
      </w:tr>
      <w:tr w:rsidR="00D36034" w:rsidTr="009855D9">
        <w:trPr>
          <w:trHeight w:val="150"/>
        </w:trPr>
        <w:tc>
          <w:tcPr>
            <w:tcW w:w="2553" w:type="dxa"/>
            <w:tcBorders>
              <w:right w:val="single" w:sz="4" w:space="0" w:color="auto"/>
            </w:tcBorders>
            <w:shd w:val="clear" w:color="auto" w:fill="C9C9C9" w:themeFill="accent3"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t>Cel operacyjny II.5 - Rozwój infrastruktury usług kultury</w:t>
            </w:r>
            <w:r w:rsidR="0043551F">
              <w:rPr>
                <w:rFonts w:asciiTheme="minorHAnsi" w:hAnsiTheme="minorHAnsi"/>
                <w:b/>
                <w:bCs/>
                <w:sz w:val="22"/>
              </w:rPr>
              <w:t>, turystyki</w:t>
            </w:r>
            <w:r w:rsidRPr="00A45758">
              <w:rPr>
                <w:rFonts w:asciiTheme="minorHAnsi" w:hAnsiTheme="minorHAnsi"/>
                <w:b/>
                <w:bCs/>
                <w:sz w:val="22"/>
              </w:rPr>
              <w:t xml:space="preserve"> i </w:t>
            </w:r>
            <w:r w:rsidRPr="00A45758">
              <w:rPr>
                <w:rFonts w:asciiTheme="minorHAnsi" w:hAnsiTheme="minorHAnsi"/>
                <w:b/>
                <w:bCs/>
                <w:sz w:val="22"/>
              </w:rPr>
              <w:lastRenderedPageBreak/>
              <w:t>sportu o znaczeniu ponadlokalnym</w:t>
            </w:r>
          </w:p>
          <w:p w:rsidR="00D36034" w:rsidRPr="00A45758" w:rsidRDefault="00D36034" w:rsidP="00841C5B">
            <w:pPr>
              <w:rPr>
                <w:rFonts w:asciiTheme="minorHAnsi" w:hAnsiTheme="minorHAnsi"/>
                <w:sz w:val="22"/>
              </w:rPr>
            </w:pPr>
          </w:p>
        </w:tc>
        <w:tc>
          <w:tcPr>
            <w:tcW w:w="651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031B69" w:rsidRDefault="00031B69" w:rsidP="00C346D5">
            <w:pPr>
              <w:spacing w:line="240" w:lineRule="auto"/>
              <w:rPr>
                <w:rFonts w:ascii="Calibri" w:hAnsi="Calibri"/>
                <w:color w:val="000000"/>
                <w:sz w:val="20"/>
              </w:rPr>
            </w:pPr>
            <w:r>
              <w:rPr>
                <w:rFonts w:ascii="Calibri" w:hAnsi="Calibri"/>
                <w:color w:val="000000"/>
                <w:sz w:val="20"/>
              </w:rPr>
              <w:lastRenderedPageBreak/>
              <w:t xml:space="preserve">Legnica dzięki </w:t>
            </w:r>
            <w:r w:rsidR="00035313">
              <w:rPr>
                <w:rFonts w:ascii="Calibri" w:hAnsi="Calibri"/>
                <w:color w:val="000000"/>
                <w:sz w:val="20"/>
              </w:rPr>
              <w:t>posiadanej</w:t>
            </w:r>
            <w:r>
              <w:rPr>
                <w:rFonts w:ascii="Calibri" w:hAnsi="Calibri"/>
                <w:color w:val="000000"/>
                <w:sz w:val="20"/>
              </w:rPr>
              <w:t xml:space="preserve"> infrastrukturze, a</w:t>
            </w:r>
            <w:r w:rsidR="00610A63">
              <w:rPr>
                <w:rFonts w:ascii="Calibri" w:hAnsi="Calibri"/>
                <w:color w:val="000000"/>
                <w:sz w:val="20"/>
              </w:rPr>
              <w:t xml:space="preserve"> także bogatemu doświadczeniu w </w:t>
            </w:r>
            <w:r>
              <w:rPr>
                <w:rFonts w:ascii="Calibri" w:hAnsi="Calibri"/>
                <w:color w:val="000000"/>
                <w:sz w:val="20"/>
              </w:rPr>
              <w:t xml:space="preserve">organizacji licznych wydarzeń o zasięgu regionalnym, ogólnopolskim, a także międzynarodowym </w:t>
            </w:r>
            <w:r w:rsidR="00035313">
              <w:rPr>
                <w:rFonts w:ascii="Calibri" w:hAnsi="Calibri"/>
                <w:color w:val="000000"/>
                <w:sz w:val="20"/>
              </w:rPr>
              <w:t>stanowi ponadlokalny</w:t>
            </w:r>
            <w:r>
              <w:rPr>
                <w:rFonts w:ascii="Calibri" w:hAnsi="Calibri"/>
                <w:color w:val="000000"/>
                <w:sz w:val="20"/>
              </w:rPr>
              <w:t xml:space="preserve"> ośrodek życia kultur</w:t>
            </w:r>
            <w:r w:rsidR="00035313">
              <w:rPr>
                <w:rFonts w:ascii="Calibri" w:hAnsi="Calibri"/>
                <w:color w:val="000000"/>
                <w:sz w:val="20"/>
              </w:rPr>
              <w:t xml:space="preserve">alnego i sportowego. Z legnickich usług kultury i sportu korzystają nie tylko </w:t>
            </w:r>
            <w:r w:rsidR="00035313">
              <w:rPr>
                <w:rFonts w:ascii="Calibri" w:hAnsi="Calibri"/>
                <w:color w:val="000000"/>
                <w:sz w:val="20"/>
              </w:rPr>
              <w:lastRenderedPageBreak/>
              <w:t xml:space="preserve">mieszkańcy LGOF, ale także innych gmin województw dolnośląskiego i lubuskiego. Rozwój  świadczonych usług kultury, sportu i rekreacji, a także organizacji wydarzeń i imprez masowych o ponadlokalnym charakterze jest wciąż ograniczony przez brak odpowiednio dostosowanych i wyposażonych obiektów. </w:t>
            </w:r>
          </w:p>
          <w:p w:rsidR="00031B69" w:rsidRDefault="00031B69" w:rsidP="00C346D5">
            <w:pPr>
              <w:spacing w:line="240" w:lineRule="auto"/>
              <w:rPr>
                <w:rFonts w:ascii="Calibri" w:hAnsi="Calibri"/>
                <w:color w:val="000000"/>
                <w:sz w:val="20"/>
              </w:rPr>
            </w:pPr>
          </w:p>
          <w:p w:rsidR="00D36034" w:rsidRDefault="00035313" w:rsidP="00C346D5">
            <w:pPr>
              <w:spacing w:line="240" w:lineRule="auto"/>
              <w:rPr>
                <w:rFonts w:ascii="Calibri" w:hAnsi="Calibri"/>
                <w:color w:val="000000"/>
                <w:sz w:val="20"/>
              </w:rPr>
            </w:pPr>
            <w:r>
              <w:rPr>
                <w:rFonts w:ascii="Calibri" w:hAnsi="Calibri"/>
                <w:color w:val="000000"/>
                <w:sz w:val="20"/>
              </w:rPr>
              <w:t>Dlatego też, w miarę możliwości finansowych, w nadchodzącej perspektywie</w:t>
            </w:r>
            <w:r w:rsidR="00C346D5">
              <w:rPr>
                <w:rFonts w:ascii="Calibri" w:hAnsi="Calibri"/>
                <w:color w:val="000000"/>
                <w:sz w:val="20"/>
              </w:rPr>
              <w:t xml:space="preserve"> miasto </w:t>
            </w:r>
            <w:r w:rsidR="00C83EB2">
              <w:rPr>
                <w:rFonts w:ascii="Calibri" w:hAnsi="Calibri"/>
                <w:color w:val="000000"/>
                <w:sz w:val="20"/>
              </w:rPr>
              <w:t xml:space="preserve">podejmie starania służące </w:t>
            </w:r>
            <w:r w:rsidR="00C83EB2" w:rsidRPr="001A61D5">
              <w:rPr>
                <w:rFonts w:ascii="Calibri" w:hAnsi="Calibri"/>
                <w:b/>
                <w:color w:val="000000"/>
                <w:sz w:val="20"/>
              </w:rPr>
              <w:t>doposażeniu, a także rewaloryzacji tych  obiektów</w:t>
            </w:r>
            <w:r w:rsidR="00C346D5" w:rsidRPr="001A61D5">
              <w:rPr>
                <w:rFonts w:ascii="Calibri" w:hAnsi="Calibri"/>
                <w:b/>
                <w:color w:val="000000"/>
                <w:sz w:val="20"/>
              </w:rPr>
              <w:t>, których wykorzystanie w sposób znaczący przysłuży się rozwojowi życi</w:t>
            </w:r>
            <w:r w:rsidR="00C83EB2" w:rsidRPr="001A61D5">
              <w:rPr>
                <w:rFonts w:ascii="Calibri" w:hAnsi="Calibri"/>
                <w:b/>
                <w:color w:val="000000"/>
                <w:sz w:val="20"/>
              </w:rPr>
              <w:t>a kulturalnego i artystycznego</w:t>
            </w:r>
            <w:r w:rsidR="00C83EB2">
              <w:rPr>
                <w:rFonts w:ascii="Calibri" w:hAnsi="Calibri"/>
                <w:color w:val="000000"/>
                <w:sz w:val="20"/>
              </w:rPr>
              <w:t xml:space="preserve"> w Legnicy, a także</w:t>
            </w:r>
            <w:r w:rsidR="00250268">
              <w:rPr>
                <w:rFonts w:ascii="Calibri" w:hAnsi="Calibri"/>
                <w:color w:val="000000"/>
                <w:sz w:val="20"/>
              </w:rPr>
              <w:t xml:space="preserve"> </w:t>
            </w:r>
            <w:r w:rsidR="00250268" w:rsidRPr="001A61D5">
              <w:rPr>
                <w:rFonts w:ascii="Calibri" w:hAnsi="Calibri"/>
                <w:b/>
                <w:color w:val="000000"/>
                <w:sz w:val="20"/>
              </w:rPr>
              <w:t>rozbudow</w:t>
            </w:r>
            <w:r w:rsidR="00C83EB2" w:rsidRPr="001A61D5">
              <w:rPr>
                <w:rFonts w:ascii="Calibri" w:hAnsi="Calibri"/>
                <w:b/>
                <w:color w:val="000000"/>
                <w:sz w:val="20"/>
              </w:rPr>
              <w:t>ie</w:t>
            </w:r>
            <w:r w:rsidR="00C346D5" w:rsidRPr="001A61D5">
              <w:rPr>
                <w:rFonts w:ascii="Calibri" w:hAnsi="Calibri"/>
                <w:b/>
                <w:color w:val="000000"/>
                <w:sz w:val="20"/>
              </w:rPr>
              <w:t xml:space="preserve"> istniejącej infrastruktury o nowe obiekty</w:t>
            </w:r>
            <w:r w:rsidR="00C346D5">
              <w:rPr>
                <w:rFonts w:ascii="Calibri" w:hAnsi="Calibri"/>
                <w:color w:val="000000"/>
                <w:sz w:val="20"/>
              </w:rPr>
              <w:t xml:space="preserve"> jak np: hala widowiskowo-sportowa, czy muszla koncertowa w Parku Miejskim, które poszerzą możliwości organizacji dużych wydarzeń artystycznych i sportowych, w</w:t>
            </w:r>
            <w:r w:rsidR="008C219A">
              <w:rPr>
                <w:rFonts w:ascii="Calibri" w:hAnsi="Calibri"/>
                <w:color w:val="000000"/>
                <w:sz w:val="20"/>
              </w:rPr>
              <w:t>pływając tym samym na prestiż i </w:t>
            </w:r>
            <w:r w:rsidR="00C346D5">
              <w:rPr>
                <w:rFonts w:ascii="Calibri" w:hAnsi="Calibri"/>
                <w:color w:val="000000"/>
                <w:sz w:val="20"/>
              </w:rPr>
              <w:t>promocję miasta.</w:t>
            </w:r>
          </w:p>
          <w:p w:rsidR="00C346D5" w:rsidRDefault="00C346D5" w:rsidP="00C346D5">
            <w:pPr>
              <w:spacing w:line="240" w:lineRule="auto"/>
              <w:jc w:val="left"/>
              <w:rPr>
                <w:rFonts w:ascii="Calibri" w:hAnsi="Calibri"/>
                <w:color w:val="000000"/>
                <w:sz w:val="20"/>
              </w:rPr>
            </w:pPr>
          </w:p>
          <w:p w:rsidR="00C346D5" w:rsidRDefault="00610A63" w:rsidP="00C83EB2">
            <w:pPr>
              <w:spacing w:line="240" w:lineRule="auto"/>
              <w:rPr>
                <w:rFonts w:ascii="Calibri" w:hAnsi="Calibri"/>
                <w:color w:val="000000"/>
                <w:sz w:val="20"/>
              </w:rPr>
            </w:pPr>
            <w:r>
              <w:rPr>
                <w:rFonts w:ascii="Calibri" w:hAnsi="Calibri"/>
                <w:color w:val="000000"/>
                <w:sz w:val="20"/>
              </w:rPr>
              <w:t xml:space="preserve">Kontynuowany </w:t>
            </w:r>
            <w:r w:rsidR="00C83EB2">
              <w:rPr>
                <w:rFonts w:ascii="Calibri" w:hAnsi="Calibri"/>
                <w:color w:val="000000"/>
                <w:sz w:val="20"/>
              </w:rPr>
              <w:t>będzie</w:t>
            </w:r>
            <w:r>
              <w:rPr>
                <w:rFonts w:ascii="Calibri" w:hAnsi="Calibri"/>
                <w:color w:val="000000"/>
                <w:sz w:val="20"/>
              </w:rPr>
              <w:t xml:space="preserve"> także </w:t>
            </w:r>
            <w:r w:rsidRPr="001A61D5">
              <w:rPr>
                <w:rFonts w:ascii="Calibri" w:hAnsi="Calibri"/>
                <w:b/>
                <w:color w:val="000000"/>
                <w:sz w:val="20"/>
              </w:rPr>
              <w:t>program modernizacji i rozbudowy obiektów sportowych</w:t>
            </w:r>
            <w:r>
              <w:rPr>
                <w:rFonts w:ascii="Calibri" w:hAnsi="Calibri"/>
                <w:color w:val="000000"/>
                <w:sz w:val="20"/>
              </w:rPr>
              <w:t>: istniejących hal sp</w:t>
            </w:r>
            <w:r w:rsidR="00250268">
              <w:rPr>
                <w:rFonts w:ascii="Calibri" w:hAnsi="Calibri"/>
                <w:color w:val="000000"/>
                <w:sz w:val="20"/>
              </w:rPr>
              <w:t>ortowych, boisk i basenów, które służą zarówno organizacji imprez sportowych, jak i codziennej rekreacji mieszkańców.</w:t>
            </w:r>
          </w:p>
          <w:p w:rsidR="00D46744" w:rsidRDefault="0043551F" w:rsidP="00C83EB2">
            <w:pPr>
              <w:spacing w:line="240" w:lineRule="auto"/>
              <w:rPr>
                <w:rFonts w:ascii="Calibri" w:hAnsi="Calibri"/>
                <w:color w:val="000000"/>
                <w:sz w:val="20"/>
              </w:rPr>
            </w:pPr>
            <w:r>
              <w:rPr>
                <w:rFonts w:ascii="Calibri" w:hAnsi="Calibri"/>
                <w:color w:val="000000"/>
                <w:sz w:val="20"/>
              </w:rPr>
              <w:t>Zadaniami głównymi</w:t>
            </w:r>
            <w:r w:rsidR="003C1E49">
              <w:rPr>
                <w:rFonts w:ascii="Calibri" w:hAnsi="Calibri"/>
                <w:color w:val="000000"/>
                <w:sz w:val="20"/>
              </w:rPr>
              <w:t xml:space="preserve"> </w:t>
            </w:r>
            <w:r w:rsidR="00D46744">
              <w:rPr>
                <w:rFonts w:ascii="Calibri" w:hAnsi="Calibri"/>
                <w:color w:val="000000"/>
                <w:sz w:val="20"/>
              </w:rPr>
              <w:t>będą:</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Zakończenie rewaloryzacji Akademii Rycerskiej;</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Rewitalizacja Teatru Letniego;</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Kontynuowanie działań na rzecz budowy hali widowiskowo-sportowej;</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Budowa regionalnego parku wodnego przy ul. Radosnej;</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Zakończenie rozbudowy Stadionu Miejskiego im. Orła Białego w Legnicy, polegającej na budowie: zadaszenia trybun oraz systemu podgrzewania murawy;</w:t>
            </w:r>
          </w:p>
          <w:p w:rsidR="009F2099" w:rsidRPr="0043551F" w:rsidRDefault="00B738E4" w:rsidP="0062416A">
            <w:pPr>
              <w:pStyle w:val="Akapitzlist"/>
              <w:numPr>
                <w:ilvl w:val="0"/>
                <w:numId w:val="56"/>
              </w:numPr>
              <w:rPr>
                <w:rFonts w:ascii="Calibri" w:hAnsi="Calibri"/>
                <w:b/>
                <w:color w:val="000000"/>
                <w:sz w:val="20"/>
              </w:rPr>
            </w:pPr>
            <w:r w:rsidRPr="0043551F">
              <w:rPr>
                <w:rFonts w:ascii="Calibri" w:hAnsi="Calibri"/>
                <w:b/>
                <w:bCs/>
                <w:color w:val="000000"/>
                <w:sz w:val="20"/>
              </w:rPr>
              <w:t>Rozbudowa systemu ścieżek rowerowych w powiązaniu z zewnętrznym układem komunikacyjnym;</w:t>
            </w:r>
          </w:p>
          <w:p w:rsidR="00D46744" w:rsidRPr="003C1E49" w:rsidRDefault="00D46744" w:rsidP="003C1E49">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uzupełniającymi będą:</w:t>
            </w:r>
          </w:p>
          <w:p w:rsidR="009F2099" w:rsidRPr="0043551F" w:rsidRDefault="00B738E4" w:rsidP="0062416A">
            <w:pPr>
              <w:numPr>
                <w:ilvl w:val="0"/>
                <w:numId w:val="114"/>
              </w:numPr>
              <w:spacing w:line="240" w:lineRule="auto"/>
              <w:ind w:left="742"/>
              <w:rPr>
                <w:rFonts w:ascii="Calibri" w:hAnsi="Calibri"/>
                <w:color w:val="000000"/>
                <w:sz w:val="20"/>
              </w:rPr>
            </w:pPr>
            <w:r w:rsidRPr="0043551F">
              <w:rPr>
                <w:rFonts w:ascii="Calibri" w:hAnsi="Calibri"/>
                <w:b/>
                <w:bCs/>
                <w:color w:val="000000"/>
                <w:sz w:val="20"/>
              </w:rPr>
              <w:t>Rewaloryzacja Legnickiej Biblioteki Publicznej i wypożyczalni dla dorosłych;</w:t>
            </w:r>
          </w:p>
          <w:p w:rsidR="0043551F" w:rsidRPr="0043551F" w:rsidRDefault="00B738E4" w:rsidP="0062416A">
            <w:pPr>
              <w:numPr>
                <w:ilvl w:val="0"/>
                <w:numId w:val="114"/>
              </w:numPr>
              <w:spacing w:line="240" w:lineRule="auto"/>
              <w:ind w:left="742"/>
              <w:rPr>
                <w:rFonts w:ascii="Calibri" w:hAnsi="Calibri"/>
                <w:color w:val="000000"/>
                <w:sz w:val="20"/>
              </w:rPr>
            </w:pPr>
            <w:r w:rsidRPr="0043551F">
              <w:rPr>
                <w:rFonts w:ascii="Calibri" w:hAnsi="Calibri"/>
                <w:b/>
                <w:bCs/>
                <w:color w:val="000000"/>
                <w:sz w:val="20"/>
              </w:rPr>
              <w:t xml:space="preserve">Remont hal sportowych przy </w:t>
            </w:r>
            <w:r w:rsidR="0043551F" w:rsidRPr="0043551F">
              <w:rPr>
                <w:rFonts w:ascii="Calibri" w:hAnsi="Calibri"/>
                <w:b/>
                <w:bCs/>
                <w:color w:val="000000"/>
                <w:sz w:val="20"/>
              </w:rPr>
              <w:t>ul. Sejmowej i przy ul. Lotniczej;</w:t>
            </w:r>
          </w:p>
          <w:p w:rsidR="009F2099" w:rsidRPr="0043551F" w:rsidRDefault="00B738E4" w:rsidP="0062416A">
            <w:pPr>
              <w:numPr>
                <w:ilvl w:val="0"/>
                <w:numId w:val="114"/>
              </w:numPr>
              <w:spacing w:line="240" w:lineRule="auto"/>
              <w:ind w:left="742"/>
              <w:rPr>
                <w:rFonts w:ascii="Calibri" w:hAnsi="Calibri"/>
                <w:color w:val="000000"/>
                <w:sz w:val="20"/>
              </w:rPr>
            </w:pPr>
            <w:r w:rsidRPr="0043551F">
              <w:rPr>
                <w:rFonts w:ascii="Calibri" w:hAnsi="Calibri"/>
                <w:b/>
                <w:bCs/>
                <w:color w:val="000000"/>
                <w:sz w:val="20"/>
              </w:rPr>
              <w:t>Budowa muszli koncertowej w Parku Miejskim;</w:t>
            </w:r>
          </w:p>
          <w:p w:rsidR="009F2099" w:rsidRPr="0043551F" w:rsidRDefault="00B738E4" w:rsidP="0062416A">
            <w:pPr>
              <w:numPr>
                <w:ilvl w:val="0"/>
                <w:numId w:val="114"/>
              </w:numPr>
              <w:spacing w:line="240" w:lineRule="auto"/>
              <w:ind w:left="742"/>
              <w:rPr>
                <w:rFonts w:ascii="Calibri" w:hAnsi="Calibri"/>
                <w:color w:val="000000"/>
                <w:sz w:val="20"/>
              </w:rPr>
            </w:pPr>
            <w:r w:rsidRPr="0043551F">
              <w:rPr>
                <w:rFonts w:ascii="Calibri" w:hAnsi="Calibri"/>
                <w:b/>
                <w:bCs/>
                <w:color w:val="000000"/>
                <w:sz w:val="20"/>
              </w:rPr>
              <w:t>Promo</w:t>
            </w:r>
            <w:r w:rsidR="0043551F">
              <w:rPr>
                <w:rFonts w:ascii="Calibri" w:hAnsi="Calibri"/>
                <w:b/>
                <w:bCs/>
                <w:color w:val="000000"/>
                <w:sz w:val="20"/>
              </w:rPr>
              <w:t xml:space="preserve">cja miasta jako ośrodka kultury </w:t>
            </w:r>
            <w:r w:rsidRPr="0043551F">
              <w:rPr>
                <w:rFonts w:ascii="Calibri" w:hAnsi="Calibri"/>
                <w:b/>
                <w:bCs/>
                <w:color w:val="000000"/>
                <w:sz w:val="20"/>
              </w:rPr>
              <w:t>i sportu;</w:t>
            </w:r>
          </w:p>
          <w:p w:rsidR="00AA36E1" w:rsidRDefault="00AA36E1" w:rsidP="00AA36E1">
            <w:pPr>
              <w:spacing w:line="240" w:lineRule="auto"/>
              <w:rPr>
                <w:rFonts w:ascii="Calibri" w:hAnsi="Calibri"/>
                <w:color w:val="000000"/>
                <w:sz w:val="20"/>
              </w:rPr>
            </w:pPr>
          </w:p>
          <w:p w:rsidR="00570A65" w:rsidRPr="00955473" w:rsidRDefault="00AA36E1" w:rsidP="00C83EB2">
            <w:pPr>
              <w:spacing w:line="240" w:lineRule="auto"/>
              <w:rPr>
                <w:rFonts w:ascii="Calibri" w:hAnsi="Calibri"/>
                <w:color w:val="000000"/>
                <w:sz w:val="20"/>
              </w:rPr>
            </w:pPr>
            <w:r>
              <w:rPr>
                <w:rFonts w:ascii="Calibri" w:hAnsi="Calibri"/>
                <w:color w:val="000000"/>
                <w:sz w:val="20"/>
              </w:rPr>
              <w:t>Zadania finansowane będą ze środków własnych budżetu miasta oraz środków zewnętrznych, zwłaszcza Regionalnego Programu Operacyjnego</w:t>
            </w:r>
            <w:r w:rsidR="004479AA">
              <w:rPr>
                <w:rFonts w:ascii="Calibri" w:hAnsi="Calibri"/>
                <w:color w:val="000000"/>
                <w:sz w:val="20"/>
              </w:rPr>
              <w:t xml:space="preserve"> dla Województwa Dolnośląskiego oraz środków pochodzących z budżetu państwa.</w:t>
            </w:r>
            <w:r w:rsidR="00B40E3D" w:rsidRPr="00B40E3D">
              <w:rPr>
                <w:rFonts w:ascii="Calibri" w:hAnsi="Calibri" w:cs="Calibri"/>
                <w:color w:val="000000" w:themeColor="text1"/>
                <w:sz w:val="20"/>
              </w:rPr>
              <w:t xml:space="preserve"> Osie priorytetowe w poszczególnych Programach zostaną określone po zatwierdzeniu ich „Uszczegółowień”.</w:t>
            </w:r>
          </w:p>
        </w:tc>
      </w:tr>
      <w:tr w:rsidR="00FE0E55" w:rsidRPr="00F51613" w:rsidTr="009855D9">
        <w:trPr>
          <w:trHeight w:val="113"/>
        </w:trPr>
        <w:tc>
          <w:tcPr>
            <w:tcW w:w="9067" w:type="dxa"/>
            <w:gridSpan w:val="2"/>
            <w:tcBorders>
              <w:left w:val="nil"/>
              <w:right w:val="nil"/>
            </w:tcBorders>
            <w:shd w:val="clear" w:color="auto" w:fill="FFFFFF" w:themeFill="background1"/>
          </w:tcPr>
          <w:p w:rsidR="00FE0E55" w:rsidRPr="00F51613" w:rsidRDefault="00FE0E55" w:rsidP="00841C5B">
            <w:pPr>
              <w:rPr>
                <w:rFonts w:ascii="Calibri" w:hAnsi="Calibri"/>
                <w:color w:val="000000"/>
                <w:sz w:val="2"/>
              </w:rPr>
            </w:pPr>
          </w:p>
        </w:tc>
      </w:tr>
      <w:tr w:rsidR="00FE0E55"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FE0E55" w:rsidRPr="007C1AE1" w:rsidRDefault="00FE0E55" w:rsidP="00B73014">
            <w:pPr>
              <w:jc w:val="center"/>
              <w:rPr>
                <w:rFonts w:ascii="Calibri" w:hAnsi="Calibri"/>
                <w:b/>
                <w:color w:val="000000"/>
                <w:sz w:val="20"/>
              </w:rPr>
            </w:pPr>
            <w:r w:rsidRPr="007C1AE1">
              <w:rPr>
                <w:rFonts w:ascii="Calibri" w:hAnsi="Calibri"/>
                <w:b/>
                <w:color w:val="FFFFFF" w:themeColor="background1"/>
                <w:sz w:val="22"/>
              </w:rPr>
              <w:t>Wskaźniki rezultatu dla Celu operacyjnego II.5</w:t>
            </w:r>
          </w:p>
        </w:tc>
      </w:tr>
      <w:tr w:rsidR="00FE0E55"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9855D9" w:rsidRPr="009855D9" w:rsidRDefault="009855D9" w:rsidP="009855D9">
            <w:pPr>
              <w:pStyle w:val="Akapitzlist"/>
              <w:numPr>
                <w:ilvl w:val="0"/>
                <w:numId w:val="77"/>
              </w:numPr>
              <w:rPr>
                <w:rFonts w:ascii="Calibri" w:hAnsi="Calibri"/>
                <w:b/>
                <w:color w:val="000000"/>
                <w:sz w:val="20"/>
              </w:rPr>
            </w:pPr>
            <w:r w:rsidRPr="009855D9">
              <w:rPr>
                <w:rFonts w:ascii="Calibri" w:hAnsi="Calibri"/>
                <w:b/>
                <w:color w:val="000000"/>
                <w:sz w:val="20"/>
              </w:rPr>
              <w:t>Liczba zmodernizowanych/wyremontowanych/wybudowanych obiektów infrastruktury sportowej, służącej</w:t>
            </w:r>
            <w:r>
              <w:rPr>
                <w:rFonts w:ascii="Calibri" w:hAnsi="Calibri"/>
                <w:b/>
                <w:color w:val="000000"/>
                <w:sz w:val="20"/>
              </w:rPr>
              <w:t xml:space="preserve"> rekreacji i turystyce aktywnej;</w:t>
            </w:r>
          </w:p>
          <w:p w:rsidR="009855D9" w:rsidRPr="009855D9" w:rsidRDefault="009855D9" w:rsidP="009855D9">
            <w:pPr>
              <w:pStyle w:val="Akapitzlist"/>
              <w:numPr>
                <w:ilvl w:val="0"/>
                <w:numId w:val="77"/>
              </w:numPr>
              <w:rPr>
                <w:rFonts w:ascii="Calibri" w:hAnsi="Calibri"/>
                <w:b/>
                <w:color w:val="000000"/>
                <w:sz w:val="20"/>
              </w:rPr>
            </w:pPr>
            <w:r w:rsidRPr="009855D9">
              <w:rPr>
                <w:rFonts w:ascii="Calibri" w:hAnsi="Calibri"/>
                <w:b/>
                <w:color w:val="000000"/>
                <w:sz w:val="20"/>
              </w:rPr>
              <w:t>Liczba imprez sportowych o zasięgu co najmniej regionalnym</w:t>
            </w:r>
            <w:r>
              <w:rPr>
                <w:rFonts w:ascii="Calibri" w:hAnsi="Calibri"/>
                <w:b/>
                <w:color w:val="000000"/>
                <w:sz w:val="20"/>
              </w:rPr>
              <w:t>;</w:t>
            </w:r>
          </w:p>
          <w:p w:rsidR="009855D9" w:rsidRPr="009855D9" w:rsidRDefault="009855D9" w:rsidP="009855D9">
            <w:pPr>
              <w:pStyle w:val="Akapitzlist"/>
              <w:numPr>
                <w:ilvl w:val="0"/>
                <w:numId w:val="77"/>
              </w:numPr>
              <w:rPr>
                <w:rFonts w:ascii="Calibri" w:hAnsi="Calibri"/>
                <w:b/>
                <w:color w:val="000000"/>
                <w:sz w:val="20"/>
              </w:rPr>
            </w:pPr>
            <w:r w:rsidRPr="009855D9">
              <w:rPr>
                <w:rFonts w:ascii="Calibri" w:hAnsi="Calibri"/>
                <w:b/>
                <w:color w:val="000000"/>
                <w:sz w:val="20"/>
              </w:rPr>
              <w:t>Liczba osób uczestniczących w imprezach sportowo-rekreacyjnych</w:t>
            </w:r>
            <w:r>
              <w:rPr>
                <w:rFonts w:ascii="Calibri" w:hAnsi="Calibri"/>
                <w:b/>
                <w:color w:val="000000"/>
                <w:sz w:val="20"/>
              </w:rPr>
              <w:t>;</w:t>
            </w:r>
          </w:p>
          <w:p w:rsidR="009855D9" w:rsidRPr="009855D9" w:rsidRDefault="009855D9" w:rsidP="009855D9">
            <w:pPr>
              <w:pStyle w:val="Akapitzlist"/>
              <w:numPr>
                <w:ilvl w:val="0"/>
                <w:numId w:val="77"/>
              </w:numPr>
              <w:rPr>
                <w:rFonts w:ascii="Calibri" w:hAnsi="Calibri"/>
                <w:b/>
                <w:color w:val="000000"/>
                <w:sz w:val="20"/>
              </w:rPr>
            </w:pPr>
            <w:r w:rsidRPr="009855D9">
              <w:rPr>
                <w:rFonts w:ascii="Calibri" w:hAnsi="Calibri"/>
                <w:b/>
                <w:color w:val="000000"/>
                <w:sz w:val="20"/>
              </w:rPr>
              <w:t>Łączna frekwencja na imprezach organizowanych przez instytucje kultury</w:t>
            </w:r>
            <w:r>
              <w:rPr>
                <w:rFonts w:ascii="Calibri" w:hAnsi="Calibri"/>
                <w:b/>
                <w:color w:val="000000"/>
                <w:sz w:val="20"/>
              </w:rPr>
              <w:t>;</w:t>
            </w:r>
          </w:p>
          <w:p w:rsidR="007C1AE1" w:rsidRPr="007C1AE1" w:rsidRDefault="009855D9" w:rsidP="009855D9">
            <w:pPr>
              <w:pStyle w:val="Akapitzlist"/>
              <w:numPr>
                <w:ilvl w:val="0"/>
                <w:numId w:val="77"/>
              </w:numPr>
              <w:rPr>
                <w:rFonts w:ascii="Calibri" w:hAnsi="Calibri"/>
                <w:color w:val="000000"/>
                <w:sz w:val="20"/>
              </w:rPr>
            </w:pPr>
            <w:r w:rsidRPr="009855D9">
              <w:rPr>
                <w:rFonts w:ascii="Calibri" w:hAnsi="Calibri"/>
                <w:b/>
                <w:color w:val="000000"/>
                <w:sz w:val="20"/>
              </w:rPr>
              <w:t>Łączna ilość zorganizowanych przez instytucje kultury imprez</w:t>
            </w:r>
            <w:r w:rsidR="007C1AE1" w:rsidRPr="00311BC4">
              <w:rPr>
                <w:rFonts w:ascii="Calibri" w:hAnsi="Calibri"/>
                <w:b/>
                <w:color w:val="000000"/>
                <w:sz w:val="20"/>
              </w:rPr>
              <w:t>;</w:t>
            </w:r>
          </w:p>
        </w:tc>
      </w:tr>
      <w:tr w:rsidR="00F51613" w:rsidRPr="00F51613" w:rsidTr="009855D9">
        <w:trPr>
          <w:trHeight w:val="113"/>
        </w:trPr>
        <w:tc>
          <w:tcPr>
            <w:tcW w:w="9067" w:type="dxa"/>
            <w:gridSpan w:val="2"/>
            <w:tcBorders>
              <w:left w:val="nil"/>
              <w:right w:val="nil"/>
            </w:tcBorders>
            <w:shd w:val="clear" w:color="auto" w:fill="FFFFFF" w:themeFill="background1"/>
          </w:tcPr>
          <w:p w:rsidR="00F51613" w:rsidRPr="00F51613" w:rsidRDefault="00F51613" w:rsidP="00841C5B">
            <w:pPr>
              <w:rPr>
                <w:rFonts w:ascii="Calibri" w:hAnsi="Calibri"/>
                <w:color w:val="000000"/>
                <w:sz w:val="2"/>
              </w:rPr>
            </w:pPr>
          </w:p>
        </w:tc>
      </w:tr>
      <w:tr w:rsidR="00D36034" w:rsidTr="009855D9">
        <w:trPr>
          <w:trHeight w:val="270"/>
        </w:trPr>
        <w:tc>
          <w:tcPr>
            <w:tcW w:w="2553" w:type="dxa"/>
            <w:tcBorders>
              <w:right w:val="single" w:sz="4" w:space="0" w:color="auto"/>
            </w:tcBorders>
            <w:shd w:val="clear" w:color="auto" w:fill="C9C9C9" w:themeFill="accent3"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lastRenderedPageBreak/>
              <w:t xml:space="preserve">Cel operacyjny II.6 - Kulturalna </w:t>
            </w:r>
            <w:r w:rsidR="00E83468">
              <w:rPr>
                <w:rFonts w:asciiTheme="minorHAnsi" w:hAnsiTheme="minorHAnsi"/>
                <w:b/>
                <w:bCs/>
                <w:sz w:val="22"/>
              </w:rPr>
              <w:t>i sportowa aktywizacja dzieci i </w:t>
            </w:r>
            <w:r w:rsidRPr="00A45758">
              <w:rPr>
                <w:rFonts w:asciiTheme="minorHAnsi" w:hAnsiTheme="minorHAnsi"/>
                <w:b/>
                <w:bCs/>
                <w:sz w:val="22"/>
              </w:rPr>
              <w:t>młodzieży, w tym szczególnie młodzieży akademickiej</w:t>
            </w:r>
          </w:p>
          <w:p w:rsidR="00D36034" w:rsidRPr="00A45758" w:rsidRDefault="00D36034" w:rsidP="00841C5B">
            <w:pPr>
              <w:rPr>
                <w:rFonts w:asciiTheme="minorHAnsi" w:hAnsiTheme="minorHAnsi"/>
                <w:sz w:val="22"/>
              </w:rPr>
            </w:pPr>
          </w:p>
        </w:tc>
        <w:tc>
          <w:tcPr>
            <w:tcW w:w="651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0B7891" w:rsidRDefault="00E83468" w:rsidP="00A4447C">
            <w:pPr>
              <w:spacing w:line="240" w:lineRule="auto"/>
              <w:rPr>
                <w:rFonts w:ascii="Calibri" w:hAnsi="Calibri"/>
                <w:color w:val="000000"/>
                <w:sz w:val="20"/>
              </w:rPr>
            </w:pPr>
            <w:r>
              <w:rPr>
                <w:rFonts w:ascii="Calibri" w:hAnsi="Calibri"/>
                <w:color w:val="000000"/>
                <w:sz w:val="20"/>
              </w:rPr>
              <w:t>Zapewnienie odpowiedniej oferty kulturalnej i sportowej dla</w:t>
            </w:r>
            <w:r w:rsidR="00766C45">
              <w:rPr>
                <w:rFonts w:ascii="Calibri" w:hAnsi="Calibri"/>
                <w:color w:val="000000"/>
                <w:sz w:val="20"/>
              </w:rPr>
              <w:t xml:space="preserve"> dzieci i </w:t>
            </w:r>
            <w:r>
              <w:rPr>
                <w:rFonts w:ascii="Calibri" w:hAnsi="Calibri"/>
                <w:color w:val="000000"/>
                <w:sz w:val="20"/>
              </w:rPr>
              <w:t>młodzieży, która pozwala im na realizację własnych pasji i zainter</w:t>
            </w:r>
            <w:r w:rsidR="00650CDC">
              <w:rPr>
                <w:rFonts w:ascii="Calibri" w:hAnsi="Calibri"/>
                <w:color w:val="000000"/>
                <w:sz w:val="20"/>
              </w:rPr>
              <w:t>e</w:t>
            </w:r>
            <w:r>
              <w:rPr>
                <w:rFonts w:ascii="Calibri" w:hAnsi="Calibri"/>
                <w:color w:val="000000"/>
                <w:sz w:val="20"/>
              </w:rPr>
              <w:t>sowań, stanowi fundament do budowania zdrowego społeczeństwa, zaangażowane</w:t>
            </w:r>
            <w:r w:rsidR="00254881">
              <w:rPr>
                <w:rFonts w:ascii="Calibri" w:hAnsi="Calibri"/>
                <w:color w:val="000000"/>
                <w:sz w:val="20"/>
              </w:rPr>
              <w:t>go obywatelsko i kulturowo</w:t>
            </w:r>
            <w:r>
              <w:rPr>
                <w:rFonts w:ascii="Calibri" w:hAnsi="Calibri"/>
                <w:color w:val="000000"/>
                <w:sz w:val="20"/>
              </w:rPr>
              <w:t xml:space="preserve">. </w:t>
            </w:r>
          </w:p>
          <w:p w:rsidR="00B42788" w:rsidRDefault="00B42788" w:rsidP="00A4447C">
            <w:pPr>
              <w:spacing w:line="240" w:lineRule="auto"/>
              <w:rPr>
                <w:rFonts w:ascii="Calibri" w:hAnsi="Calibri"/>
                <w:color w:val="000000"/>
                <w:sz w:val="20"/>
              </w:rPr>
            </w:pPr>
          </w:p>
          <w:p w:rsidR="00B42788" w:rsidRDefault="00B42788" w:rsidP="00A4447C">
            <w:pPr>
              <w:spacing w:line="240" w:lineRule="auto"/>
              <w:rPr>
                <w:rFonts w:ascii="Calibri" w:hAnsi="Calibri"/>
                <w:color w:val="000000"/>
                <w:sz w:val="20"/>
              </w:rPr>
            </w:pPr>
            <w:r>
              <w:rPr>
                <w:rFonts w:ascii="Calibri" w:hAnsi="Calibri"/>
                <w:color w:val="000000"/>
                <w:sz w:val="20"/>
              </w:rPr>
              <w:t>Oferta ta powinna mieć zarówno charakter zindywidualizowany,</w:t>
            </w:r>
            <w:r w:rsidR="00031F0F">
              <w:rPr>
                <w:rFonts w:ascii="Calibri" w:hAnsi="Calibri"/>
                <w:color w:val="000000"/>
                <w:sz w:val="20"/>
              </w:rPr>
              <w:t xml:space="preserve"> realizowany</w:t>
            </w:r>
            <w:r>
              <w:rPr>
                <w:rFonts w:ascii="Calibri" w:hAnsi="Calibri"/>
                <w:color w:val="000000"/>
                <w:sz w:val="20"/>
              </w:rPr>
              <w:t xml:space="preserve"> poprzez </w:t>
            </w:r>
            <w:r w:rsidRPr="00AE5D7A">
              <w:rPr>
                <w:rFonts w:ascii="Calibri" w:hAnsi="Calibri"/>
                <w:b/>
                <w:color w:val="000000"/>
                <w:sz w:val="20"/>
              </w:rPr>
              <w:t>programy stypendialne</w:t>
            </w:r>
            <w:r>
              <w:rPr>
                <w:rFonts w:ascii="Calibri" w:hAnsi="Calibri"/>
                <w:color w:val="000000"/>
                <w:sz w:val="20"/>
              </w:rPr>
              <w:t xml:space="preserve"> dla uzdolnionej sportowo i artystycznie młodzieży,</w:t>
            </w:r>
            <w:r w:rsidR="00031F0F">
              <w:rPr>
                <w:rFonts w:ascii="Calibri" w:hAnsi="Calibri"/>
                <w:color w:val="000000"/>
                <w:sz w:val="20"/>
              </w:rPr>
              <w:t xml:space="preserve"> </w:t>
            </w:r>
            <w:r w:rsidR="00031F0F" w:rsidRPr="00AE5D7A">
              <w:rPr>
                <w:rFonts w:ascii="Calibri" w:hAnsi="Calibri"/>
                <w:b/>
                <w:color w:val="000000"/>
                <w:sz w:val="20"/>
              </w:rPr>
              <w:t>szeroki zakres</w:t>
            </w:r>
            <w:r w:rsidR="00B33897" w:rsidRPr="00AE5D7A">
              <w:rPr>
                <w:rFonts w:ascii="Calibri" w:hAnsi="Calibri"/>
                <w:b/>
                <w:color w:val="000000"/>
                <w:sz w:val="20"/>
              </w:rPr>
              <w:t xml:space="preserve"> atrakcyjnych</w:t>
            </w:r>
            <w:r w:rsidR="00031F0F" w:rsidRPr="00AE5D7A">
              <w:rPr>
                <w:rFonts w:ascii="Calibri" w:hAnsi="Calibri"/>
                <w:b/>
                <w:color w:val="000000"/>
                <w:sz w:val="20"/>
              </w:rPr>
              <w:t xml:space="preserve"> zajęć pozaszkolnyc</w:t>
            </w:r>
            <w:r w:rsidR="00FB27D0" w:rsidRPr="00AE5D7A">
              <w:rPr>
                <w:rFonts w:ascii="Calibri" w:hAnsi="Calibri"/>
                <w:b/>
                <w:color w:val="000000"/>
                <w:sz w:val="20"/>
              </w:rPr>
              <w:t>h</w:t>
            </w:r>
            <w:r w:rsidR="00FB27D0">
              <w:rPr>
                <w:rFonts w:ascii="Calibri" w:hAnsi="Calibri"/>
                <w:color w:val="000000"/>
                <w:sz w:val="20"/>
              </w:rPr>
              <w:t xml:space="preserve"> w klubach sportowych, </w:t>
            </w:r>
            <w:r w:rsidR="00031F0F">
              <w:rPr>
                <w:rFonts w:ascii="Calibri" w:hAnsi="Calibri"/>
                <w:color w:val="000000"/>
                <w:sz w:val="20"/>
              </w:rPr>
              <w:t>ośrodkach kultury,</w:t>
            </w:r>
            <w:r w:rsidR="00B33897">
              <w:rPr>
                <w:rFonts w:ascii="Calibri" w:hAnsi="Calibri"/>
                <w:color w:val="000000"/>
                <w:sz w:val="20"/>
              </w:rPr>
              <w:t xml:space="preserve"> czy szkolnych kołach zainteresowań, </w:t>
            </w:r>
            <w:r>
              <w:rPr>
                <w:rFonts w:ascii="Calibri" w:hAnsi="Calibri"/>
                <w:color w:val="000000"/>
                <w:sz w:val="20"/>
              </w:rPr>
              <w:t xml:space="preserve"> jak rów</w:t>
            </w:r>
            <w:r w:rsidR="00FB27D0">
              <w:rPr>
                <w:rFonts w:ascii="Calibri" w:hAnsi="Calibri"/>
                <w:color w:val="000000"/>
                <w:sz w:val="20"/>
              </w:rPr>
              <w:t xml:space="preserve">nież charakter masowy w postaci </w:t>
            </w:r>
            <w:r w:rsidR="00FB27D0" w:rsidRPr="00AE5D7A">
              <w:rPr>
                <w:rFonts w:ascii="Calibri" w:hAnsi="Calibri"/>
                <w:b/>
                <w:color w:val="000000"/>
                <w:sz w:val="20"/>
              </w:rPr>
              <w:t>organizowanych</w:t>
            </w:r>
            <w:r w:rsidRPr="00AE5D7A">
              <w:rPr>
                <w:rFonts w:ascii="Calibri" w:hAnsi="Calibri"/>
                <w:b/>
                <w:color w:val="000000"/>
                <w:sz w:val="20"/>
              </w:rPr>
              <w:t xml:space="preserve"> dużych imprez plenerowych, wydarzeń kulturalnych i sportowych</w:t>
            </w:r>
            <w:r>
              <w:rPr>
                <w:rFonts w:ascii="Calibri" w:hAnsi="Calibri"/>
                <w:color w:val="000000"/>
                <w:sz w:val="20"/>
              </w:rPr>
              <w:t xml:space="preserve"> promujących a</w:t>
            </w:r>
            <w:r w:rsidR="00B33897">
              <w:rPr>
                <w:rFonts w:ascii="Calibri" w:hAnsi="Calibri"/>
                <w:color w:val="000000"/>
                <w:sz w:val="20"/>
              </w:rPr>
              <w:t>ktywne spędzanie wolnego czasu, a także</w:t>
            </w:r>
            <w:r>
              <w:rPr>
                <w:rFonts w:ascii="Calibri" w:hAnsi="Calibri"/>
                <w:color w:val="000000"/>
                <w:sz w:val="20"/>
              </w:rPr>
              <w:t xml:space="preserve"> zachęcających</w:t>
            </w:r>
            <w:r w:rsidR="00B33897">
              <w:rPr>
                <w:rFonts w:ascii="Calibri" w:hAnsi="Calibri"/>
                <w:color w:val="000000"/>
                <w:sz w:val="20"/>
              </w:rPr>
              <w:t xml:space="preserve"> dzieci i młodzież do uczestnictwa w kulturze, w </w:t>
            </w:r>
            <w:r>
              <w:rPr>
                <w:rFonts w:ascii="Calibri" w:hAnsi="Calibri"/>
                <w:color w:val="000000"/>
                <w:sz w:val="20"/>
              </w:rPr>
              <w:t xml:space="preserve">tym „kulturze wysokiej”.  </w:t>
            </w:r>
          </w:p>
          <w:p w:rsidR="00B42788" w:rsidRDefault="00B42788" w:rsidP="00A4447C">
            <w:pPr>
              <w:spacing w:line="240" w:lineRule="auto"/>
              <w:rPr>
                <w:rFonts w:ascii="Calibri" w:hAnsi="Calibri"/>
                <w:color w:val="000000"/>
                <w:sz w:val="20"/>
              </w:rPr>
            </w:pPr>
          </w:p>
          <w:p w:rsidR="000B7891" w:rsidRDefault="00B42788" w:rsidP="00A4447C">
            <w:pPr>
              <w:spacing w:line="240" w:lineRule="auto"/>
              <w:rPr>
                <w:rFonts w:ascii="Calibri" w:hAnsi="Calibri"/>
                <w:color w:val="000000"/>
                <w:sz w:val="20"/>
              </w:rPr>
            </w:pPr>
            <w:r>
              <w:rPr>
                <w:rFonts w:ascii="Calibri" w:hAnsi="Calibri"/>
                <w:color w:val="000000"/>
                <w:sz w:val="20"/>
              </w:rPr>
              <w:t>Ważną rolę w tym procesie mają instytucje kultury działające na terenie Legnicy, które poprzez działalność impresaryjną i właściwy dobór repertuaru powinny przyciągać młodsze pokolenia do uczestniczenia w życiu kulturalnym miasta, dbając</w:t>
            </w:r>
            <w:r w:rsidR="004900C5">
              <w:rPr>
                <w:rFonts w:ascii="Calibri" w:hAnsi="Calibri"/>
                <w:color w:val="000000"/>
                <w:sz w:val="20"/>
              </w:rPr>
              <w:t xml:space="preserve"> tym samym</w:t>
            </w:r>
            <w:r>
              <w:rPr>
                <w:rFonts w:ascii="Calibri" w:hAnsi="Calibri"/>
                <w:color w:val="000000"/>
                <w:sz w:val="20"/>
              </w:rPr>
              <w:t xml:space="preserve"> o ich wykształcenie kulturalne. </w:t>
            </w:r>
            <w:r w:rsidR="00046B40">
              <w:rPr>
                <w:rFonts w:ascii="Calibri" w:hAnsi="Calibri"/>
                <w:color w:val="000000"/>
                <w:sz w:val="20"/>
              </w:rPr>
              <w:t>Działania te wpłyną korzystnie nie tylko na poziom intelektualny i kulturowy społeczeństwa, ale także na przyszłe funkcjonowanie instytucji kultury</w:t>
            </w:r>
            <w:r w:rsidR="00B33897">
              <w:rPr>
                <w:rFonts w:ascii="Calibri" w:hAnsi="Calibri"/>
                <w:color w:val="000000"/>
                <w:sz w:val="20"/>
              </w:rPr>
              <w:t>. B</w:t>
            </w:r>
            <w:r w:rsidR="00046B40">
              <w:rPr>
                <w:rFonts w:ascii="Calibri" w:hAnsi="Calibri"/>
                <w:color w:val="000000"/>
                <w:sz w:val="20"/>
              </w:rPr>
              <w:t xml:space="preserve">owiem, aby w przyszłości konkurować z masowymi środkami </w:t>
            </w:r>
            <w:r w:rsidR="00E315C5">
              <w:rPr>
                <w:rFonts w:ascii="Calibri" w:hAnsi="Calibri"/>
                <w:color w:val="000000"/>
                <w:sz w:val="20"/>
              </w:rPr>
              <w:t>przekazu i osiągać wysoką frekwencję na spektaklach</w:t>
            </w:r>
            <w:r w:rsidR="009375D3">
              <w:rPr>
                <w:rFonts w:ascii="Calibri" w:hAnsi="Calibri"/>
                <w:color w:val="000000"/>
                <w:sz w:val="20"/>
              </w:rPr>
              <w:t>, koncertach</w:t>
            </w:r>
            <w:r w:rsidR="00E315C5">
              <w:rPr>
                <w:rFonts w:ascii="Calibri" w:hAnsi="Calibri"/>
                <w:color w:val="000000"/>
                <w:sz w:val="20"/>
              </w:rPr>
              <w:t xml:space="preserve"> czy wystawach, </w:t>
            </w:r>
            <w:r w:rsidR="00B33897">
              <w:rPr>
                <w:rFonts w:ascii="Calibri" w:hAnsi="Calibri"/>
                <w:color w:val="000000"/>
                <w:sz w:val="20"/>
              </w:rPr>
              <w:t>należy</w:t>
            </w:r>
            <w:r w:rsidR="009375D3">
              <w:rPr>
                <w:rFonts w:ascii="Calibri" w:hAnsi="Calibri"/>
                <w:color w:val="000000"/>
                <w:sz w:val="20"/>
              </w:rPr>
              <w:t xml:space="preserve"> wpierw</w:t>
            </w:r>
            <w:r w:rsidR="00046B40">
              <w:rPr>
                <w:rFonts w:ascii="Calibri" w:hAnsi="Calibri"/>
                <w:color w:val="000000"/>
                <w:sz w:val="20"/>
              </w:rPr>
              <w:t xml:space="preserve"> wykształcić odpowiednie nawyki uczestnictwa w </w:t>
            </w:r>
            <w:r w:rsidR="00B33897">
              <w:rPr>
                <w:rFonts w:ascii="Calibri" w:hAnsi="Calibri"/>
                <w:color w:val="000000"/>
                <w:sz w:val="20"/>
              </w:rPr>
              <w:t>„</w:t>
            </w:r>
            <w:r w:rsidR="00046B40">
              <w:rPr>
                <w:rFonts w:ascii="Calibri" w:hAnsi="Calibri"/>
                <w:color w:val="000000"/>
                <w:sz w:val="20"/>
              </w:rPr>
              <w:t>kult</w:t>
            </w:r>
            <w:r w:rsidR="00E315C5">
              <w:rPr>
                <w:rFonts w:ascii="Calibri" w:hAnsi="Calibri"/>
                <w:color w:val="000000"/>
                <w:sz w:val="20"/>
              </w:rPr>
              <w:t>u</w:t>
            </w:r>
            <w:r w:rsidR="00046B40">
              <w:rPr>
                <w:rFonts w:ascii="Calibri" w:hAnsi="Calibri"/>
                <w:color w:val="000000"/>
                <w:sz w:val="20"/>
              </w:rPr>
              <w:t>rze</w:t>
            </w:r>
            <w:r w:rsidR="00E315C5">
              <w:rPr>
                <w:rFonts w:ascii="Calibri" w:hAnsi="Calibri"/>
                <w:color w:val="000000"/>
                <w:sz w:val="20"/>
              </w:rPr>
              <w:t xml:space="preserve"> wysokiej</w:t>
            </w:r>
            <w:r w:rsidR="00B33897">
              <w:rPr>
                <w:rFonts w:ascii="Calibri" w:hAnsi="Calibri"/>
                <w:color w:val="000000"/>
                <w:sz w:val="20"/>
              </w:rPr>
              <w:t>”</w:t>
            </w:r>
            <w:r w:rsidR="00E315C5">
              <w:rPr>
                <w:rFonts w:ascii="Calibri" w:hAnsi="Calibri"/>
                <w:color w:val="000000"/>
                <w:sz w:val="20"/>
              </w:rPr>
              <w:t xml:space="preserve"> u </w:t>
            </w:r>
            <w:r w:rsidR="00046B40">
              <w:rPr>
                <w:rFonts w:ascii="Calibri" w:hAnsi="Calibri"/>
                <w:color w:val="000000"/>
                <w:sz w:val="20"/>
              </w:rPr>
              <w:t>dzieci i</w:t>
            </w:r>
            <w:r w:rsidR="00E315C5">
              <w:rPr>
                <w:rFonts w:ascii="Calibri" w:hAnsi="Calibri"/>
                <w:color w:val="000000"/>
                <w:sz w:val="20"/>
              </w:rPr>
              <w:t> </w:t>
            </w:r>
            <w:r w:rsidR="00046B40">
              <w:rPr>
                <w:rFonts w:ascii="Calibri" w:hAnsi="Calibri"/>
                <w:color w:val="000000"/>
                <w:sz w:val="20"/>
              </w:rPr>
              <w:t>młodzieży.</w:t>
            </w:r>
          </w:p>
          <w:p w:rsidR="00B33897" w:rsidRDefault="00B33897" w:rsidP="00A4447C">
            <w:pPr>
              <w:spacing w:line="240" w:lineRule="auto"/>
              <w:rPr>
                <w:rFonts w:ascii="Calibri" w:hAnsi="Calibri"/>
                <w:color w:val="000000"/>
                <w:sz w:val="20"/>
              </w:rPr>
            </w:pPr>
          </w:p>
          <w:p w:rsidR="00D36034" w:rsidRDefault="00FB27D0" w:rsidP="00C83EB2">
            <w:pPr>
              <w:spacing w:line="240" w:lineRule="auto"/>
              <w:rPr>
                <w:rFonts w:ascii="Calibri" w:hAnsi="Calibri"/>
                <w:color w:val="000000"/>
                <w:sz w:val="20"/>
              </w:rPr>
            </w:pPr>
            <w:r>
              <w:rPr>
                <w:rFonts w:ascii="Calibri" w:hAnsi="Calibri"/>
                <w:color w:val="000000"/>
                <w:sz w:val="20"/>
              </w:rPr>
              <w:t>Istotną funkcję</w:t>
            </w:r>
            <w:r w:rsidR="00B33897">
              <w:rPr>
                <w:rFonts w:ascii="Calibri" w:hAnsi="Calibri"/>
                <w:color w:val="000000"/>
                <w:sz w:val="20"/>
              </w:rPr>
              <w:t xml:space="preserve"> w kształtowaniu życia kulturalnego miasta </w:t>
            </w:r>
            <w:r>
              <w:rPr>
                <w:rFonts w:ascii="Calibri" w:hAnsi="Calibri"/>
                <w:color w:val="000000"/>
                <w:sz w:val="20"/>
              </w:rPr>
              <w:t xml:space="preserve">powinna pełnić </w:t>
            </w:r>
            <w:r w:rsidR="00B33897">
              <w:rPr>
                <w:rFonts w:ascii="Calibri" w:hAnsi="Calibri"/>
                <w:color w:val="000000"/>
                <w:sz w:val="20"/>
              </w:rPr>
              <w:t>także mł</w:t>
            </w:r>
            <w:r w:rsidR="004916CD">
              <w:rPr>
                <w:rFonts w:ascii="Calibri" w:hAnsi="Calibri"/>
                <w:color w:val="000000"/>
                <w:sz w:val="20"/>
              </w:rPr>
              <w:t>odzież akademicka. W Legnicy, która posiada największą społeczność studencką na Dolnym Śląsku po Wrocławiu</w:t>
            </w:r>
            <w:r w:rsidR="00D204CE">
              <w:rPr>
                <w:rFonts w:ascii="Calibri" w:hAnsi="Calibri"/>
                <w:color w:val="000000"/>
                <w:sz w:val="20"/>
              </w:rPr>
              <w:t>,</w:t>
            </w:r>
            <w:r w:rsidR="004916CD">
              <w:rPr>
                <w:rFonts w:ascii="Calibri" w:hAnsi="Calibri"/>
                <w:color w:val="000000"/>
                <w:sz w:val="20"/>
              </w:rPr>
              <w:t xml:space="preserve"> obserwowana</w:t>
            </w:r>
            <w:r w:rsidR="00B33897">
              <w:rPr>
                <w:rFonts w:ascii="Calibri" w:hAnsi="Calibri"/>
                <w:color w:val="000000"/>
                <w:sz w:val="20"/>
              </w:rPr>
              <w:t xml:space="preserve"> aktywność</w:t>
            </w:r>
            <w:r w:rsidR="004916CD">
              <w:rPr>
                <w:rFonts w:ascii="Calibri" w:hAnsi="Calibri"/>
                <w:color w:val="000000"/>
                <w:sz w:val="20"/>
              </w:rPr>
              <w:t xml:space="preserve"> studentów w </w:t>
            </w:r>
            <w:r w:rsidR="00D204CE">
              <w:rPr>
                <w:rFonts w:ascii="Calibri" w:hAnsi="Calibri"/>
                <w:color w:val="000000"/>
                <w:sz w:val="20"/>
              </w:rPr>
              <w:t>kształtowanie</w:t>
            </w:r>
            <w:r w:rsidR="004916CD">
              <w:rPr>
                <w:rFonts w:ascii="Calibri" w:hAnsi="Calibri"/>
                <w:color w:val="000000"/>
                <w:sz w:val="20"/>
              </w:rPr>
              <w:t xml:space="preserve"> życia miasta</w:t>
            </w:r>
            <w:r>
              <w:rPr>
                <w:rFonts w:ascii="Calibri" w:hAnsi="Calibri"/>
                <w:color w:val="000000"/>
                <w:sz w:val="20"/>
              </w:rPr>
              <w:t xml:space="preserve"> jest</w:t>
            </w:r>
            <w:r w:rsidR="00B33897">
              <w:rPr>
                <w:rFonts w:ascii="Calibri" w:hAnsi="Calibri"/>
                <w:color w:val="000000"/>
                <w:sz w:val="20"/>
              </w:rPr>
              <w:t xml:space="preserve"> ograniczona. </w:t>
            </w:r>
            <w:r w:rsidR="00C83EB2">
              <w:rPr>
                <w:rFonts w:ascii="Calibri" w:hAnsi="Calibri"/>
                <w:color w:val="000000"/>
                <w:sz w:val="20"/>
              </w:rPr>
              <w:t>Należy rozważyć</w:t>
            </w:r>
            <w:r w:rsidR="00E657FF">
              <w:rPr>
                <w:rFonts w:ascii="Calibri" w:hAnsi="Calibri"/>
                <w:color w:val="000000"/>
                <w:sz w:val="20"/>
              </w:rPr>
              <w:t>,</w:t>
            </w:r>
            <w:r w:rsidR="00B33897">
              <w:rPr>
                <w:rFonts w:ascii="Calibri" w:hAnsi="Calibri"/>
                <w:color w:val="000000"/>
                <w:sz w:val="20"/>
              </w:rPr>
              <w:t xml:space="preserve"> czy oferta skierowana do tej grupy jest atrakcyjna i na tyle rozbudowana, aby </w:t>
            </w:r>
            <w:r w:rsidR="004916CD" w:rsidRPr="001A61D5">
              <w:rPr>
                <w:rFonts w:ascii="Calibri" w:hAnsi="Calibri"/>
                <w:b/>
                <w:color w:val="000000"/>
                <w:sz w:val="20"/>
              </w:rPr>
              <w:t>wzmóc wyższe zaangażowanie obywatelskie i kulturowe społeczności studenckiej</w:t>
            </w:r>
            <w:r w:rsidR="004916CD">
              <w:rPr>
                <w:rFonts w:ascii="Calibri" w:hAnsi="Calibri"/>
                <w:color w:val="000000"/>
                <w:sz w:val="20"/>
              </w:rPr>
              <w:t xml:space="preserve">, a także zachęcić ją do czynnego uczestnictwa i współorganizacji wydarzeń kulturalnych i sportowych w mieście. </w:t>
            </w:r>
          </w:p>
          <w:p w:rsidR="00FC6AAA" w:rsidRDefault="00FC6AAA" w:rsidP="00C83EB2">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głównymi będą:</w:t>
            </w:r>
          </w:p>
          <w:p w:rsidR="009F2099" w:rsidRPr="0043551F"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Podejmowanie działań impresaryjnych przez instytucje kultury zachęcające do udziału mieszkańców w tzw. „kulturze wysokiej”;</w:t>
            </w:r>
          </w:p>
          <w:p w:rsidR="009F2099" w:rsidRPr="003B2DD6"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Organizacja dużych wydarzeń plenerowych;</w:t>
            </w:r>
          </w:p>
          <w:p w:rsidR="003B2DD6" w:rsidRPr="003B2DD6" w:rsidRDefault="003B2DD6" w:rsidP="003B2DD6">
            <w:pPr>
              <w:numPr>
                <w:ilvl w:val="0"/>
                <w:numId w:val="91"/>
              </w:numPr>
              <w:spacing w:line="240" w:lineRule="auto"/>
              <w:rPr>
                <w:rFonts w:ascii="Calibri" w:hAnsi="Calibri"/>
                <w:color w:val="000000" w:themeColor="text1"/>
                <w:sz w:val="20"/>
              </w:rPr>
            </w:pPr>
            <w:r w:rsidRPr="003B2DD6">
              <w:rPr>
                <w:rFonts w:ascii="Calibri" w:hAnsi="Calibri"/>
                <w:b/>
                <w:bCs/>
                <w:color w:val="000000" w:themeColor="text1"/>
                <w:sz w:val="20"/>
              </w:rPr>
              <w:t>Organizacja imprez sportowych o wysokiej randze krajowej i międzynarodowej;</w:t>
            </w:r>
          </w:p>
          <w:p w:rsidR="009F2099" w:rsidRPr="0043551F"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Opracowanie i wdrażanie programów służących aktywizacji sportowej dzieci i młodzieży;</w:t>
            </w:r>
          </w:p>
          <w:p w:rsidR="009F2099" w:rsidRPr="0043551F"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Program stypendialny dla młodzieży uzdolnionej naukowo, sportowo i artystycznie;</w:t>
            </w:r>
          </w:p>
          <w:p w:rsidR="009F2099" w:rsidRPr="0043551F"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Kontynuacja modernizacji bazy sportowej dla potrzeb prowadzenia pozalekcyjnych zajęć sportowych dla dzieci i młodzieży;</w:t>
            </w:r>
          </w:p>
          <w:p w:rsidR="009F2099" w:rsidRPr="0043551F" w:rsidRDefault="00B738E4" w:rsidP="0062416A">
            <w:pPr>
              <w:numPr>
                <w:ilvl w:val="0"/>
                <w:numId w:val="91"/>
              </w:numPr>
              <w:spacing w:line="240" w:lineRule="auto"/>
              <w:rPr>
                <w:rFonts w:ascii="Calibri" w:hAnsi="Calibri"/>
                <w:color w:val="000000"/>
                <w:sz w:val="20"/>
              </w:rPr>
            </w:pPr>
            <w:r w:rsidRPr="0043551F">
              <w:rPr>
                <w:rFonts w:ascii="Calibri" w:hAnsi="Calibri"/>
                <w:b/>
                <w:bCs/>
                <w:color w:val="000000"/>
                <w:sz w:val="20"/>
              </w:rPr>
              <w:t>Promocja miasta, w którym młode pokolenie jest aktywne;</w:t>
            </w:r>
          </w:p>
          <w:p w:rsidR="00337E9B" w:rsidRPr="00337E9B" w:rsidRDefault="00337E9B" w:rsidP="00337E9B">
            <w:pPr>
              <w:pStyle w:val="Akapitzlist"/>
              <w:spacing w:line="240" w:lineRule="auto"/>
              <w:rPr>
                <w:rFonts w:ascii="Calibri" w:hAnsi="Calibri"/>
                <w:color w:val="000000"/>
                <w:sz w:val="20"/>
              </w:rPr>
            </w:pPr>
          </w:p>
          <w:p w:rsidR="00AA36E1" w:rsidRPr="00AA36E1" w:rsidRDefault="00AA36E1" w:rsidP="00AA36E1">
            <w:pPr>
              <w:spacing w:line="240" w:lineRule="auto"/>
              <w:rPr>
                <w:rFonts w:ascii="Calibri" w:hAnsi="Calibri"/>
                <w:color w:val="000000"/>
                <w:sz w:val="20"/>
              </w:rPr>
            </w:pPr>
            <w:r>
              <w:rPr>
                <w:rFonts w:ascii="Calibri" w:hAnsi="Calibri"/>
                <w:color w:val="000000"/>
                <w:sz w:val="20"/>
              </w:rPr>
              <w:t>Głównym źródłem finansowania będą środki własne budżetu miasta, część działań może zostać objęta wsparciem w ramach RPO Dolnego Śląska.</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r>
              <w:rPr>
                <w:rFonts w:ascii="Calibri" w:hAnsi="Calibri"/>
                <w:color w:val="000000"/>
                <w:sz w:val="20"/>
              </w:rPr>
              <w:t xml:space="preserve"> Ewentualnym</w:t>
            </w:r>
            <w:r w:rsidR="00511324">
              <w:rPr>
                <w:rFonts w:ascii="Calibri" w:hAnsi="Calibri"/>
                <w:color w:val="000000"/>
                <w:sz w:val="20"/>
              </w:rPr>
              <w:t>, dodatkowym</w:t>
            </w:r>
            <w:r>
              <w:rPr>
                <w:rFonts w:ascii="Calibri" w:hAnsi="Calibri"/>
                <w:color w:val="000000"/>
                <w:sz w:val="20"/>
              </w:rPr>
              <w:t xml:space="preserve"> źródłem dofinansowania niektórych wydarzeń</w:t>
            </w:r>
            <w:r w:rsidR="00E657FF">
              <w:rPr>
                <w:rFonts w:ascii="Calibri" w:hAnsi="Calibri"/>
                <w:color w:val="000000"/>
                <w:sz w:val="20"/>
              </w:rPr>
              <w:t>,</w:t>
            </w:r>
            <w:r>
              <w:rPr>
                <w:rFonts w:ascii="Calibri" w:hAnsi="Calibri"/>
                <w:color w:val="000000"/>
                <w:sz w:val="20"/>
              </w:rPr>
              <w:t xml:space="preserve"> czy programów stypendialnych, może </w:t>
            </w:r>
            <w:r w:rsidRPr="00F967A4">
              <w:rPr>
                <w:rFonts w:ascii="Calibri" w:hAnsi="Calibri"/>
                <w:color w:val="000000"/>
                <w:sz w:val="20"/>
              </w:rPr>
              <w:t>być mecenat lub sponsoring podmiotów prywatnych.</w:t>
            </w:r>
            <w:r w:rsidR="00B40E3D">
              <w:rPr>
                <w:rFonts w:ascii="Calibri" w:hAnsi="Calibri"/>
                <w:color w:val="000000"/>
                <w:sz w:val="20"/>
              </w:rPr>
              <w:t xml:space="preserve"> </w:t>
            </w:r>
          </w:p>
        </w:tc>
      </w:tr>
      <w:tr w:rsidR="000D7217" w:rsidRPr="0006541D" w:rsidTr="009855D9">
        <w:trPr>
          <w:trHeight w:val="113"/>
        </w:trPr>
        <w:tc>
          <w:tcPr>
            <w:tcW w:w="9067" w:type="dxa"/>
            <w:gridSpan w:val="2"/>
            <w:tcBorders>
              <w:left w:val="nil"/>
              <w:right w:val="nil"/>
            </w:tcBorders>
            <w:shd w:val="clear" w:color="auto" w:fill="FFFFFF" w:themeFill="background1"/>
          </w:tcPr>
          <w:p w:rsidR="000D7217" w:rsidRPr="0006541D" w:rsidRDefault="000D7217" w:rsidP="00841C5B">
            <w:pPr>
              <w:rPr>
                <w:rFonts w:ascii="Calibri" w:hAnsi="Calibri"/>
                <w:color w:val="000000"/>
                <w:sz w:val="2"/>
              </w:rPr>
            </w:pP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0D7217" w:rsidRPr="0004045C" w:rsidRDefault="000D7217" w:rsidP="00B73014">
            <w:pPr>
              <w:jc w:val="center"/>
              <w:rPr>
                <w:rFonts w:ascii="Calibri" w:hAnsi="Calibri"/>
                <w:b/>
                <w:color w:val="000000"/>
                <w:sz w:val="20"/>
              </w:rPr>
            </w:pPr>
            <w:r w:rsidRPr="0004045C">
              <w:rPr>
                <w:rFonts w:ascii="Calibri" w:hAnsi="Calibri"/>
                <w:b/>
                <w:color w:val="FFFFFF" w:themeColor="background1"/>
                <w:sz w:val="22"/>
              </w:rPr>
              <w:lastRenderedPageBreak/>
              <w:t>Wskaźniki rezultatu dla Celu operacyjnego II.6</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9855D9" w:rsidRPr="009855D9" w:rsidRDefault="009855D9" w:rsidP="009855D9">
            <w:pPr>
              <w:pStyle w:val="Akapitzlist"/>
              <w:numPr>
                <w:ilvl w:val="0"/>
                <w:numId w:val="73"/>
              </w:numPr>
              <w:rPr>
                <w:rFonts w:ascii="Calibri" w:hAnsi="Calibri"/>
                <w:b/>
                <w:color w:val="000000"/>
                <w:sz w:val="20"/>
              </w:rPr>
            </w:pPr>
            <w:r w:rsidRPr="009855D9">
              <w:rPr>
                <w:rFonts w:ascii="Calibri" w:hAnsi="Calibri"/>
                <w:b/>
                <w:color w:val="000000"/>
                <w:sz w:val="20"/>
              </w:rPr>
              <w:t>Liczba dzieci i młodzieży uczestniczących w programach aktywizujących w zakresie oświaty, kultury i sportu</w:t>
            </w:r>
            <w:r>
              <w:rPr>
                <w:rFonts w:ascii="Calibri" w:hAnsi="Calibri"/>
                <w:b/>
                <w:color w:val="000000"/>
                <w:sz w:val="20"/>
              </w:rPr>
              <w:t>;</w:t>
            </w:r>
          </w:p>
          <w:p w:rsidR="009855D9" w:rsidRPr="009855D9" w:rsidRDefault="009855D9" w:rsidP="009855D9">
            <w:pPr>
              <w:pStyle w:val="Akapitzlist"/>
              <w:numPr>
                <w:ilvl w:val="0"/>
                <w:numId w:val="73"/>
              </w:numPr>
              <w:rPr>
                <w:rFonts w:ascii="Calibri" w:hAnsi="Calibri"/>
                <w:b/>
                <w:color w:val="000000"/>
                <w:sz w:val="20"/>
              </w:rPr>
            </w:pPr>
            <w:r w:rsidRPr="009855D9">
              <w:rPr>
                <w:rFonts w:ascii="Calibri" w:hAnsi="Calibri"/>
                <w:b/>
                <w:color w:val="000000"/>
                <w:sz w:val="20"/>
              </w:rPr>
              <w:t>Liczba dzieci i młodzieży korzystających ze zmodernizowanej/wybudowanej infrastruktury sportowej</w:t>
            </w:r>
            <w:r>
              <w:rPr>
                <w:rFonts w:ascii="Calibri" w:hAnsi="Calibri"/>
                <w:b/>
                <w:color w:val="000000"/>
                <w:sz w:val="20"/>
              </w:rPr>
              <w:t>;</w:t>
            </w:r>
          </w:p>
          <w:p w:rsidR="009855D9" w:rsidRPr="009855D9" w:rsidRDefault="009855D9" w:rsidP="009855D9">
            <w:pPr>
              <w:pStyle w:val="Akapitzlist"/>
              <w:numPr>
                <w:ilvl w:val="0"/>
                <w:numId w:val="73"/>
              </w:numPr>
              <w:rPr>
                <w:rFonts w:ascii="Calibri" w:hAnsi="Calibri"/>
                <w:b/>
                <w:color w:val="000000"/>
                <w:sz w:val="20"/>
              </w:rPr>
            </w:pPr>
            <w:r w:rsidRPr="009855D9">
              <w:rPr>
                <w:rFonts w:ascii="Calibri" w:hAnsi="Calibri"/>
                <w:b/>
                <w:color w:val="000000"/>
                <w:sz w:val="20"/>
              </w:rPr>
              <w:t>Liczba dzieci i młodzieży będącej członkami legnickich klubów sportowych</w:t>
            </w:r>
            <w:r>
              <w:rPr>
                <w:rFonts w:ascii="Calibri" w:hAnsi="Calibri"/>
                <w:b/>
                <w:color w:val="000000"/>
                <w:sz w:val="20"/>
              </w:rPr>
              <w:t>;</w:t>
            </w:r>
          </w:p>
          <w:p w:rsidR="009855D9" w:rsidRPr="009855D9" w:rsidRDefault="009855D9" w:rsidP="009855D9">
            <w:pPr>
              <w:pStyle w:val="Akapitzlist"/>
              <w:numPr>
                <w:ilvl w:val="0"/>
                <w:numId w:val="73"/>
              </w:numPr>
              <w:rPr>
                <w:rFonts w:ascii="Calibri" w:hAnsi="Calibri"/>
                <w:b/>
                <w:color w:val="000000"/>
                <w:sz w:val="20"/>
              </w:rPr>
            </w:pPr>
            <w:r w:rsidRPr="009855D9">
              <w:rPr>
                <w:rFonts w:ascii="Calibri" w:hAnsi="Calibri"/>
                <w:b/>
                <w:color w:val="000000"/>
                <w:sz w:val="20"/>
              </w:rPr>
              <w:t>Liczba zajęć w ramach realizowanego przez instytucje programu edukacji kulturalnej</w:t>
            </w:r>
            <w:r>
              <w:rPr>
                <w:rFonts w:ascii="Calibri" w:hAnsi="Calibri"/>
                <w:b/>
                <w:color w:val="000000"/>
                <w:sz w:val="20"/>
              </w:rPr>
              <w:t>;</w:t>
            </w:r>
          </w:p>
          <w:p w:rsidR="007C1AE1" w:rsidRPr="0004045C" w:rsidRDefault="009855D9" w:rsidP="009855D9">
            <w:pPr>
              <w:pStyle w:val="Akapitzlist"/>
              <w:numPr>
                <w:ilvl w:val="0"/>
                <w:numId w:val="73"/>
              </w:numPr>
              <w:rPr>
                <w:rFonts w:ascii="Calibri" w:hAnsi="Calibri"/>
                <w:b/>
                <w:color w:val="000000"/>
                <w:sz w:val="20"/>
              </w:rPr>
            </w:pPr>
            <w:r w:rsidRPr="009855D9">
              <w:rPr>
                <w:rFonts w:ascii="Calibri" w:hAnsi="Calibri"/>
                <w:b/>
                <w:color w:val="000000"/>
                <w:sz w:val="20"/>
              </w:rPr>
              <w:t>Ilość imprez kulturalnych organizowanych w ramach impresariatu</w:t>
            </w:r>
            <w:r w:rsidR="007C1AE1">
              <w:rPr>
                <w:rFonts w:ascii="Calibri" w:hAnsi="Calibri"/>
                <w:b/>
                <w:color w:val="000000"/>
                <w:sz w:val="20"/>
              </w:rPr>
              <w:t>;</w:t>
            </w:r>
          </w:p>
        </w:tc>
      </w:tr>
      <w:tr w:rsidR="0006541D" w:rsidRPr="0006541D" w:rsidTr="009855D9">
        <w:trPr>
          <w:trHeight w:val="113"/>
        </w:trPr>
        <w:tc>
          <w:tcPr>
            <w:tcW w:w="9067" w:type="dxa"/>
            <w:gridSpan w:val="2"/>
            <w:tcBorders>
              <w:left w:val="nil"/>
              <w:right w:val="nil"/>
            </w:tcBorders>
            <w:shd w:val="clear" w:color="auto" w:fill="FFFFFF" w:themeFill="background1"/>
          </w:tcPr>
          <w:p w:rsidR="0006541D" w:rsidRPr="0004045C" w:rsidRDefault="0006541D" w:rsidP="0062416A">
            <w:pPr>
              <w:pStyle w:val="Akapitzlist"/>
              <w:numPr>
                <w:ilvl w:val="0"/>
                <w:numId w:val="73"/>
              </w:numPr>
              <w:spacing w:line="240" w:lineRule="auto"/>
              <w:rPr>
                <w:rFonts w:ascii="Calibri" w:hAnsi="Calibri"/>
                <w:b/>
                <w:color w:val="000000"/>
                <w:sz w:val="2"/>
              </w:rPr>
            </w:pPr>
          </w:p>
        </w:tc>
      </w:tr>
      <w:tr w:rsidR="0045081C" w:rsidTr="009855D9">
        <w:trPr>
          <w:trHeight w:val="3724"/>
        </w:trPr>
        <w:tc>
          <w:tcPr>
            <w:tcW w:w="2553" w:type="dxa"/>
            <w:tcBorders>
              <w:right w:val="single" w:sz="4" w:space="0" w:color="auto"/>
            </w:tcBorders>
            <w:shd w:val="clear" w:color="auto" w:fill="C9C9C9" w:themeFill="accent3" w:themeFillTint="99"/>
          </w:tcPr>
          <w:p w:rsidR="00383F11" w:rsidRDefault="0045081C" w:rsidP="00A4447C">
            <w:pPr>
              <w:spacing w:line="240" w:lineRule="auto"/>
              <w:rPr>
                <w:rFonts w:asciiTheme="minorHAnsi" w:hAnsiTheme="minorHAnsi"/>
                <w:b/>
                <w:bCs/>
                <w:sz w:val="22"/>
              </w:rPr>
            </w:pPr>
            <w:r w:rsidRPr="00A45758">
              <w:rPr>
                <w:rFonts w:asciiTheme="minorHAnsi" w:hAnsiTheme="minorHAnsi"/>
                <w:b/>
                <w:bCs/>
                <w:sz w:val="22"/>
              </w:rPr>
              <w:t xml:space="preserve">Cel operacyjny II.7 - Wykorzystanie </w:t>
            </w:r>
            <w:r w:rsidR="00383F11">
              <w:rPr>
                <w:rFonts w:asciiTheme="minorHAnsi" w:hAnsiTheme="minorHAnsi"/>
                <w:b/>
                <w:bCs/>
                <w:sz w:val="22"/>
              </w:rPr>
              <w:t xml:space="preserve">nowoczesnych </w:t>
            </w:r>
            <w:r w:rsidRPr="00A45758">
              <w:rPr>
                <w:rFonts w:asciiTheme="minorHAnsi" w:hAnsiTheme="minorHAnsi"/>
                <w:b/>
                <w:bCs/>
                <w:sz w:val="22"/>
              </w:rPr>
              <w:t>te</w:t>
            </w:r>
            <w:r w:rsidR="00766C45">
              <w:rPr>
                <w:rFonts w:asciiTheme="minorHAnsi" w:hAnsiTheme="minorHAnsi"/>
                <w:b/>
                <w:bCs/>
                <w:sz w:val="22"/>
              </w:rPr>
              <w:t xml:space="preserve">chnologii </w:t>
            </w:r>
          </w:p>
          <w:p w:rsidR="0045081C" w:rsidRPr="00A45758" w:rsidRDefault="003B2DD6" w:rsidP="00A4447C">
            <w:pPr>
              <w:spacing w:line="240" w:lineRule="auto"/>
              <w:rPr>
                <w:rFonts w:asciiTheme="minorHAnsi" w:hAnsiTheme="minorHAnsi"/>
                <w:sz w:val="22"/>
              </w:rPr>
            </w:pPr>
            <w:r>
              <w:rPr>
                <w:rFonts w:asciiTheme="minorHAnsi" w:hAnsiTheme="minorHAnsi"/>
                <w:b/>
                <w:bCs/>
                <w:sz w:val="22"/>
              </w:rPr>
              <w:t>multimedialnych i </w:t>
            </w:r>
            <w:r w:rsidR="00383F11">
              <w:rPr>
                <w:rFonts w:asciiTheme="minorHAnsi" w:hAnsiTheme="minorHAnsi"/>
                <w:b/>
                <w:bCs/>
                <w:sz w:val="22"/>
              </w:rPr>
              <w:t xml:space="preserve">cyfrowych </w:t>
            </w:r>
            <w:r w:rsidR="00766C45">
              <w:rPr>
                <w:rFonts w:asciiTheme="minorHAnsi" w:hAnsiTheme="minorHAnsi"/>
                <w:b/>
                <w:bCs/>
                <w:sz w:val="22"/>
              </w:rPr>
              <w:t>w </w:t>
            </w:r>
            <w:r w:rsidR="0045081C" w:rsidRPr="00A45758">
              <w:rPr>
                <w:rFonts w:asciiTheme="minorHAnsi" w:hAnsiTheme="minorHAnsi"/>
                <w:b/>
                <w:bCs/>
                <w:sz w:val="22"/>
              </w:rPr>
              <w:t>rozwoju</w:t>
            </w:r>
            <w:r>
              <w:rPr>
                <w:rFonts w:asciiTheme="minorHAnsi" w:hAnsiTheme="minorHAnsi"/>
                <w:b/>
                <w:bCs/>
                <w:sz w:val="22"/>
              </w:rPr>
              <w:t xml:space="preserve"> i </w:t>
            </w:r>
            <w:r w:rsidR="00383F11">
              <w:rPr>
                <w:rFonts w:asciiTheme="minorHAnsi" w:hAnsiTheme="minorHAnsi"/>
                <w:b/>
                <w:bCs/>
                <w:sz w:val="22"/>
              </w:rPr>
              <w:t xml:space="preserve">promocji </w:t>
            </w:r>
            <w:r w:rsidR="0045081C" w:rsidRPr="00A45758">
              <w:rPr>
                <w:rFonts w:asciiTheme="minorHAnsi" w:hAnsiTheme="minorHAnsi"/>
                <w:b/>
                <w:bCs/>
                <w:sz w:val="22"/>
              </w:rPr>
              <w:t xml:space="preserve"> usł</w:t>
            </w:r>
            <w:r w:rsidR="00766C45">
              <w:rPr>
                <w:rFonts w:asciiTheme="minorHAnsi" w:hAnsiTheme="minorHAnsi"/>
                <w:b/>
                <w:bCs/>
                <w:sz w:val="22"/>
              </w:rPr>
              <w:t xml:space="preserve">ug kultury </w:t>
            </w:r>
          </w:p>
          <w:p w:rsidR="0045081C" w:rsidRPr="00A45758" w:rsidRDefault="0045081C" w:rsidP="00A4447C">
            <w:pPr>
              <w:spacing w:line="240" w:lineRule="auto"/>
              <w:rPr>
                <w:rFonts w:asciiTheme="minorHAnsi" w:hAnsiTheme="minorHAnsi"/>
                <w:sz w:val="22"/>
              </w:rPr>
            </w:pPr>
          </w:p>
        </w:tc>
        <w:tc>
          <w:tcPr>
            <w:tcW w:w="6514" w:type="dxa"/>
            <w:tcBorders>
              <w:top w:val="single" w:sz="4" w:space="0" w:color="auto"/>
              <w:left w:val="single" w:sz="4" w:space="0" w:color="auto"/>
              <w:right w:val="single" w:sz="4" w:space="0" w:color="auto"/>
            </w:tcBorders>
            <w:shd w:val="clear" w:color="auto" w:fill="EDEDED" w:themeFill="accent3" w:themeFillTint="33"/>
          </w:tcPr>
          <w:p w:rsidR="00FB27D0" w:rsidRDefault="0045081C" w:rsidP="00A4447C">
            <w:pPr>
              <w:spacing w:line="240" w:lineRule="auto"/>
              <w:rPr>
                <w:rFonts w:ascii="Calibri" w:hAnsi="Calibri"/>
                <w:color w:val="000000"/>
                <w:sz w:val="20"/>
              </w:rPr>
            </w:pPr>
            <w:r>
              <w:rPr>
                <w:rFonts w:ascii="Calibri" w:hAnsi="Calibri"/>
                <w:color w:val="000000"/>
                <w:sz w:val="20"/>
              </w:rPr>
              <w:t>Upowszechnianie wykorzystania technologii cyfrowych powinno dokonywać się na różnych płaszczyznach polityki miejskiej, a więc także</w:t>
            </w:r>
            <w:r w:rsidR="00FB27D0">
              <w:rPr>
                <w:rFonts w:ascii="Calibri" w:hAnsi="Calibri"/>
                <w:color w:val="000000"/>
                <w:sz w:val="20"/>
              </w:rPr>
              <w:t xml:space="preserve"> w instytucjach</w:t>
            </w:r>
            <w:r>
              <w:rPr>
                <w:rFonts w:ascii="Calibri" w:hAnsi="Calibri"/>
                <w:color w:val="000000"/>
                <w:sz w:val="20"/>
              </w:rPr>
              <w:t xml:space="preserve"> kultury. </w:t>
            </w:r>
          </w:p>
          <w:p w:rsidR="00FB27D0" w:rsidRDefault="00FB27D0" w:rsidP="00A4447C">
            <w:pPr>
              <w:spacing w:line="240" w:lineRule="auto"/>
              <w:rPr>
                <w:rFonts w:ascii="Calibri" w:hAnsi="Calibri"/>
                <w:color w:val="000000"/>
                <w:sz w:val="20"/>
              </w:rPr>
            </w:pPr>
          </w:p>
          <w:p w:rsidR="0045081C" w:rsidRDefault="00A606CB" w:rsidP="00A4447C">
            <w:pPr>
              <w:spacing w:line="240" w:lineRule="auto"/>
              <w:rPr>
                <w:rFonts w:ascii="Calibri" w:hAnsi="Calibri"/>
                <w:color w:val="000000"/>
                <w:sz w:val="20"/>
              </w:rPr>
            </w:pPr>
            <w:r>
              <w:rPr>
                <w:rFonts w:ascii="Calibri" w:hAnsi="Calibri"/>
                <w:color w:val="000000"/>
                <w:sz w:val="20"/>
              </w:rPr>
              <w:t>Internet zapewniający globalny zasięg</w:t>
            </w:r>
            <w:r w:rsidR="006C045A">
              <w:rPr>
                <w:rFonts w:ascii="Calibri" w:hAnsi="Calibri"/>
                <w:color w:val="000000"/>
                <w:sz w:val="20"/>
              </w:rPr>
              <w:t xml:space="preserve"> dostępu i</w:t>
            </w:r>
            <w:r w:rsidR="00BA7AC8">
              <w:rPr>
                <w:rFonts w:ascii="Calibri" w:hAnsi="Calibri"/>
                <w:color w:val="000000"/>
                <w:sz w:val="20"/>
              </w:rPr>
              <w:t xml:space="preserve"> </w:t>
            </w:r>
            <w:r w:rsidR="006C045A">
              <w:rPr>
                <w:rFonts w:ascii="Calibri" w:hAnsi="Calibri"/>
                <w:color w:val="000000"/>
                <w:sz w:val="20"/>
              </w:rPr>
              <w:t>przepływu informacji</w:t>
            </w:r>
            <w:r w:rsidR="0045081C">
              <w:rPr>
                <w:rFonts w:ascii="Calibri" w:hAnsi="Calibri"/>
                <w:color w:val="000000"/>
                <w:sz w:val="20"/>
              </w:rPr>
              <w:t xml:space="preserve"> powinien s</w:t>
            </w:r>
            <w:r w:rsidR="00FB27D0">
              <w:rPr>
                <w:rFonts w:ascii="Calibri" w:hAnsi="Calibri"/>
                <w:color w:val="000000"/>
                <w:sz w:val="20"/>
              </w:rPr>
              <w:t>tanowić kluczowy kanał</w:t>
            </w:r>
            <w:r w:rsidR="0045081C">
              <w:rPr>
                <w:rFonts w:ascii="Calibri" w:hAnsi="Calibri"/>
                <w:color w:val="000000"/>
                <w:sz w:val="20"/>
              </w:rPr>
              <w:t xml:space="preserve"> promocji i</w:t>
            </w:r>
            <w:r>
              <w:rPr>
                <w:rFonts w:ascii="Calibri" w:hAnsi="Calibri"/>
                <w:color w:val="000000"/>
                <w:sz w:val="20"/>
              </w:rPr>
              <w:t xml:space="preserve"> publikacji</w:t>
            </w:r>
            <w:r w:rsidR="0045081C">
              <w:rPr>
                <w:rFonts w:ascii="Calibri" w:hAnsi="Calibri"/>
                <w:color w:val="000000"/>
                <w:sz w:val="20"/>
              </w:rPr>
              <w:t xml:space="preserve"> informacji o mieście, zabytkach i wydarzeniach kulturalnych odbywających się na jego terenie. Warto zatem wdrażać i propagować rozwiązania pozwalające korzystać z tego bogatego medium komunikacji, np. </w:t>
            </w:r>
            <w:r w:rsidR="0045081C" w:rsidRPr="00AE5D7A">
              <w:rPr>
                <w:rFonts w:ascii="Calibri" w:hAnsi="Calibri"/>
                <w:b/>
                <w:color w:val="000000"/>
                <w:sz w:val="20"/>
              </w:rPr>
              <w:t xml:space="preserve">poprzez </w:t>
            </w:r>
            <w:r w:rsidR="00B40E3D">
              <w:rPr>
                <w:rFonts w:ascii="Calibri" w:hAnsi="Calibri"/>
                <w:b/>
                <w:color w:val="000000"/>
                <w:sz w:val="20"/>
              </w:rPr>
              <w:t>rozszerzenie funkcjonalności i zasięgu odbioru</w:t>
            </w:r>
            <w:r w:rsidR="0045081C" w:rsidRPr="00AE5D7A">
              <w:rPr>
                <w:rFonts w:ascii="Calibri" w:hAnsi="Calibri"/>
                <w:b/>
                <w:color w:val="000000"/>
                <w:sz w:val="20"/>
              </w:rPr>
              <w:t xml:space="preserve"> systemu informacji audiowizualnej i elektronicznej o wydarzeniach kulturalnych</w:t>
            </w:r>
            <w:r w:rsidR="0045081C" w:rsidRPr="00955473">
              <w:rPr>
                <w:rFonts w:ascii="Calibri" w:hAnsi="Calibri"/>
                <w:color w:val="000000"/>
                <w:sz w:val="20"/>
              </w:rPr>
              <w:t xml:space="preserve"> w</w:t>
            </w:r>
            <w:r w:rsidR="0045081C">
              <w:rPr>
                <w:rFonts w:ascii="Calibri" w:hAnsi="Calibri"/>
                <w:color w:val="000000"/>
                <w:sz w:val="20"/>
              </w:rPr>
              <w:t> </w:t>
            </w:r>
            <w:r w:rsidR="0045081C" w:rsidRPr="00955473">
              <w:rPr>
                <w:rFonts w:ascii="Calibri" w:hAnsi="Calibri"/>
                <w:color w:val="000000"/>
                <w:sz w:val="20"/>
              </w:rPr>
              <w:t>mieście</w:t>
            </w:r>
            <w:r w:rsidR="00FB27D0">
              <w:rPr>
                <w:rFonts w:ascii="Calibri" w:hAnsi="Calibri"/>
                <w:color w:val="000000"/>
                <w:sz w:val="20"/>
              </w:rPr>
              <w:t xml:space="preserve">. </w:t>
            </w:r>
            <w:r w:rsidR="0045081C">
              <w:rPr>
                <w:rFonts w:ascii="Calibri" w:hAnsi="Calibri"/>
                <w:color w:val="000000"/>
                <w:sz w:val="20"/>
              </w:rPr>
              <w:t xml:space="preserve">Nowoczesne technologie pozwalają także na </w:t>
            </w:r>
            <w:r w:rsidR="0045081C" w:rsidRPr="00AE5D7A">
              <w:rPr>
                <w:rFonts w:ascii="Calibri" w:hAnsi="Calibri"/>
                <w:b/>
                <w:color w:val="000000"/>
                <w:sz w:val="20"/>
              </w:rPr>
              <w:t>uatrakcyjnienie</w:t>
            </w:r>
            <w:r w:rsidR="0045081C">
              <w:rPr>
                <w:rFonts w:ascii="Calibri" w:hAnsi="Calibri"/>
                <w:color w:val="000000"/>
                <w:sz w:val="20"/>
              </w:rPr>
              <w:t xml:space="preserve"> (np. multimedialne elementy wystaw</w:t>
            </w:r>
            <w:r w:rsidR="00E657FF">
              <w:rPr>
                <w:rFonts w:ascii="Calibri" w:hAnsi="Calibri"/>
                <w:color w:val="000000"/>
                <w:sz w:val="20"/>
              </w:rPr>
              <w:t xml:space="preserve"> w</w:t>
            </w:r>
            <w:r w:rsidR="0045081C">
              <w:rPr>
                <w:rFonts w:ascii="Calibri" w:hAnsi="Calibri"/>
                <w:color w:val="000000"/>
                <w:sz w:val="20"/>
              </w:rPr>
              <w:t xml:space="preserve"> muzeach i galeriach sztuki) </w:t>
            </w:r>
            <w:r w:rsidR="0045081C" w:rsidRPr="00AE5D7A">
              <w:rPr>
                <w:rFonts w:ascii="Calibri" w:hAnsi="Calibri"/>
                <w:b/>
                <w:color w:val="000000"/>
                <w:sz w:val="20"/>
              </w:rPr>
              <w:t xml:space="preserve">i zwiększenie efektywności </w:t>
            </w:r>
            <w:r w:rsidR="0045081C">
              <w:rPr>
                <w:rFonts w:ascii="Calibri" w:hAnsi="Calibri"/>
                <w:color w:val="000000"/>
                <w:sz w:val="20"/>
              </w:rPr>
              <w:t xml:space="preserve">(Biblioteczne Okno na Świat, e-bilety) </w:t>
            </w:r>
            <w:r w:rsidR="0045081C" w:rsidRPr="00AE5D7A">
              <w:rPr>
                <w:rFonts w:ascii="Calibri" w:hAnsi="Calibri"/>
                <w:b/>
                <w:color w:val="000000"/>
                <w:sz w:val="20"/>
              </w:rPr>
              <w:t>działalności statutowej instytucji kultury</w:t>
            </w:r>
            <w:r w:rsidR="0045081C">
              <w:rPr>
                <w:rFonts w:ascii="Calibri" w:hAnsi="Calibri"/>
                <w:color w:val="000000"/>
                <w:sz w:val="20"/>
              </w:rPr>
              <w:t xml:space="preserve">, a także, poprzez dodatkowe rozwiązania, </w:t>
            </w:r>
            <w:r w:rsidR="0045081C" w:rsidRPr="00955473">
              <w:rPr>
                <w:rFonts w:ascii="Calibri" w:hAnsi="Calibri"/>
                <w:color w:val="000000"/>
                <w:sz w:val="20"/>
              </w:rPr>
              <w:t xml:space="preserve">umożliwiają </w:t>
            </w:r>
            <w:r w:rsidR="0045081C" w:rsidRPr="00AE5D7A">
              <w:rPr>
                <w:rFonts w:ascii="Calibri" w:hAnsi="Calibri"/>
                <w:b/>
                <w:color w:val="000000"/>
                <w:sz w:val="20"/>
              </w:rPr>
              <w:t>odbiór produktów kultury osobom niesłyszącym i niewidzącym,</w:t>
            </w:r>
            <w:r w:rsidR="0045081C">
              <w:rPr>
                <w:rFonts w:ascii="Calibri" w:hAnsi="Calibri"/>
                <w:color w:val="000000"/>
                <w:sz w:val="20"/>
              </w:rPr>
              <w:t xml:space="preserve"> zapobiegając w ten sposób ich wykluczeniu z życia kulturalnego miasta.</w:t>
            </w:r>
          </w:p>
          <w:p w:rsidR="00B463C4" w:rsidRDefault="00B463C4" w:rsidP="00A4447C">
            <w:pPr>
              <w:spacing w:line="240" w:lineRule="auto"/>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Zadaniami głównymi będą:</w:t>
            </w:r>
          </w:p>
          <w:p w:rsidR="009F2099" w:rsidRPr="0043551F" w:rsidRDefault="00B738E4" w:rsidP="0062416A">
            <w:pPr>
              <w:numPr>
                <w:ilvl w:val="0"/>
                <w:numId w:val="92"/>
              </w:numPr>
              <w:spacing w:line="240" w:lineRule="auto"/>
              <w:rPr>
                <w:rFonts w:ascii="Calibri" w:hAnsi="Calibri"/>
                <w:color w:val="000000"/>
                <w:sz w:val="20"/>
              </w:rPr>
            </w:pPr>
            <w:r w:rsidRPr="0043551F">
              <w:rPr>
                <w:rFonts w:ascii="Calibri" w:hAnsi="Calibri"/>
                <w:b/>
                <w:bCs/>
                <w:color w:val="000000"/>
                <w:sz w:val="20"/>
              </w:rPr>
              <w:t>Wyposażenie instytucji kultury w urządzenia multimedialne służące zwiększeniu efektywności i atrakcyjności działalności statutowej (np. Biblioteczne Okno na Świat);</w:t>
            </w:r>
          </w:p>
          <w:p w:rsidR="009F2099" w:rsidRPr="0043551F" w:rsidRDefault="00B738E4" w:rsidP="0062416A">
            <w:pPr>
              <w:numPr>
                <w:ilvl w:val="0"/>
                <w:numId w:val="92"/>
              </w:numPr>
              <w:spacing w:line="240" w:lineRule="auto"/>
              <w:rPr>
                <w:rFonts w:ascii="Calibri" w:hAnsi="Calibri"/>
                <w:color w:val="000000"/>
                <w:sz w:val="20"/>
              </w:rPr>
            </w:pPr>
            <w:r w:rsidRPr="0043551F">
              <w:rPr>
                <w:rFonts w:ascii="Calibri" w:hAnsi="Calibri"/>
                <w:b/>
                <w:bCs/>
                <w:color w:val="000000"/>
                <w:sz w:val="20"/>
              </w:rPr>
              <w:t>Wprowadzenie odpowiednich rozwiązań technologicznych umożliwiających odbiór produktów kultury osobom niesłyszącym i niewidzącym;</w:t>
            </w:r>
          </w:p>
          <w:p w:rsidR="009F2099" w:rsidRPr="0043551F" w:rsidRDefault="00B738E4" w:rsidP="0062416A">
            <w:pPr>
              <w:numPr>
                <w:ilvl w:val="0"/>
                <w:numId w:val="92"/>
              </w:numPr>
              <w:spacing w:line="240" w:lineRule="auto"/>
              <w:rPr>
                <w:rFonts w:ascii="Calibri" w:hAnsi="Calibri"/>
                <w:color w:val="000000"/>
                <w:sz w:val="20"/>
              </w:rPr>
            </w:pPr>
            <w:r w:rsidRPr="0043551F">
              <w:rPr>
                <w:rFonts w:ascii="Calibri" w:hAnsi="Calibri"/>
                <w:b/>
                <w:bCs/>
                <w:color w:val="000000"/>
                <w:sz w:val="20"/>
              </w:rPr>
              <w:t>Rozszerzenie systemu informacji audiowizualnej i elektronicznej o wydarzeniach kulturalnych i sportowych w mieście, o atrakcjach turystycznych miasta oraz dalsze wykorzystanie nowoczesnych kanałów komunikacji;</w:t>
            </w:r>
          </w:p>
          <w:p w:rsidR="0043551F" w:rsidRPr="0043551F" w:rsidRDefault="0043551F" w:rsidP="0043551F">
            <w:pPr>
              <w:spacing w:line="240" w:lineRule="auto"/>
              <w:ind w:left="720"/>
              <w:rPr>
                <w:rFonts w:ascii="Calibri" w:hAnsi="Calibri"/>
                <w:color w:val="000000"/>
                <w:sz w:val="20"/>
              </w:rPr>
            </w:pPr>
          </w:p>
          <w:p w:rsidR="0043551F" w:rsidRPr="0043551F" w:rsidRDefault="0043551F" w:rsidP="0043551F">
            <w:pPr>
              <w:spacing w:line="240" w:lineRule="auto"/>
              <w:rPr>
                <w:rFonts w:ascii="Calibri" w:hAnsi="Calibri"/>
                <w:color w:val="000000"/>
                <w:sz w:val="20"/>
              </w:rPr>
            </w:pPr>
            <w:r w:rsidRPr="0043551F">
              <w:rPr>
                <w:rFonts w:ascii="Calibri" w:hAnsi="Calibri"/>
                <w:color w:val="000000"/>
                <w:sz w:val="20"/>
              </w:rPr>
              <w:t>Zadaniem uzupełniającym będzie:</w:t>
            </w:r>
          </w:p>
          <w:p w:rsidR="009F2099" w:rsidRPr="0043551F" w:rsidRDefault="00B738E4" w:rsidP="0062416A">
            <w:pPr>
              <w:numPr>
                <w:ilvl w:val="0"/>
                <w:numId w:val="93"/>
              </w:numPr>
              <w:spacing w:line="240" w:lineRule="auto"/>
              <w:rPr>
                <w:rFonts w:ascii="Calibri" w:hAnsi="Calibri"/>
                <w:color w:val="000000"/>
                <w:sz w:val="20"/>
              </w:rPr>
            </w:pPr>
            <w:r w:rsidRPr="0043551F">
              <w:rPr>
                <w:rFonts w:ascii="Calibri" w:hAnsi="Calibri"/>
                <w:b/>
                <w:bCs/>
                <w:color w:val="000000"/>
                <w:sz w:val="20"/>
              </w:rPr>
              <w:t>Promocja miasta jako prężnego ośrodka organizującego wydarzenia  kulturalne i sportowe o zasięgu ponadregionalnym i międzynarodowym;</w:t>
            </w:r>
          </w:p>
          <w:p w:rsidR="00AA36E1" w:rsidRDefault="00AA36E1" w:rsidP="00AA36E1">
            <w:pPr>
              <w:spacing w:line="240" w:lineRule="auto"/>
              <w:rPr>
                <w:rFonts w:ascii="Calibri" w:hAnsi="Calibri"/>
                <w:color w:val="000000"/>
                <w:sz w:val="20"/>
              </w:rPr>
            </w:pPr>
          </w:p>
          <w:p w:rsidR="00AA36E1" w:rsidRPr="00AA36E1" w:rsidRDefault="00AA36E1" w:rsidP="00AA36E1">
            <w:pPr>
              <w:spacing w:line="240" w:lineRule="auto"/>
              <w:rPr>
                <w:rFonts w:ascii="Calibri" w:hAnsi="Calibri"/>
                <w:color w:val="000000"/>
                <w:sz w:val="20"/>
              </w:rPr>
            </w:pPr>
            <w:r>
              <w:rPr>
                <w:rFonts w:ascii="Calibri" w:hAnsi="Calibri"/>
                <w:color w:val="000000"/>
                <w:sz w:val="20"/>
              </w:rPr>
              <w:t>Źródłami finansowania inwestycji w tym zakresie będą środki własne budżetu miasta, a także źródła zewnętrzne (</w:t>
            </w:r>
            <w:r w:rsidRPr="00F967A4">
              <w:rPr>
                <w:rFonts w:ascii="Calibri" w:hAnsi="Calibri"/>
                <w:color w:val="000000"/>
                <w:sz w:val="20"/>
              </w:rPr>
              <w:t>PO Polska Cyfrowa,</w:t>
            </w:r>
            <w:r>
              <w:rPr>
                <w:rFonts w:ascii="Calibri" w:hAnsi="Calibri"/>
                <w:color w:val="000000"/>
                <w:sz w:val="20"/>
              </w:rPr>
              <w:t xml:space="preserve"> RPO Województwa Dolnośląs</w:t>
            </w:r>
            <w:r w:rsidR="00511324">
              <w:rPr>
                <w:rFonts w:ascii="Calibri" w:hAnsi="Calibri"/>
                <w:color w:val="000000"/>
                <w:sz w:val="20"/>
              </w:rPr>
              <w:t>kiego)</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0D7217" w:rsidRPr="0006541D" w:rsidTr="009855D9">
        <w:trPr>
          <w:trHeight w:val="113"/>
        </w:trPr>
        <w:tc>
          <w:tcPr>
            <w:tcW w:w="9067" w:type="dxa"/>
            <w:gridSpan w:val="2"/>
            <w:tcBorders>
              <w:left w:val="nil"/>
              <w:right w:val="nil"/>
            </w:tcBorders>
            <w:shd w:val="clear" w:color="auto" w:fill="FFFFFF" w:themeFill="background1"/>
          </w:tcPr>
          <w:p w:rsidR="000D7217" w:rsidRPr="0006541D" w:rsidRDefault="000D7217" w:rsidP="00841C5B">
            <w:pPr>
              <w:rPr>
                <w:rFonts w:ascii="Calibri" w:hAnsi="Calibri"/>
                <w:color w:val="000000"/>
                <w:sz w:val="2"/>
              </w:rPr>
            </w:pPr>
          </w:p>
        </w:tc>
      </w:tr>
      <w:tr w:rsidR="000D7217" w:rsidRPr="002E3FD4" w:rsidTr="009855D9">
        <w:trPr>
          <w:trHeight w:val="168"/>
        </w:trPr>
        <w:tc>
          <w:tcPr>
            <w:tcW w:w="9067" w:type="dxa"/>
            <w:gridSpan w:val="2"/>
            <w:tcBorders>
              <w:bottom w:val="single" w:sz="4" w:space="0" w:color="auto"/>
              <w:right w:val="single" w:sz="8" w:space="0" w:color="auto"/>
            </w:tcBorders>
            <w:shd w:val="clear" w:color="auto" w:fill="7B7B7B" w:themeFill="accent3" w:themeFillShade="BF"/>
          </w:tcPr>
          <w:p w:rsidR="000D7217" w:rsidRPr="002E3FD4" w:rsidRDefault="000D7217" w:rsidP="00B463C4">
            <w:pPr>
              <w:jc w:val="center"/>
              <w:rPr>
                <w:rFonts w:ascii="Calibri" w:hAnsi="Calibri"/>
                <w:b/>
                <w:color w:val="000000"/>
                <w:sz w:val="20"/>
                <w:highlight w:val="yellow"/>
              </w:rPr>
            </w:pPr>
            <w:r w:rsidRPr="00FE0E55">
              <w:rPr>
                <w:rFonts w:ascii="Calibri" w:hAnsi="Calibri"/>
                <w:b/>
                <w:color w:val="FFFFFF" w:themeColor="background1"/>
                <w:sz w:val="22"/>
              </w:rPr>
              <w:t>Wskaźniki rezultatu</w:t>
            </w:r>
            <w:r>
              <w:rPr>
                <w:rFonts w:ascii="Calibri" w:hAnsi="Calibri"/>
                <w:b/>
                <w:color w:val="FFFFFF" w:themeColor="background1"/>
                <w:sz w:val="22"/>
              </w:rPr>
              <w:t xml:space="preserve"> dla Celu operacyjnego II.</w:t>
            </w:r>
            <w:r w:rsidR="00E657FF">
              <w:rPr>
                <w:rFonts w:ascii="Calibri" w:hAnsi="Calibri"/>
                <w:b/>
                <w:color w:val="FFFFFF" w:themeColor="background1"/>
                <w:sz w:val="22"/>
              </w:rPr>
              <w:t>7</w:t>
            </w:r>
          </w:p>
        </w:tc>
      </w:tr>
      <w:tr w:rsidR="000D7217" w:rsidRPr="00FE0E55" w:rsidTr="009855D9">
        <w:trPr>
          <w:trHeight w:val="168"/>
        </w:trPr>
        <w:tc>
          <w:tcPr>
            <w:tcW w:w="9067" w:type="dxa"/>
            <w:gridSpan w:val="2"/>
            <w:tcBorders>
              <w:bottom w:val="single" w:sz="4" w:space="0" w:color="auto"/>
              <w:right w:val="single" w:sz="8" w:space="0" w:color="auto"/>
            </w:tcBorders>
            <w:shd w:val="clear" w:color="auto" w:fill="EDEDED" w:themeFill="accent3" w:themeFillTint="33"/>
          </w:tcPr>
          <w:p w:rsidR="009855D9" w:rsidRPr="009855D9" w:rsidRDefault="009855D9" w:rsidP="009855D9">
            <w:pPr>
              <w:pStyle w:val="Akapitzlist"/>
              <w:numPr>
                <w:ilvl w:val="0"/>
                <w:numId w:val="74"/>
              </w:numPr>
              <w:rPr>
                <w:rFonts w:ascii="Calibri" w:hAnsi="Calibri"/>
                <w:b/>
                <w:color w:val="000000"/>
                <w:sz w:val="20"/>
              </w:rPr>
            </w:pPr>
            <w:r w:rsidRPr="009855D9">
              <w:rPr>
                <w:rFonts w:ascii="Calibri" w:hAnsi="Calibri"/>
                <w:b/>
                <w:color w:val="000000"/>
                <w:sz w:val="20"/>
              </w:rPr>
              <w:t>Ilość wejść na strony instytucji kultury</w:t>
            </w:r>
            <w:r>
              <w:rPr>
                <w:rFonts w:ascii="Calibri" w:hAnsi="Calibri"/>
                <w:b/>
                <w:color w:val="000000"/>
                <w:sz w:val="20"/>
              </w:rPr>
              <w:t>;</w:t>
            </w:r>
          </w:p>
          <w:p w:rsidR="009855D9" w:rsidRPr="009855D9" w:rsidRDefault="009855D9" w:rsidP="009855D9">
            <w:pPr>
              <w:pStyle w:val="Akapitzlist"/>
              <w:numPr>
                <w:ilvl w:val="0"/>
                <w:numId w:val="74"/>
              </w:numPr>
              <w:rPr>
                <w:rFonts w:ascii="Calibri" w:hAnsi="Calibri"/>
                <w:b/>
                <w:color w:val="000000"/>
                <w:sz w:val="20"/>
              </w:rPr>
            </w:pPr>
            <w:r w:rsidRPr="009855D9">
              <w:rPr>
                <w:rFonts w:ascii="Calibri" w:hAnsi="Calibri"/>
                <w:b/>
                <w:color w:val="000000"/>
                <w:sz w:val="20"/>
              </w:rPr>
              <w:t>Ilość wydanych  loginów na ibuki</w:t>
            </w:r>
            <w:r>
              <w:rPr>
                <w:rFonts w:ascii="Calibri" w:hAnsi="Calibri"/>
                <w:b/>
                <w:color w:val="000000"/>
                <w:sz w:val="20"/>
              </w:rPr>
              <w:t>;</w:t>
            </w:r>
          </w:p>
          <w:p w:rsidR="0004045C" w:rsidRPr="0004045C" w:rsidRDefault="009855D9" w:rsidP="009855D9">
            <w:pPr>
              <w:pStyle w:val="Akapitzlist"/>
              <w:numPr>
                <w:ilvl w:val="0"/>
                <w:numId w:val="74"/>
              </w:numPr>
              <w:rPr>
                <w:rFonts w:ascii="Calibri" w:hAnsi="Calibri"/>
                <w:color w:val="000000"/>
                <w:sz w:val="20"/>
              </w:rPr>
            </w:pPr>
            <w:r w:rsidRPr="009855D9">
              <w:rPr>
                <w:rFonts w:ascii="Calibri" w:hAnsi="Calibri"/>
                <w:b/>
                <w:color w:val="000000"/>
                <w:sz w:val="20"/>
              </w:rPr>
              <w:t>Liczba imprez o znaczeniu ponadregionalnym i międzynarodowym</w:t>
            </w:r>
            <w:r w:rsidR="0004045C" w:rsidRPr="0004045C">
              <w:rPr>
                <w:rFonts w:ascii="Calibri" w:hAnsi="Calibri"/>
                <w:b/>
                <w:color w:val="000000"/>
                <w:sz w:val="20"/>
              </w:rPr>
              <w:t>;</w:t>
            </w:r>
          </w:p>
        </w:tc>
      </w:tr>
      <w:tr w:rsidR="0006541D" w:rsidRPr="0006541D" w:rsidTr="009855D9">
        <w:trPr>
          <w:trHeight w:val="113"/>
        </w:trPr>
        <w:tc>
          <w:tcPr>
            <w:tcW w:w="9067"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2"/>
              </w:rPr>
            </w:pPr>
          </w:p>
        </w:tc>
      </w:tr>
      <w:tr w:rsidR="008151C2" w:rsidTr="009855D9">
        <w:trPr>
          <w:trHeight w:val="1275"/>
        </w:trPr>
        <w:tc>
          <w:tcPr>
            <w:tcW w:w="2552" w:type="dxa"/>
            <w:tcBorders>
              <w:right w:val="single" w:sz="4" w:space="0" w:color="auto"/>
            </w:tcBorders>
            <w:shd w:val="clear" w:color="auto" w:fill="C9C9C9" w:themeFill="accent3" w:themeFillTint="99"/>
          </w:tcPr>
          <w:p w:rsidR="008151C2" w:rsidRPr="00A45758" w:rsidRDefault="008151C2" w:rsidP="00841C5B">
            <w:pPr>
              <w:rPr>
                <w:rFonts w:asciiTheme="minorHAnsi" w:hAnsiTheme="minorHAnsi"/>
                <w:sz w:val="22"/>
              </w:rPr>
            </w:pPr>
            <w:r w:rsidRPr="00A45758">
              <w:rPr>
                <w:rFonts w:asciiTheme="minorHAnsi" w:hAnsiTheme="minorHAnsi"/>
                <w:b/>
                <w:bCs/>
                <w:sz w:val="22"/>
              </w:rPr>
              <w:lastRenderedPageBreak/>
              <w:t>Cel operacy</w:t>
            </w:r>
            <w:r w:rsidR="00090C94">
              <w:rPr>
                <w:rFonts w:asciiTheme="minorHAnsi" w:hAnsiTheme="minorHAnsi"/>
                <w:b/>
                <w:bCs/>
                <w:sz w:val="22"/>
              </w:rPr>
              <w:t>jny II.8 - Wspieranie kultury i </w:t>
            </w:r>
            <w:r w:rsidRPr="00A45758">
              <w:rPr>
                <w:rFonts w:asciiTheme="minorHAnsi" w:hAnsiTheme="minorHAnsi"/>
                <w:b/>
                <w:bCs/>
                <w:sz w:val="22"/>
              </w:rPr>
              <w:t>edukacji mniejszości narodowych jako ważnego elementu atrakcyjności miasta</w:t>
            </w:r>
          </w:p>
          <w:p w:rsidR="008151C2" w:rsidRPr="00A45758" w:rsidRDefault="008151C2" w:rsidP="00841C5B">
            <w:pPr>
              <w:rPr>
                <w:rFonts w:asciiTheme="minorHAnsi" w:hAnsiTheme="minorHAnsi"/>
                <w:sz w:val="22"/>
              </w:rPr>
            </w:pPr>
          </w:p>
        </w:tc>
        <w:tc>
          <w:tcPr>
            <w:tcW w:w="6510" w:type="dxa"/>
            <w:tcBorders>
              <w:top w:val="single" w:sz="4" w:space="0" w:color="auto"/>
              <w:left w:val="single" w:sz="4" w:space="0" w:color="auto"/>
              <w:right w:val="single" w:sz="4" w:space="0" w:color="auto"/>
            </w:tcBorders>
            <w:shd w:val="clear" w:color="auto" w:fill="EDEDED" w:themeFill="accent3" w:themeFillTint="33"/>
          </w:tcPr>
          <w:p w:rsidR="008151C2" w:rsidRDefault="00090C94" w:rsidP="00A4447C">
            <w:pPr>
              <w:spacing w:line="240" w:lineRule="auto"/>
              <w:rPr>
                <w:rFonts w:ascii="Calibri" w:hAnsi="Calibri"/>
                <w:sz w:val="20"/>
              </w:rPr>
            </w:pPr>
            <w:r>
              <w:rPr>
                <w:rFonts w:ascii="Calibri" w:hAnsi="Calibri"/>
                <w:color w:val="000000"/>
                <w:sz w:val="20"/>
              </w:rPr>
              <w:t xml:space="preserve">Legnica </w:t>
            </w:r>
            <w:r w:rsidR="00250268">
              <w:rPr>
                <w:rFonts w:ascii="Calibri" w:hAnsi="Calibri"/>
                <w:color w:val="000000"/>
                <w:sz w:val="20"/>
              </w:rPr>
              <w:t>jest miastem o niezwykle barwnej i burzliwej historii,</w:t>
            </w:r>
            <w:r>
              <w:rPr>
                <w:rFonts w:ascii="Calibri" w:hAnsi="Calibri"/>
                <w:color w:val="000000"/>
                <w:sz w:val="20"/>
              </w:rPr>
              <w:t xml:space="preserve"> posiada</w:t>
            </w:r>
            <w:r w:rsidR="00250268">
              <w:rPr>
                <w:rFonts w:ascii="Calibri" w:hAnsi="Calibri"/>
                <w:color w:val="000000"/>
                <w:sz w:val="20"/>
              </w:rPr>
              <w:t>jącym</w:t>
            </w:r>
            <w:r w:rsidR="00A4447C">
              <w:rPr>
                <w:rFonts w:ascii="Calibri" w:hAnsi="Calibri"/>
                <w:color w:val="000000"/>
                <w:sz w:val="20"/>
              </w:rPr>
              <w:t xml:space="preserve"> w </w:t>
            </w:r>
            <w:r>
              <w:rPr>
                <w:rFonts w:ascii="Calibri" w:hAnsi="Calibri"/>
                <w:color w:val="000000"/>
                <w:sz w:val="20"/>
              </w:rPr>
              <w:t>swojej społeczności licznych przedstawicieli mniejszości narodowych, którzy kultywując swój język, kulturę i tradycję wpływają na specyficzny, wi</w:t>
            </w:r>
            <w:r w:rsidR="006170B6">
              <w:rPr>
                <w:rFonts w:ascii="Calibri" w:hAnsi="Calibri"/>
                <w:color w:val="000000"/>
                <w:sz w:val="20"/>
              </w:rPr>
              <w:t xml:space="preserve">elokulturowy charakter miasta. </w:t>
            </w:r>
            <w:r w:rsidR="008151C2" w:rsidRPr="00AE5D7A">
              <w:rPr>
                <w:rFonts w:ascii="Calibri" w:hAnsi="Calibri"/>
                <w:b/>
                <w:color w:val="000000"/>
                <w:sz w:val="20"/>
              </w:rPr>
              <w:t>Kontynuowanie or</w:t>
            </w:r>
            <w:r w:rsidR="00650580">
              <w:rPr>
                <w:rFonts w:ascii="Calibri" w:hAnsi="Calibri"/>
                <w:b/>
                <w:color w:val="000000"/>
                <w:sz w:val="20"/>
              </w:rPr>
              <w:t>ganizacji różnorodnych wydarzeń</w:t>
            </w:r>
            <w:r w:rsidR="008151C2" w:rsidRPr="00AE5D7A">
              <w:rPr>
                <w:rFonts w:ascii="Calibri" w:hAnsi="Calibri"/>
                <w:b/>
                <w:color w:val="000000"/>
                <w:sz w:val="20"/>
              </w:rPr>
              <w:t>, fest</w:t>
            </w:r>
            <w:r w:rsidR="00FB27D0" w:rsidRPr="00AE5D7A">
              <w:rPr>
                <w:rFonts w:ascii="Calibri" w:hAnsi="Calibri"/>
                <w:b/>
                <w:color w:val="000000"/>
                <w:sz w:val="20"/>
              </w:rPr>
              <w:t>iwali , przeglądów, konferencji</w:t>
            </w:r>
            <w:r w:rsidRPr="00AE5D7A">
              <w:rPr>
                <w:rFonts w:ascii="Calibri" w:hAnsi="Calibri"/>
                <w:b/>
                <w:color w:val="000000"/>
                <w:sz w:val="20"/>
              </w:rPr>
              <w:t xml:space="preserve"> oraz innych inicjatyw</w:t>
            </w:r>
            <w:r w:rsidR="008151C2" w:rsidRPr="00AE5D7A">
              <w:rPr>
                <w:rFonts w:ascii="Calibri" w:hAnsi="Calibri"/>
                <w:b/>
                <w:color w:val="000000"/>
                <w:sz w:val="20"/>
              </w:rPr>
              <w:t xml:space="preserve"> służących kultywowaniu tradycji mniejszości narodowych</w:t>
            </w:r>
            <w:r w:rsidR="008151C2" w:rsidRPr="00955473">
              <w:rPr>
                <w:rFonts w:ascii="Calibri" w:hAnsi="Calibri"/>
                <w:color w:val="000000"/>
                <w:sz w:val="20"/>
              </w:rPr>
              <w:t xml:space="preserve"> i ich prezentowania na zewnątrz</w:t>
            </w:r>
            <w:r>
              <w:rPr>
                <w:rFonts w:ascii="Calibri" w:hAnsi="Calibri"/>
                <w:color w:val="000000"/>
                <w:sz w:val="20"/>
              </w:rPr>
              <w:t xml:space="preserve">, stanowić będzie ważny czynnik wpływający na atrakcyjność turystyczną i kulturową miasta. </w:t>
            </w:r>
            <w:r>
              <w:rPr>
                <w:rFonts w:ascii="Calibri" w:hAnsi="Calibri"/>
                <w:sz w:val="20"/>
              </w:rPr>
              <w:tab/>
            </w:r>
          </w:p>
          <w:p w:rsidR="00B463C4" w:rsidRDefault="00B463C4" w:rsidP="00A4447C">
            <w:pPr>
              <w:spacing w:line="240" w:lineRule="auto"/>
              <w:rPr>
                <w:rFonts w:ascii="Calibri" w:hAnsi="Calibri"/>
                <w:sz w:val="20"/>
              </w:rPr>
            </w:pPr>
          </w:p>
          <w:p w:rsidR="0043551F" w:rsidRPr="0043551F" w:rsidRDefault="0043551F" w:rsidP="0043551F">
            <w:pPr>
              <w:spacing w:line="240" w:lineRule="auto"/>
              <w:rPr>
                <w:rFonts w:ascii="Calibri" w:hAnsi="Calibri"/>
                <w:sz w:val="20"/>
              </w:rPr>
            </w:pPr>
            <w:r w:rsidRPr="0043551F">
              <w:rPr>
                <w:rFonts w:ascii="Calibri" w:hAnsi="Calibri"/>
                <w:sz w:val="20"/>
              </w:rPr>
              <w:t>Zadaniami głównymi będą:</w:t>
            </w:r>
          </w:p>
          <w:p w:rsidR="009F2099" w:rsidRPr="0043551F" w:rsidRDefault="00B738E4" w:rsidP="0062416A">
            <w:pPr>
              <w:numPr>
                <w:ilvl w:val="0"/>
                <w:numId w:val="94"/>
              </w:numPr>
              <w:spacing w:line="240" w:lineRule="auto"/>
              <w:rPr>
                <w:rFonts w:ascii="Calibri" w:hAnsi="Calibri"/>
                <w:sz w:val="20"/>
              </w:rPr>
            </w:pPr>
            <w:r w:rsidRPr="0043551F">
              <w:rPr>
                <w:rFonts w:ascii="Calibri" w:hAnsi="Calibri"/>
                <w:b/>
                <w:bCs/>
                <w:sz w:val="20"/>
              </w:rPr>
              <w:t>Kontynuowanie organizacji różnorodnych wydarzeń, festiwali, przeglądów, konferencji, itp. służących kultywowaniu tradycji mniejszości narodowych i ich prezentowania na zewnątrz;</w:t>
            </w:r>
          </w:p>
          <w:p w:rsidR="009F2099" w:rsidRPr="0043551F" w:rsidRDefault="00B738E4" w:rsidP="0062416A">
            <w:pPr>
              <w:numPr>
                <w:ilvl w:val="0"/>
                <w:numId w:val="94"/>
              </w:numPr>
              <w:spacing w:line="240" w:lineRule="auto"/>
              <w:rPr>
                <w:rFonts w:ascii="Calibri" w:hAnsi="Calibri"/>
                <w:sz w:val="20"/>
              </w:rPr>
            </w:pPr>
            <w:r w:rsidRPr="0043551F">
              <w:rPr>
                <w:rFonts w:ascii="Calibri" w:hAnsi="Calibri"/>
                <w:b/>
                <w:bCs/>
                <w:sz w:val="20"/>
              </w:rPr>
              <w:t>Promocja Legnicy jako miasta wielu kultur;</w:t>
            </w:r>
          </w:p>
          <w:p w:rsidR="00511324" w:rsidRDefault="00511324" w:rsidP="00511324">
            <w:pPr>
              <w:pStyle w:val="Akapitzlist"/>
              <w:spacing w:line="240" w:lineRule="auto"/>
              <w:rPr>
                <w:rFonts w:ascii="Calibri" w:hAnsi="Calibri"/>
                <w:sz w:val="20"/>
              </w:rPr>
            </w:pPr>
          </w:p>
          <w:p w:rsidR="00511324" w:rsidRPr="00511324" w:rsidRDefault="00511324" w:rsidP="00511324">
            <w:pPr>
              <w:spacing w:line="240" w:lineRule="auto"/>
              <w:rPr>
                <w:rFonts w:ascii="Calibri" w:hAnsi="Calibri"/>
                <w:sz w:val="20"/>
              </w:rPr>
            </w:pPr>
            <w:r>
              <w:rPr>
                <w:rFonts w:ascii="Calibri" w:hAnsi="Calibri"/>
                <w:sz w:val="20"/>
              </w:rPr>
              <w:t>Głównym źródłem finansowania inicjatyw realizowanych w ramach tego celu bę</w:t>
            </w:r>
            <w:r w:rsidR="006308E8">
              <w:rPr>
                <w:rFonts w:ascii="Calibri" w:hAnsi="Calibri"/>
                <w:sz w:val="20"/>
              </w:rPr>
              <w:t>dą środki własne budżetu miasta o</w:t>
            </w:r>
            <w:r w:rsidR="005B319A">
              <w:rPr>
                <w:rFonts w:ascii="Calibri" w:hAnsi="Calibri"/>
                <w:sz w:val="20"/>
              </w:rPr>
              <w:t>raz programy Ministra Kultury i </w:t>
            </w:r>
            <w:r w:rsidR="006308E8">
              <w:rPr>
                <w:rFonts w:ascii="Calibri" w:hAnsi="Calibri"/>
                <w:sz w:val="20"/>
              </w:rPr>
              <w:t xml:space="preserve">Dziedzictwa Narodowego. </w:t>
            </w:r>
          </w:p>
        </w:tc>
      </w:tr>
      <w:tr w:rsidR="000D7217" w:rsidTr="009855D9">
        <w:trPr>
          <w:trHeight w:val="113"/>
        </w:trPr>
        <w:tc>
          <w:tcPr>
            <w:tcW w:w="9062" w:type="dxa"/>
            <w:gridSpan w:val="2"/>
            <w:tcBorders>
              <w:left w:val="nil"/>
              <w:right w:val="nil"/>
            </w:tcBorders>
            <w:shd w:val="clear" w:color="auto" w:fill="FFFFFF" w:themeFill="background1"/>
          </w:tcPr>
          <w:p w:rsidR="000D7217" w:rsidRPr="0006541D" w:rsidRDefault="000D7217" w:rsidP="00841C5B">
            <w:pPr>
              <w:rPr>
                <w:rFonts w:ascii="Calibri" w:hAnsi="Calibri"/>
                <w:color w:val="000000"/>
                <w:sz w:val="6"/>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7B7B7B" w:themeFill="accent3" w:themeFillShade="BF"/>
          </w:tcPr>
          <w:p w:rsidR="000D7217" w:rsidRPr="0004045C" w:rsidRDefault="000D7217" w:rsidP="00B73014">
            <w:pPr>
              <w:jc w:val="center"/>
              <w:rPr>
                <w:rFonts w:ascii="Calibri" w:hAnsi="Calibri"/>
                <w:b/>
                <w:color w:val="000000"/>
                <w:sz w:val="20"/>
              </w:rPr>
            </w:pPr>
            <w:r w:rsidRPr="0004045C">
              <w:rPr>
                <w:rFonts w:ascii="Calibri" w:hAnsi="Calibri"/>
                <w:b/>
                <w:color w:val="FFFFFF" w:themeColor="background1"/>
                <w:sz w:val="22"/>
              </w:rPr>
              <w:t>Wskaźniki rezultatu dla Celu operacyjnego II.8</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EDEDED" w:themeFill="accent3" w:themeFillTint="33"/>
          </w:tcPr>
          <w:p w:rsidR="000D7217" w:rsidRPr="0004045C" w:rsidRDefault="009855D9" w:rsidP="009855D9">
            <w:pPr>
              <w:pStyle w:val="Akapitzlist"/>
              <w:numPr>
                <w:ilvl w:val="0"/>
                <w:numId w:val="57"/>
              </w:numPr>
              <w:rPr>
                <w:rFonts w:ascii="Calibri" w:hAnsi="Calibri"/>
                <w:b/>
                <w:color w:val="000000"/>
                <w:sz w:val="20"/>
              </w:rPr>
            </w:pPr>
            <w:r w:rsidRPr="009855D9">
              <w:rPr>
                <w:rFonts w:ascii="Calibri" w:hAnsi="Calibri"/>
                <w:b/>
                <w:color w:val="000000"/>
                <w:sz w:val="20"/>
              </w:rPr>
              <w:t>Liczba imprez promujących kulturę mniejszości narodowych</w:t>
            </w:r>
            <w:r>
              <w:rPr>
                <w:rFonts w:ascii="Calibri" w:hAnsi="Calibri"/>
                <w:b/>
                <w:color w:val="000000"/>
                <w:sz w:val="20"/>
              </w:rPr>
              <w:t>,</w:t>
            </w:r>
          </w:p>
        </w:tc>
      </w:tr>
      <w:tr w:rsidR="0006541D" w:rsidTr="009855D9">
        <w:trPr>
          <w:trHeight w:val="227"/>
        </w:trPr>
        <w:tc>
          <w:tcPr>
            <w:tcW w:w="9062"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6"/>
              </w:rPr>
            </w:pPr>
          </w:p>
        </w:tc>
      </w:tr>
      <w:tr w:rsidR="00D36034" w:rsidTr="009855D9">
        <w:tc>
          <w:tcPr>
            <w:tcW w:w="9062" w:type="dxa"/>
            <w:gridSpan w:val="2"/>
            <w:tcBorders>
              <w:bottom w:val="single" w:sz="4" w:space="0" w:color="auto"/>
            </w:tcBorders>
            <w:shd w:val="clear" w:color="auto" w:fill="FFC000" w:themeFill="accent4"/>
            <w:vAlign w:val="center"/>
          </w:tcPr>
          <w:p w:rsidR="00EA76D8" w:rsidRPr="00EA76D8" w:rsidRDefault="00D36034" w:rsidP="00EA76D8">
            <w:pPr>
              <w:spacing w:before="240" w:after="240"/>
              <w:jc w:val="center"/>
              <w:rPr>
                <w:rFonts w:asciiTheme="minorHAnsi" w:hAnsiTheme="minorHAnsi"/>
                <w:b/>
                <w:bCs/>
                <w:i/>
                <w:iCs/>
                <w:color w:val="FFFFFF" w:themeColor="background1"/>
                <w:sz w:val="32"/>
              </w:rPr>
            </w:pPr>
            <w:r w:rsidRPr="00EA76D8">
              <w:rPr>
                <w:rFonts w:asciiTheme="minorHAnsi" w:hAnsiTheme="minorHAnsi"/>
                <w:b/>
                <w:bCs/>
                <w:color w:val="FFFFFF" w:themeColor="background1"/>
                <w:sz w:val="32"/>
              </w:rPr>
              <w:t xml:space="preserve">Cel strategiczny III - </w:t>
            </w:r>
            <w:r w:rsidRPr="00EA76D8">
              <w:rPr>
                <w:rFonts w:asciiTheme="minorHAnsi" w:hAnsiTheme="minorHAnsi"/>
                <w:b/>
                <w:bCs/>
                <w:i/>
                <w:iCs/>
                <w:color w:val="FFFFFF" w:themeColor="background1"/>
                <w:sz w:val="32"/>
              </w:rPr>
              <w:t>Poprawa jakości i warunków życia Legniczan</w:t>
            </w:r>
          </w:p>
        </w:tc>
      </w:tr>
      <w:tr w:rsidR="0006541D" w:rsidRPr="0006541D" w:rsidTr="009855D9">
        <w:trPr>
          <w:trHeight w:val="227"/>
        </w:trPr>
        <w:tc>
          <w:tcPr>
            <w:tcW w:w="9062" w:type="dxa"/>
            <w:gridSpan w:val="2"/>
            <w:tcBorders>
              <w:left w:val="nil"/>
              <w:right w:val="nil"/>
            </w:tcBorders>
            <w:shd w:val="clear" w:color="auto" w:fill="FFFFFF" w:themeFill="background1"/>
          </w:tcPr>
          <w:p w:rsidR="0006541D" w:rsidRPr="0006541D" w:rsidRDefault="0006541D" w:rsidP="00A45758">
            <w:pPr>
              <w:jc w:val="center"/>
              <w:rPr>
                <w:rFonts w:asciiTheme="minorHAnsi" w:hAnsiTheme="minorHAnsi"/>
                <w:b/>
                <w:bCs/>
                <w:color w:val="FFFFFF" w:themeColor="background1"/>
                <w:sz w:val="6"/>
              </w:rPr>
            </w:pPr>
          </w:p>
        </w:tc>
      </w:tr>
      <w:tr w:rsidR="009759D0" w:rsidTr="009855D9">
        <w:trPr>
          <w:trHeight w:val="1023"/>
        </w:trPr>
        <w:tc>
          <w:tcPr>
            <w:tcW w:w="2552" w:type="dxa"/>
            <w:tcBorders>
              <w:right w:val="single" w:sz="4" w:space="0" w:color="auto"/>
            </w:tcBorders>
            <w:shd w:val="clear" w:color="auto" w:fill="FFD966" w:themeFill="accent4" w:themeFillTint="99"/>
          </w:tcPr>
          <w:p w:rsidR="009759D0" w:rsidRPr="00A45758" w:rsidRDefault="009759D0" w:rsidP="007A56CD">
            <w:pPr>
              <w:rPr>
                <w:rFonts w:asciiTheme="minorHAnsi" w:hAnsiTheme="minorHAnsi"/>
                <w:sz w:val="22"/>
              </w:rPr>
            </w:pPr>
            <w:r w:rsidRPr="00A45758">
              <w:rPr>
                <w:rFonts w:asciiTheme="minorHAnsi" w:hAnsiTheme="minorHAnsi"/>
                <w:b/>
                <w:bCs/>
                <w:sz w:val="22"/>
              </w:rPr>
              <w:t xml:space="preserve">Cel operacyjny III.1 - </w:t>
            </w:r>
            <w:r w:rsidR="007A56CD">
              <w:rPr>
                <w:rFonts w:asciiTheme="minorHAnsi" w:hAnsiTheme="minorHAnsi"/>
                <w:b/>
                <w:bCs/>
                <w:sz w:val="22"/>
              </w:rPr>
              <w:t>Podniesienie jakości usług społecznych</w:t>
            </w:r>
            <w:r w:rsidR="007A56CD" w:rsidRPr="00A45758">
              <w:rPr>
                <w:rFonts w:asciiTheme="minorHAnsi" w:hAnsiTheme="minorHAnsi"/>
                <w:b/>
                <w:bCs/>
                <w:sz w:val="22"/>
              </w:rPr>
              <w:t xml:space="preserve"> i ochrony zdrowia</w:t>
            </w:r>
          </w:p>
        </w:tc>
        <w:tc>
          <w:tcPr>
            <w:tcW w:w="6510" w:type="dxa"/>
            <w:tcBorders>
              <w:top w:val="single" w:sz="4" w:space="0" w:color="auto"/>
              <w:left w:val="single" w:sz="4" w:space="0" w:color="auto"/>
              <w:right w:val="single" w:sz="4" w:space="0" w:color="auto"/>
            </w:tcBorders>
            <w:shd w:val="clear" w:color="auto" w:fill="FFF2CC" w:themeFill="accent4" w:themeFillTint="33"/>
            <w:vAlign w:val="bottom"/>
          </w:tcPr>
          <w:p w:rsidR="007A56CD" w:rsidRDefault="00F80796" w:rsidP="007A56CD">
            <w:pPr>
              <w:spacing w:line="240" w:lineRule="auto"/>
              <w:rPr>
                <w:rFonts w:asciiTheme="minorHAnsi" w:hAnsiTheme="minorHAnsi"/>
                <w:sz w:val="20"/>
              </w:rPr>
            </w:pPr>
            <w:r>
              <w:rPr>
                <w:rFonts w:asciiTheme="minorHAnsi" w:hAnsiTheme="minorHAnsi"/>
                <w:sz w:val="20"/>
              </w:rPr>
              <w:t>Realizacja tego celu ma służyć utrzymaniu wysokich standardów świadczonych usł</w:t>
            </w:r>
            <w:r w:rsidR="006C1854">
              <w:rPr>
                <w:rFonts w:asciiTheme="minorHAnsi" w:hAnsiTheme="minorHAnsi"/>
                <w:sz w:val="20"/>
              </w:rPr>
              <w:t>ug społecznych oraz ich lepszemu dostosowaniu</w:t>
            </w:r>
            <w:r>
              <w:rPr>
                <w:rFonts w:asciiTheme="minorHAnsi" w:hAnsiTheme="minorHAnsi"/>
                <w:sz w:val="20"/>
              </w:rPr>
              <w:t xml:space="preserve"> do potrzeb mieszkańców.</w:t>
            </w:r>
          </w:p>
          <w:p w:rsidR="00F80796" w:rsidRDefault="00F80796" w:rsidP="007A56CD">
            <w:pPr>
              <w:spacing w:line="240" w:lineRule="auto"/>
              <w:rPr>
                <w:rFonts w:asciiTheme="minorHAnsi" w:hAnsiTheme="minorHAnsi"/>
                <w:sz w:val="20"/>
              </w:rPr>
            </w:pPr>
          </w:p>
          <w:p w:rsidR="00F80796" w:rsidRPr="00F80796" w:rsidRDefault="00F80796" w:rsidP="007A56CD">
            <w:pPr>
              <w:spacing w:line="240" w:lineRule="auto"/>
              <w:rPr>
                <w:rFonts w:asciiTheme="minorHAnsi" w:hAnsiTheme="minorHAnsi"/>
                <w:sz w:val="20"/>
              </w:rPr>
            </w:pPr>
            <w:r>
              <w:rPr>
                <w:rFonts w:asciiTheme="minorHAnsi" w:hAnsiTheme="minorHAnsi"/>
                <w:sz w:val="20"/>
              </w:rPr>
              <w:t xml:space="preserve">Przykładem działań podejmowanych w ramach celu III.1 może być utrzymanie </w:t>
            </w:r>
            <w:r w:rsidRPr="00F80796">
              <w:rPr>
                <w:rFonts w:asciiTheme="minorHAnsi" w:hAnsiTheme="minorHAnsi"/>
                <w:b/>
                <w:sz w:val="20"/>
              </w:rPr>
              <w:t>zabezpieczenia potrzeb mieszkańców w zakresie opieki na</w:t>
            </w:r>
            <w:r>
              <w:rPr>
                <w:rFonts w:asciiTheme="minorHAnsi" w:hAnsiTheme="minorHAnsi"/>
                <w:b/>
                <w:sz w:val="20"/>
              </w:rPr>
              <w:t>d</w:t>
            </w:r>
            <w:r w:rsidRPr="00F80796">
              <w:rPr>
                <w:rFonts w:asciiTheme="minorHAnsi" w:hAnsiTheme="minorHAnsi"/>
                <w:b/>
                <w:sz w:val="20"/>
              </w:rPr>
              <w:t xml:space="preserve"> małymi dziećmi</w:t>
            </w:r>
            <w:r>
              <w:rPr>
                <w:rFonts w:asciiTheme="minorHAnsi" w:hAnsiTheme="minorHAnsi"/>
                <w:b/>
                <w:sz w:val="20"/>
              </w:rPr>
              <w:t xml:space="preserve">, </w:t>
            </w:r>
            <w:r>
              <w:rPr>
                <w:rFonts w:asciiTheme="minorHAnsi" w:hAnsiTheme="minorHAnsi"/>
                <w:sz w:val="20"/>
              </w:rPr>
              <w:t>poprzez wspieranie działalności i podwyższanie standardów w żłobkach, klubach malucha i przedszkolach. Dostęp</w:t>
            </w:r>
            <w:r w:rsidR="006C1854">
              <w:rPr>
                <w:rFonts w:asciiTheme="minorHAnsi" w:hAnsiTheme="minorHAnsi"/>
                <w:sz w:val="20"/>
              </w:rPr>
              <w:t xml:space="preserve"> do placówek przedszkolnych i </w:t>
            </w:r>
            <w:r>
              <w:rPr>
                <w:rFonts w:asciiTheme="minorHAnsi" w:hAnsiTheme="minorHAnsi"/>
                <w:sz w:val="20"/>
              </w:rPr>
              <w:t>żłó</w:t>
            </w:r>
            <w:r w:rsidR="006C1854">
              <w:rPr>
                <w:rFonts w:asciiTheme="minorHAnsi" w:hAnsiTheme="minorHAnsi"/>
                <w:sz w:val="20"/>
              </w:rPr>
              <w:t xml:space="preserve">bków jest niezwykle istotny </w:t>
            </w:r>
            <w:r>
              <w:rPr>
                <w:rFonts w:asciiTheme="minorHAnsi" w:hAnsiTheme="minorHAnsi"/>
                <w:sz w:val="20"/>
              </w:rPr>
              <w:t xml:space="preserve">z perspektywy dzisiejszych wyzwań demograficznych i społecznych. </w:t>
            </w:r>
            <w:r w:rsidR="006C1854">
              <w:rPr>
                <w:rFonts w:asciiTheme="minorHAnsi" w:hAnsiTheme="minorHAnsi"/>
                <w:sz w:val="20"/>
              </w:rPr>
              <w:t>Stanowi podstawę do prowadzenia polityki prorodzinnej, a także umożliwia rodzicom powrót do czynnej pracy zawodowej.</w:t>
            </w:r>
          </w:p>
          <w:p w:rsidR="007A56CD" w:rsidRDefault="007A56CD" w:rsidP="007A56CD">
            <w:pPr>
              <w:spacing w:line="240" w:lineRule="auto"/>
              <w:rPr>
                <w:rFonts w:asciiTheme="minorHAnsi" w:hAnsiTheme="minorHAnsi"/>
                <w:sz w:val="20"/>
              </w:rPr>
            </w:pPr>
          </w:p>
          <w:p w:rsidR="007A56CD" w:rsidRDefault="00E57FF8" w:rsidP="007A56CD">
            <w:pPr>
              <w:spacing w:line="240" w:lineRule="auto"/>
              <w:rPr>
                <w:rFonts w:asciiTheme="minorHAnsi" w:hAnsiTheme="minorHAnsi"/>
                <w:b/>
                <w:sz w:val="20"/>
              </w:rPr>
            </w:pPr>
            <w:r>
              <w:rPr>
                <w:rFonts w:asciiTheme="minorHAnsi" w:hAnsiTheme="minorHAnsi"/>
                <w:sz w:val="20"/>
              </w:rPr>
              <w:t xml:space="preserve">Kreując politykę miejską </w:t>
            </w:r>
            <w:r w:rsidR="00A422E3">
              <w:rPr>
                <w:rFonts w:asciiTheme="minorHAnsi" w:hAnsiTheme="minorHAnsi"/>
                <w:sz w:val="20"/>
              </w:rPr>
              <w:t>należy pamiętać</w:t>
            </w:r>
            <w:r w:rsidR="00F80796">
              <w:rPr>
                <w:rFonts w:asciiTheme="minorHAnsi" w:hAnsiTheme="minorHAnsi"/>
                <w:sz w:val="20"/>
              </w:rPr>
              <w:t xml:space="preserve"> także</w:t>
            </w:r>
            <w:r w:rsidR="00A422E3">
              <w:rPr>
                <w:rFonts w:asciiTheme="minorHAnsi" w:hAnsiTheme="minorHAnsi"/>
                <w:sz w:val="20"/>
              </w:rPr>
              <w:t xml:space="preserve"> </w:t>
            </w:r>
            <w:r>
              <w:rPr>
                <w:rFonts w:asciiTheme="minorHAnsi" w:hAnsiTheme="minorHAnsi"/>
                <w:sz w:val="20"/>
              </w:rPr>
              <w:t>o zapewnieniu warunków bytowych osobom ubogim oraz narażonym wykluczeniem społecznym</w:t>
            </w:r>
            <w:r w:rsidRPr="00A422E3">
              <w:rPr>
                <w:rFonts w:asciiTheme="minorHAnsi" w:hAnsiTheme="minorHAnsi"/>
                <w:sz w:val="20"/>
              </w:rPr>
              <w:t>.</w:t>
            </w:r>
            <w:r w:rsidR="00A422E3" w:rsidRPr="00A422E3">
              <w:rPr>
                <w:rFonts w:asciiTheme="minorHAnsi" w:hAnsiTheme="minorHAnsi"/>
                <w:sz w:val="20"/>
              </w:rPr>
              <w:t xml:space="preserve"> </w:t>
            </w:r>
            <w:r w:rsidR="00A422E3">
              <w:rPr>
                <w:rFonts w:asciiTheme="minorHAnsi" w:hAnsiTheme="minorHAnsi"/>
                <w:sz w:val="20"/>
              </w:rPr>
              <w:t>Dlatego też,</w:t>
            </w:r>
            <w:r w:rsidR="006C1854">
              <w:rPr>
                <w:rFonts w:asciiTheme="minorHAnsi" w:hAnsiTheme="minorHAnsi"/>
                <w:sz w:val="20"/>
              </w:rPr>
              <w:t xml:space="preserve"> część</w:t>
            </w:r>
            <w:r w:rsidR="00A422E3">
              <w:rPr>
                <w:rFonts w:asciiTheme="minorHAnsi" w:hAnsiTheme="minorHAnsi"/>
                <w:sz w:val="20"/>
              </w:rPr>
              <w:t xml:space="preserve"> d</w:t>
            </w:r>
            <w:r w:rsidR="006C1854">
              <w:rPr>
                <w:rFonts w:asciiTheme="minorHAnsi" w:hAnsiTheme="minorHAnsi"/>
                <w:sz w:val="20"/>
              </w:rPr>
              <w:t>ziałań w ramach tego celu będzie skierowana do osób w </w:t>
            </w:r>
            <w:r w:rsidR="00A422E3" w:rsidRPr="00A422E3">
              <w:rPr>
                <w:rFonts w:asciiTheme="minorHAnsi" w:hAnsiTheme="minorHAnsi"/>
                <w:sz w:val="20"/>
              </w:rPr>
              <w:t xml:space="preserve">trudnej sytuacji życiowej, które nie potrafią dostosować się do zmieniającej się rzeczywistości społeczno-gospodarczej i powrócić na rynek pracy lub nie pozwala na to ich stan zdrowia. </w:t>
            </w:r>
            <w:r w:rsidR="007A56CD" w:rsidRPr="00F80796">
              <w:rPr>
                <w:rFonts w:asciiTheme="minorHAnsi" w:hAnsiTheme="minorHAnsi"/>
                <w:b/>
                <w:sz w:val="20"/>
              </w:rPr>
              <w:t>Wspierając funkcjonow</w:t>
            </w:r>
            <w:r w:rsidR="00A422E3" w:rsidRPr="00F80796">
              <w:rPr>
                <w:rFonts w:asciiTheme="minorHAnsi" w:hAnsiTheme="minorHAnsi"/>
                <w:b/>
                <w:sz w:val="20"/>
              </w:rPr>
              <w:t>anie ośrodków pomocy społecznej</w:t>
            </w:r>
            <w:r w:rsidR="00A422E3">
              <w:rPr>
                <w:rFonts w:asciiTheme="minorHAnsi" w:hAnsiTheme="minorHAnsi"/>
                <w:sz w:val="20"/>
              </w:rPr>
              <w:t xml:space="preserve"> </w:t>
            </w:r>
            <w:r w:rsidR="007A56CD">
              <w:rPr>
                <w:rFonts w:asciiTheme="minorHAnsi" w:hAnsiTheme="minorHAnsi"/>
                <w:sz w:val="20"/>
              </w:rPr>
              <w:t xml:space="preserve">oraz </w:t>
            </w:r>
            <w:r w:rsidR="007A56CD" w:rsidRPr="00F80796">
              <w:rPr>
                <w:rFonts w:asciiTheme="minorHAnsi" w:hAnsiTheme="minorHAnsi"/>
                <w:b/>
                <w:sz w:val="20"/>
              </w:rPr>
              <w:t>organizując różne formy pomocy osobom najuboższym</w:t>
            </w:r>
            <w:r w:rsidR="007A56CD">
              <w:rPr>
                <w:rFonts w:asciiTheme="minorHAnsi" w:hAnsiTheme="minorHAnsi"/>
                <w:sz w:val="20"/>
              </w:rPr>
              <w:t xml:space="preserve"> (zbiórki, akcje charytatywne, programy aktywizujące zawodowo osoby bezrobotne) miasto będzie starało się </w:t>
            </w:r>
            <w:r w:rsidR="007A56CD" w:rsidRPr="00A422E3">
              <w:rPr>
                <w:rFonts w:asciiTheme="minorHAnsi" w:hAnsiTheme="minorHAnsi"/>
                <w:sz w:val="20"/>
              </w:rPr>
              <w:t>ograniczyć zjawisko marginalizacji społecznej.</w:t>
            </w:r>
          </w:p>
          <w:p w:rsidR="007A56CD" w:rsidRDefault="007A56CD" w:rsidP="007A56CD">
            <w:pPr>
              <w:spacing w:line="240" w:lineRule="auto"/>
              <w:rPr>
                <w:rFonts w:asciiTheme="minorHAnsi" w:hAnsiTheme="minorHAnsi"/>
                <w:b/>
                <w:sz w:val="20"/>
              </w:rPr>
            </w:pPr>
          </w:p>
          <w:p w:rsidR="007A56CD" w:rsidRPr="00487144" w:rsidRDefault="007A56CD" w:rsidP="007A56CD">
            <w:pPr>
              <w:spacing w:line="240" w:lineRule="auto"/>
              <w:rPr>
                <w:rFonts w:asciiTheme="minorHAnsi" w:hAnsiTheme="minorHAnsi"/>
                <w:sz w:val="20"/>
              </w:rPr>
            </w:pPr>
            <w:r w:rsidRPr="00487144">
              <w:rPr>
                <w:rFonts w:asciiTheme="minorHAnsi" w:hAnsiTheme="minorHAnsi"/>
                <w:sz w:val="20"/>
              </w:rPr>
              <w:t>Zadaniami głównymi będą:</w:t>
            </w:r>
          </w:p>
          <w:p w:rsidR="007A56CD" w:rsidRPr="00487144" w:rsidRDefault="007A56CD" w:rsidP="0062416A">
            <w:pPr>
              <w:numPr>
                <w:ilvl w:val="0"/>
                <w:numId w:val="95"/>
              </w:numPr>
              <w:spacing w:line="240" w:lineRule="auto"/>
              <w:rPr>
                <w:rFonts w:asciiTheme="minorHAnsi" w:hAnsiTheme="minorHAnsi"/>
                <w:sz w:val="20"/>
              </w:rPr>
            </w:pPr>
            <w:r w:rsidRPr="00487144">
              <w:rPr>
                <w:rFonts w:asciiTheme="minorHAnsi" w:hAnsiTheme="minorHAnsi"/>
                <w:b/>
                <w:bCs/>
                <w:sz w:val="20"/>
              </w:rPr>
              <w:t>Organizacja różnorodnych form pomocy osobom najuboższym;</w:t>
            </w:r>
          </w:p>
          <w:p w:rsidR="007A56CD" w:rsidRPr="00487144" w:rsidRDefault="007A56CD" w:rsidP="0062416A">
            <w:pPr>
              <w:numPr>
                <w:ilvl w:val="0"/>
                <w:numId w:val="95"/>
              </w:numPr>
              <w:spacing w:line="240" w:lineRule="auto"/>
              <w:rPr>
                <w:rFonts w:asciiTheme="minorHAnsi" w:hAnsiTheme="minorHAnsi"/>
                <w:sz w:val="20"/>
              </w:rPr>
            </w:pPr>
            <w:r w:rsidRPr="00487144">
              <w:rPr>
                <w:rFonts w:asciiTheme="minorHAnsi" w:hAnsiTheme="minorHAnsi"/>
                <w:b/>
                <w:bCs/>
                <w:sz w:val="20"/>
              </w:rPr>
              <w:t>Wspieranie finansowe i organizacyjne funkcjonowania ośrodków pomocy społecznej;</w:t>
            </w:r>
          </w:p>
          <w:p w:rsidR="007A56CD" w:rsidRPr="00487144" w:rsidRDefault="007A56CD" w:rsidP="0062416A">
            <w:pPr>
              <w:numPr>
                <w:ilvl w:val="0"/>
                <w:numId w:val="95"/>
              </w:numPr>
              <w:spacing w:line="240" w:lineRule="auto"/>
              <w:rPr>
                <w:rFonts w:asciiTheme="minorHAnsi" w:hAnsiTheme="minorHAnsi"/>
                <w:sz w:val="20"/>
              </w:rPr>
            </w:pPr>
            <w:r w:rsidRPr="00487144">
              <w:rPr>
                <w:rFonts w:asciiTheme="minorHAnsi" w:hAnsiTheme="minorHAnsi"/>
                <w:b/>
                <w:bCs/>
                <w:sz w:val="20"/>
              </w:rPr>
              <w:lastRenderedPageBreak/>
              <w:t>Utrzymanie zabezpieczenia potrzeb w zakresie opieki nad małymi dziećmi (żłobki) i wychowania przedszkolnego;</w:t>
            </w:r>
          </w:p>
          <w:p w:rsidR="007A56CD" w:rsidRDefault="007A56CD" w:rsidP="007A56CD">
            <w:pPr>
              <w:spacing w:line="240" w:lineRule="auto"/>
              <w:rPr>
                <w:rFonts w:asciiTheme="minorHAnsi" w:hAnsiTheme="minorHAnsi"/>
                <w:sz w:val="20"/>
              </w:rPr>
            </w:pPr>
          </w:p>
          <w:p w:rsidR="00511324" w:rsidRPr="007A56CD" w:rsidRDefault="007A56CD" w:rsidP="00B463C4">
            <w:pPr>
              <w:spacing w:line="240" w:lineRule="auto"/>
              <w:rPr>
                <w:rFonts w:asciiTheme="minorHAnsi" w:hAnsiTheme="minorHAnsi"/>
                <w:sz w:val="20"/>
              </w:rPr>
            </w:pPr>
            <w:r>
              <w:rPr>
                <w:rFonts w:asciiTheme="minorHAnsi" w:hAnsiTheme="minorHAnsi"/>
                <w:sz w:val="20"/>
              </w:rPr>
              <w:t>Środki przeznaczone na ten cel będą pochodziły z środków własnych budżetu miasta, a także środków z unijnych programów operacyjnych: Regionalnego Programu Operacyjnego oraz PO Wiedza Edukacja Rozwój.</w:t>
            </w:r>
            <w:r w:rsidR="00B40E3D">
              <w:rPr>
                <w:rFonts w:asciiTheme="minorHAnsi" w:hAnsiTheme="minorHAnsi"/>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6"/>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BF8F00" w:themeFill="accent4" w:themeFillShade="BF"/>
          </w:tcPr>
          <w:p w:rsidR="000D7217" w:rsidRPr="00741064" w:rsidRDefault="000D7217" w:rsidP="000D7217">
            <w:pPr>
              <w:jc w:val="center"/>
              <w:rPr>
                <w:rFonts w:ascii="Calibri" w:hAnsi="Calibri"/>
                <w:b/>
                <w:color w:val="000000"/>
                <w:sz w:val="20"/>
              </w:rPr>
            </w:pPr>
            <w:r w:rsidRPr="00741064">
              <w:rPr>
                <w:rFonts w:ascii="Calibri" w:hAnsi="Calibri"/>
                <w:b/>
                <w:color w:val="FFFFFF" w:themeColor="background1"/>
                <w:sz w:val="22"/>
              </w:rPr>
              <w:t>Wskaźniki rezultatu dla Celu operacyjnego III.1</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FFF2CC" w:themeFill="accent4" w:themeFillTint="33"/>
          </w:tcPr>
          <w:p w:rsidR="006170B6" w:rsidRPr="006170B6" w:rsidRDefault="006170B6" w:rsidP="006170B6">
            <w:pPr>
              <w:pStyle w:val="Default"/>
              <w:numPr>
                <w:ilvl w:val="0"/>
                <w:numId w:val="63"/>
              </w:numPr>
              <w:rPr>
                <w:rFonts w:asciiTheme="minorHAnsi" w:hAnsiTheme="minorHAnsi" w:cstheme="minorBidi"/>
                <w:b/>
                <w:color w:val="auto"/>
                <w:sz w:val="20"/>
                <w:szCs w:val="22"/>
              </w:rPr>
            </w:pPr>
            <w:r w:rsidRPr="006170B6">
              <w:rPr>
                <w:rFonts w:asciiTheme="minorHAnsi" w:hAnsiTheme="minorHAnsi" w:cstheme="minorBidi"/>
                <w:b/>
                <w:color w:val="auto"/>
                <w:sz w:val="20"/>
                <w:szCs w:val="22"/>
              </w:rPr>
              <w:t>Środki wydatkowane przez Miejski Ośrodek Pomocy Społecznej na realizację zadań</w:t>
            </w:r>
            <w:r>
              <w:rPr>
                <w:rFonts w:asciiTheme="minorHAnsi" w:hAnsiTheme="minorHAnsi" w:cstheme="minorBidi"/>
                <w:b/>
                <w:color w:val="auto"/>
                <w:sz w:val="20"/>
                <w:szCs w:val="22"/>
              </w:rPr>
              <w:t>;</w:t>
            </w:r>
          </w:p>
          <w:p w:rsidR="006170B6" w:rsidRPr="006170B6" w:rsidRDefault="006170B6" w:rsidP="006170B6">
            <w:pPr>
              <w:pStyle w:val="Default"/>
              <w:numPr>
                <w:ilvl w:val="0"/>
                <w:numId w:val="63"/>
              </w:numPr>
              <w:rPr>
                <w:rFonts w:asciiTheme="minorHAnsi" w:hAnsiTheme="minorHAnsi" w:cstheme="minorBidi"/>
                <w:b/>
                <w:color w:val="auto"/>
                <w:sz w:val="20"/>
                <w:szCs w:val="22"/>
              </w:rPr>
            </w:pPr>
            <w:r w:rsidRPr="006170B6">
              <w:rPr>
                <w:rFonts w:asciiTheme="minorHAnsi" w:hAnsiTheme="minorHAnsi" w:cstheme="minorBidi"/>
                <w:b/>
                <w:color w:val="auto"/>
                <w:sz w:val="20"/>
                <w:szCs w:val="22"/>
              </w:rPr>
              <w:t>Ilość wydanych Kart Dużej Rodziny</w:t>
            </w:r>
            <w:r>
              <w:rPr>
                <w:rFonts w:asciiTheme="minorHAnsi" w:hAnsiTheme="minorHAnsi" w:cstheme="minorBidi"/>
                <w:b/>
                <w:color w:val="auto"/>
                <w:sz w:val="20"/>
                <w:szCs w:val="22"/>
              </w:rPr>
              <w:t>;</w:t>
            </w:r>
          </w:p>
          <w:p w:rsidR="006170B6" w:rsidRPr="006170B6" w:rsidRDefault="006170B6" w:rsidP="006170B6">
            <w:pPr>
              <w:pStyle w:val="Default"/>
              <w:numPr>
                <w:ilvl w:val="0"/>
                <w:numId w:val="63"/>
              </w:numPr>
              <w:rPr>
                <w:rFonts w:asciiTheme="minorHAnsi" w:hAnsiTheme="minorHAnsi" w:cstheme="minorBidi"/>
                <w:b/>
                <w:color w:val="auto"/>
                <w:sz w:val="20"/>
                <w:szCs w:val="22"/>
              </w:rPr>
            </w:pPr>
            <w:r w:rsidRPr="006170B6">
              <w:rPr>
                <w:rFonts w:asciiTheme="minorHAnsi" w:hAnsiTheme="minorHAnsi" w:cstheme="minorBidi"/>
                <w:b/>
                <w:color w:val="auto"/>
                <w:sz w:val="20"/>
                <w:szCs w:val="22"/>
              </w:rPr>
              <w:t>Środki wydatkowane z budżetu miasta na programy zdrowotne i profilaktyczne</w:t>
            </w:r>
            <w:r>
              <w:rPr>
                <w:rFonts w:asciiTheme="minorHAnsi" w:hAnsiTheme="minorHAnsi" w:cstheme="minorBidi"/>
                <w:b/>
                <w:color w:val="auto"/>
                <w:sz w:val="20"/>
                <w:szCs w:val="22"/>
              </w:rPr>
              <w:t>;</w:t>
            </w:r>
          </w:p>
          <w:p w:rsidR="00741064" w:rsidRPr="007A56CD" w:rsidRDefault="006170B6" w:rsidP="006170B6">
            <w:pPr>
              <w:pStyle w:val="Default"/>
              <w:numPr>
                <w:ilvl w:val="0"/>
                <w:numId w:val="63"/>
              </w:numPr>
              <w:jc w:val="both"/>
              <w:rPr>
                <w:rFonts w:asciiTheme="minorHAnsi" w:hAnsiTheme="minorHAnsi" w:cstheme="minorBidi"/>
                <w:b/>
                <w:color w:val="auto"/>
                <w:sz w:val="20"/>
                <w:szCs w:val="22"/>
              </w:rPr>
            </w:pPr>
            <w:r w:rsidRPr="006170B6">
              <w:rPr>
                <w:rFonts w:asciiTheme="minorHAnsi" w:hAnsiTheme="minorHAnsi" w:cstheme="minorBidi"/>
                <w:b/>
                <w:color w:val="auto"/>
                <w:sz w:val="20"/>
                <w:szCs w:val="22"/>
              </w:rPr>
              <w:t>Procentowy wskaźnik upowszechniania wychowania przedszkolnego</w:t>
            </w:r>
            <w:r w:rsidR="007A56CD">
              <w:rPr>
                <w:rFonts w:asciiTheme="minorHAnsi" w:hAnsiTheme="minorHAnsi" w:cstheme="minorBidi"/>
                <w:b/>
                <w:color w:val="auto"/>
                <w:sz w:val="20"/>
                <w:szCs w:val="22"/>
              </w:rPr>
              <w:t>;</w:t>
            </w:r>
          </w:p>
        </w:tc>
      </w:tr>
      <w:tr w:rsidR="000D7217" w:rsidRPr="0006541D" w:rsidTr="009855D9">
        <w:trPr>
          <w:trHeight w:val="113"/>
        </w:trPr>
        <w:tc>
          <w:tcPr>
            <w:tcW w:w="9062" w:type="dxa"/>
            <w:gridSpan w:val="2"/>
            <w:tcBorders>
              <w:left w:val="nil"/>
              <w:right w:val="nil"/>
            </w:tcBorders>
            <w:shd w:val="clear" w:color="auto" w:fill="FFFFFF" w:themeFill="background1"/>
          </w:tcPr>
          <w:p w:rsidR="000D7217" w:rsidRPr="0006541D" w:rsidRDefault="001B61A7" w:rsidP="00B73014">
            <w:pPr>
              <w:rPr>
                <w:rFonts w:ascii="Calibri" w:hAnsi="Calibri"/>
                <w:color w:val="000000"/>
                <w:sz w:val="2"/>
              </w:rPr>
            </w:pPr>
            <w:r>
              <w:br w:type="page"/>
            </w:r>
          </w:p>
        </w:tc>
      </w:tr>
      <w:tr w:rsidR="00D36034" w:rsidTr="009855D9">
        <w:tc>
          <w:tcPr>
            <w:tcW w:w="2552" w:type="dxa"/>
            <w:tcBorders>
              <w:bottom w:val="single" w:sz="4" w:space="0" w:color="auto"/>
            </w:tcBorders>
            <w:shd w:val="clear" w:color="auto" w:fill="FFD966" w:themeFill="accent4" w:themeFillTint="99"/>
          </w:tcPr>
          <w:p w:rsidR="00D36034" w:rsidRPr="00A45758" w:rsidRDefault="00D36034" w:rsidP="007A56CD">
            <w:pPr>
              <w:rPr>
                <w:rFonts w:asciiTheme="minorHAnsi" w:hAnsiTheme="minorHAnsi"/>
                <w:sz w:val="22"/>
              </w:rPr>
            </w:pPr>
            <w:r w:rsidRPr="00A45758">
              <w:rPr>
                <w:rFonts w:asciiTheme="minorHAnsi" w:hAnsiTheme="minorHAnsi"/>
                <w:b/>
                <w:bCs/>
                <w:sz w:val="22"/>
              </w:rPr>
              <w:t>Cel oper</w:t>
            </w:r>
            <w:r w:rsidR="001E7B97">
              <w:rPr>
                <w:rFonts w:asciiTheme="minorHAnsi" w:hAnsiTheme="minorHAnsi"/>
                <w:b/>
                <w:bCs/>
                <w:sz w:val="22"/>
              </w:rPr>
              <w:t xml:space="preserve">acyjny III.2 - </w:t>
            </w:r>
            <w:r w:rsidR="007A56CD" w:rsidRPr="00A45758">
              <w:rPr>
                <w:rFonts w:asciiTheme="minorHAnsi" w:hAnsiTheme="minorHAnsi"/>
                <w:b/>
                <w:bCs/>
                <w:sz w:val="22"/>
              </w:rPr>
              <w:t>Rozwój oferty i infrastruktury dla osób starszych</w:t>
            </w:r>
          </w:p>
        </w:tc>
        <w:tc>
          <w:tcPr>
            <w:tcW w:w="6510" w:type="dxa"/>
            <w:tcBorders>
              <w:bottom w:val="single" w:sz="4" w:space="0" w:color="auto"/>
            </w:tcBorders>
            <w:shd w:val="clear" w:color="auto" w:fill="FFF2CC" w:themeFill="accent4" w:themeFillTint="33"/>
          </w:tcPr>
          <w:p w:rsidR="007A56CD" w:rsidRDefault="007A56CD" w:rsidP="007A56CD">
            <w:pPr>
              <w:spacing w:line="240" w:lineRule="auto"/>
              <w:rPr>
                <w:rFonts w:ascii="Calibri" w:hAnsi="Calibri"/>
                <w:color w:val="000000"/>
                <w:sz w:val="20"/>
              </w:rPr>
            </w:pPr>
            <w:r>
              <w:rPr>
                <w:rFonts w:ascii="Calibri" w:hAnsi="Calibri"/>
                <w:color w:val="000000"/>
                <w:sz w:val="20"/>
              </w:rPr>
              <w:t>W nadchodzących latach Legnica, podobnie jak inne samorządy w Polsce, musi zmierzyć się z wyzwaniem demograficznym</w:t>
            </w:r>
            <w:r w:rsidR="00E657FF">
              <w:rPr>
                <w:rFonts w:ascii="Calibri" w:hAnsi="Calibri"/>
                <w:color w:val="000000"/>
                <w:sz w:val="20"/>
              </w:rPr>
              <w:t>,</w:t>
            </w:r>
            <w:r>
              <w:rPr>
                <w:rFonts w:ascii="Calibri" w:hAnsi="Calibri"/>
                <w:color w:val="000000"/>
                <w:sz w:val="20"/>
              </w:rPr>
              <w:t xml:space="preserve"> jakim jest „starzenie się społeczeństwa” i zmiana struktury demograficznej. Działania podejmowane w tej dziedzinie powinny koncentrować się na dwóch podstawowych aspektach: zapewnieniu osobom starszym opieki społecznej oraz opieki zdrowotnej, a także stworzeniu płaszczyzn dla aktywizacji osób starszych i ich czynnego uczestnictwa w życiu publicznym. </w:t>
            </w:r>
          </w:p>
          <w:p w:rsidR="007A56CD" w:rsidRDefault="007A56CD" w:rsidP="007A56CD">
            <w:pPr>
              <w:spacing w:line="240" w:lineRule="auto"/>
              <w:rPr>
                <w:rFonts w:ascii="Calibri" w:hAnsi="Calibri"/>
                <w:color w:val="000000"/>
                <w:sz w:val="20"/>
              </w:rPr>
            </w:pPr>
          </w:p>
          <w:p w:rsidR="007A56CD" w:rsidRDefault="007A56CD" w:rsidP="007A56CD">
            <w:pPr>
              <w:spacing w:line="240" w:lineRule="auto"/>
              <w:rPr>
                <w:rFonts w:ascii="Calibri" w:hAnsi="Calibri"/>
                <w:color w:val="000000"/>
                <w:sz w:val="20"/>
              </w:rPr>
            </w:pPr>
            <w:r>
              <w:rPr>
                <w:rFonts w:ascii="Calibri" w:hAnsi="Calibri"/>
                <w:color w:val="000000"/>
                <w:sz w:val="20"/>
              </w:rPr>
              <w:t xml:space="preserve">Starzenie się społeczeństwa oraz wydłużenie średniego czasu życia generuje nowe wyzwania z jakimi musi sprostać opieka społeczna oraz usługi służby zdrowia. Niestety polskie samorządy borykają się z brakiem odpowiedniej infrastruktury, która zabezpieczałaby potrzeby osób starszych w tym zakresie. Dlatego też konieczne jest tworzenie i wspieranie działalności </w:t>
            </w:r>
            <w:r w:rsidRPr="006D3EC5">
              <w:rPr>
                <w:rFonts w:ascii="Calibri" w:hAnsi="Calibri"/>
                <w:b/>
                <w:color w:val="000000"/>
                <w:sz w:val="20"/>
              </w:rPr>
              <w:t>Domów Seniora,</w:t>
            </w:r>
            <w:r>
              <w:rPr>
                <w:rFonts w:ascii="Calibri" w:hAnsi="Calibri"/>
                <w:color w:val="000000"/>
                <w:sz w:val="20"/>
              </w:rPr>
              <w:t xml:space="preserve"> a także wspieranie działalności Wojewódzkiego Szpitala Specjalistycznego w Legnicy, w tym podejmowanie prób utworzenia </w:t>
            </w:r>
            <w:r w:rsidRPr="006D3EC5">
              <w:rPr>
                <w:rFonts w:ascii="Calibri" w:hAnsi="Calibri"/>
                <w:b/>
                <w:color w:val="000000"/>
                <w:sz w:val="20"/>
              </w:rPr>
              <w:t>Oddziału Geriatrycznego</w:t>
            </w:r>
            <w:r w:rsidRPr="00EF4C71">
              <w:rPr>
                <w:rFonts w:ascii="Calibri" w:hAnsi="Calibri"/>
                <w:color w:val="000000"/>
                <w:sz w:val="20"/>
              </w:rPr>
              <w:t>.</w:t>
            </w:r>
            <w:r>
              <w:rPr>
                <w:rFonts w:ascii="Calibri" w:hAnsi="Calibri"/>
                <w:color w:val="000000"/>
                <w:sz w:val="20"/>
              </w:rPr>
              <w:t xml:space="preserve"> </w:t>
            </w:r>
          </w:p>
          <w:p w:rsidR="007A56CD" w:rsidRDefault="007A56CD" w:rsidP="007A56CD">
            <w:pPr>
              <w:spacing w:line="240" w:lineRule="auto"/>
              <w:rPr>
                <w:rFonts w:ascii="Calibri" w:hAnsi="Calibri"/>
                <w:color w:val="000000"/>
                <w:sz w:val="20"/>
              </w:rPr>
            </w:pPr>
          </w:p>
          <w:p w:rsidR="007A56CD" w:rsidRDefault="007A56CD" w:rsidP="007A56CD">
            <w:pPr>
              <w:spacing w:line="240" w:lineRule="auto"/>
              <w:rPr>
                <w:rFonts w:ascii="Calibri" w:hAnsi="Calibri"/>
                <w:b/>
                <w:color w:val="000000"/>
                <w:sz w:val="20"/>
              </w:rPr>
            </w:pPr>
            <w:r>
              <w:rPr>
                <w:rFonts w:ascii="Calibri" w:hAnsi="Calibri"/>
                <w:color w:val="000000"/>
                <w:sz w:val="20"/>
              </w:rPr>
              <w:t xml:space="preserve">Aktywizacji osób starszych mogą sprzyjać takie inicjatywy jak: tworzenie </w:t>
            </w:r>
            <w:r w:rsidRPr="00A26D91">
              <w:rPr>
                <w:rFonts w:ascii="Calibri" w:hAnsi="Calibri"/>
                <w:b/>
                <w:color w:val="000000"/>
                <w:sz w:val="20"/>
              </w:rPr>
              <w:t>stref</w:t>
            </w:r>
            <w:r w:rsidRPr="006D3EC5">
              <w:rPr>
                <w:rFonts w:ascii="Calibri" w:hAnsi="Calibri"/>
                <w:b/>
                <w:color w:val="000000"/>
                <w:sz w:val="20"/>
              </w:rPr>
              <w:t xml:space="preserve"> seniora,</w:t>
            </w:r>
            <w:r>
              <w:rPr>
                <w:rFonts w:ascii="Calibri" w:hAnsi="Calibri"/>
                <w:color w:val="000000"/>
                <w:sz w:val="20"/>
              </w:rPr>
              <w:t xml:space="preserve"> czy </w:t>
            </w:r>
            <w:r>
              <w:rPr>
                <w:rFonts w:ascii="Calibri" w:hAnsi="Calibri"/>
                <w:b/>
                <w:color w:val="000000"/>
                <w:sz w:val="20"/>
              </w:rPr>
              <w:t>miejsc</w:t>
            </w:r>
            <w:r w:rsidR="00B40E3D">
              <w:rPr>
                <w:rFonts w:ascii="Calibri" w:hAnsi="Calibri"/>
                <w:b/>
                <w:color w:val="000000"/>
                <w:sz w:val="20"/>
              </w:rPr>
              <w:t xml:space="preserve"> wypoczynku i</w:t>
            </w:r>
            <w:r>
              <w:rPr>
                <w:rFonts w:ascii="Calibri" w:hAnsi="Calibri"/>
                <w:b/>
                <w:color w:val="000000"/>
                <w:sz w:val="20"/>
              </w:rPr>
              <w:t xml:space="preserve"> rekreacji ruchowej</w:t>
            </w:r>
            <w:r w:rsidR="00E657FF">
              <w:rPr>
                <w:rFonts w:ascii="Calibri" w:hAnsi="Calibri"/>
                <w:b/>
                <w:color w:val="000000"/>
                <w:sz w:val="20"/>
              </w:rPr>
              <w:t>,</w:t>
            </w:r>
            <w:r>
              <w:rPr>
                <w:rFonts w:ascii="Calibri" w:hAnsi="Calibri"/>
                <w:color w:val="000000"/>
                <w:sz w:val="20"/>
              </w:rPr>
              <w:t xml:space="preserve"> umożliwiających wykonywanie ćwiczeń fizycznych i rehabilitacyjnych, a także wspieranie działalności </w:t>
            </w:r>
            <w:r>
              <w:rPr>
                <w:rFonts w:ascii="Calibri" w:hAnsi="Calibri"/>
                <w:b/>
                <w:color w:val="000000"/>
                <w:sz w:val="20"/>
              </w:rPr>
              <w:t xml:space="preserve">Uniwersytetów Trzeciego Wieku </w:t>
            </w:r>
            <w:r w:rsidRPr="007345A8">
              <w:rPr>
                <w:rFonts w:ascii="Calibri" w:hAnsi="Calibri"/>
                <w:color w:val="000000"/>
                <w:sz w:val="20"/>
              </w:rPr>
              <w:t>i innych form aktywizacji naukowej</w:t>
            </w:r>
            <w:r>
              <w:rPr>
                <w:rFonts w:ascii="Calibri" w:hAnsi="Calibri"/>
                <w:color w:val="000000"/>
                <w:sz w:val="20"/>
              </w:rPr>
              <w:t>, edukacyjnej</w:t>
            </w:r>
            <w:r w:rsidRPr="007345A8">
              <w:rPr>
                <w:rFonts w:ascii="Calibri" w:hAnsi="Calibri"/>
                <w:color w:val="000000"/>
                <w:sz w:val="20"/>
              </w:rPr>
              <w:t xml:space="preserve"> lub kulturalnej</w:t>
            </w:r>
            <w:r>
              <w:rPr>
                <w:rFonts w:ascii="Calibri" w:hAnsi="Calibri"/>
                <w:b/>
                <w:color w:val="000000"/>
                <w:sz w:val="20"/>
              </w:rPr>
              <w:t>.</w:t>
            </w:r>
          </w:p>
          <w:p w:rsidR="007A56CD" w:rsidRDefault="007A56CD" w:rsidP="007A56CD">
            <w:pPr>
              <w:spacing w:line="240" w:lineRule="auto"/>
              <w:rPr>
                <w:rFonts w:ascii="Calibri" w:hAnsi="Calibri"/>
                <w:b/>
                <w:color w:val="000000"/>
                <w:sz w:val="20"/>
              </w:rPr>
            </w:pPr>
          </w:p>
          <w:p w:rsidR="007A56CD" w:rsidRDefault="007A56CD" w:rsidP="007A56CD">
            <w:pPr>
              <w:spacing w:line="240" w:lineRule="auto"/>
              <w:rPr>
                <w:rFonts w:ascii="Calibri" w:hAnsi="Calibri"/>
                <w:color w:val="000000"/>
                <w:sz w:val="20"/>
              </w:rPr>
            </w:pPr>
            <w:r>
              <w:rPr>
                <w:rFonts w:ascii="Calibri" w:hAnsi="Calibri"/>
                <w:b/>
                <w:color w:val="000000"/>
                <w:sz w:val="20"/>
              </w:rPr>
              <w:t>Likwidacja</w:t>
            </w:r>
            <w:r w:rsidRPr="006D3EC5">
              <w:rPr>
                <w:rFonts w:ascii="Calibri" w:hAnsi="Calibri"/>
                <w:b/>
                <w:color w:val="000000"/>
                <w:sz w:val="20"/>
              </w:rPr>
              <w:t xml:space="preserve"> barier architektonicznych</w:t>
            </w:r>
            <w:r>
              <w:rPr>
                <w:rFonts w:ascii="Calibri" w:hAnsi="Calibri"/>
                <w:color w:val="000000"/>
                <w:sz w:val="20"/>
              </w:rPr>
              <w:t xml:space="preserve"> w budynkach i miejscach publicznych oraz ich dostosowan</w:t>
            </w:r>
            <w:r w:rsidR="00E657FF">
              <w:rPr>
                <w:rFonts w:ascii="Calibri" w:hAnsi="Calibri"/>
                <w:color w:val="000000"/>
                <w:sz w:val="20"/>
              </w:rPr>
              <w:t>i</w:t>
            </w:r>
            <w:r>
              <w:rPr>
                <w:rFonts w:ascii="Calibri" w:hAnsi="Calibri"/>
                <w:color w:val="000000"/>
                <w:sz w:val="20"/>
              </w:rPr>
              <w:t>e do potrzeb ludzi starszych i osób niepełnosprawnych powinna być również przedmiotem priorytetowych działań miasta w kolejnych latach.</w:t>
            </w:r>
          </w:p>
          <w:p w:rsidR="007A56CD" w:rsidRDefault="007A56CD" w:rsidP="007A56CD">
            <w:pPr>
              <w:spacing w:line="240" w:lineRule="auto"/>
              <w:rPr>
                <w:rFonts w:ascii="Calibri" w:hAnsi="Calibri"/>
                <w:color w:val="000000"/>
                <w:sz w:val="20"/>
              </w:rPr>
            </w:pPr>
          </w:p>
          <w:p w:rsidR="007A56CD" w:rsidRPr="00487144" w:rsidRDefault="007A56CD" w:rsidP="007A56CD">
            <w:pPr>
              <w:rPr>
                <w:rFonts w:ascii="Calibri" w:hAnsi="Calibri"/>
                <w:color w:val="000000"/>
                <w:sz w:val="20"/>
              </w:rPr>
            </w:pPr>
            <w:r w:rsidRPr="00487144">
              <w:rPr>
                <w:rFonts w:ascii="Calibri" w:hAnsi="Calibri"/>
                <w:color w:val="000000"/>
                <w:sz w:val="20"/>
              </w:rPr>
              <w:t>Zadaniami głównymi będą:</w:t>
            </w:r>
          </w:p>
          <w:p w:rsidR="007A56CD" w:rsidRPr="00487144" w:rsidRDefault="007A56CD" w:rsidP="0062416A">
            <w:pPr>
              <w:pStyle w:val="Akapitzlist"/>
              <w:numPr>
                <w:ilvl w:val="0"/>
                <w:numId w:val="96"/>
              </w:numPr>
              <w:rPr>
                <w:rFonts w:ascii="Calibri" w:hAnsi="Calibri"/>
                <w:color w:val="000000"/>
                <w:sz w:val="20"/>
              </w:rPr>
            </w:pPr>
            <w:r w:rsidRPr="00487144">
              <w:rPr>
                <w:rFonts w:ascii="Calibri" w:hAnsi="Calibri"/>
                <w:b/>
                <w:bCs/>
                <w:color w:val="000000"/>
                <w:sz w:val="20"/>
              </w:rPr>
              <w:t>Zwiększenie miejsc w Domach Pomocy Społecznej;</w:t>
            </w:r>
          </w:p>
          <w:p w:rsidR="007A56CD" w:rsidRPr="00487144" w:rsidRDefault="007A56CD" w:rsidP="0062416A">
            <w:pPr>
              <w:pStyle w:val="Akapitzlist"/>
              <w:numPr>
                <w:ilvl w:val="0"/>
                <w:numId w:val="96"/>
              </w:numPr>
              <w:rPr>
                <w:rFonts w:ascii="Calibri" w:hAnsi="Calibri"/>
                <w:color w:val="000000"/>
                <w:sz w:val="20"/>
              </w:rPr>
            </w:pPr>
            <w:r w:rsidRPr="00487144">
              <w:rPr>
                <w:rFonts w:ascii="Calibri" w:hAnsi="Calibri"/>
                <w:b/>
                <w:bCs/>
                <w:color w:val="000000"/>
                <w:sz w:val="20"/>
              </w:rPr>
              <w:t>Budowa miejsc przyjaznych seniorom;</w:t>
            </w:r>
          </w:p>
          <w:p w:rsidR="007A56CD" w:rsidRPr="00487144" w:rsidRDefault="007A56CD" w:rsidP="0062416A">
            <w:pPr>
              <w:pStyle w:val="Akapitzlist"/>
              <w:numPr>
                <w:ilvl w:val="0"/>
                <w:numId w:val="96"/>
              </w:numPr>
              <w:rPr>
                <w:rFonts w:ascii="Calibri" w:hAnsi="Calibri"/>
                <w:color w:val="000000"/>
                <w:sz w:val="20"/>
              </w:rPr>
            </w:pPr>
            <w:r w:rsidRPr="00487144">
              <w:rPr>
                <w:rFonts w:ascii="Calibri" w:hAnsi="Calibri"/>
                <w:b/>
                <w:bCs/>
                <w:color w:val="000000"/>
                <w:sz w:val="20"/>
              </w:rPr>
              <w:t>Wspieranie działalności Domów Seniora;</w:t>
            </w:r>
          </w:p>
          <w:p w:rsidR="007A56CD" w:rsidRPr="00487144" w:rsidRDefault="007A56CD" w:rsidP="0062416A">
            <w:pPr>
              <w:pStyle w:val="Akapitzlist"/>
              <w:numPr>
                <w:ilvl w:val="0"/>
                <w:numId w:val="96"/>
              </w:numPr>
              <w:rPr>
                <w:rFonts w:ascii="Calibri" w:hAnsi="Calibri"/>
                <w:color w:val="000000"/>
                <w:sz w:val="20"/>
              </w:rPr>
            </w:pPr>
            <w:r w:rsidRPr="00487144">
              <w:rPr>
                <w:rFonts w:ascii="Calibri" w:hAnsi="Calibri"/>
                <w:b/>
                <w:bCs/>
                <w:color w:val="000000"/>
                <w:sz w:val="20"/>
              </w:rPr>
              <w:t>Likwidacja barier architektonicznych, w tym przebudowa zatok autobusowych;</w:t>
            </w:r>
          </w:p>
          <w:p w:rsidR="007A56CD" w:rsidRPr="00487144" w:rsidRDefault="007A56CD" w:rsidP="0062416A">
            <w:pPr>
              <w:pStyle w:val="Akapitzlist"/>
              <w:numPr>
                <w:ilvl w:val="0"/>
                <w:numId w:val="96"/>
              </w:numPr>
              <w:rPr>
                <w:rFonts w:ascii="Calibri" w:hAnsi="Calibri"/>
                <w:color w:val="000000"/>
                <w:sz w:val="20"/>
              </w:rPr>
            </w:pPr>
            <w:r w:rsidRPr="00487144">
              <w:rPr>
                <w:rFonts w:ascii="Calibri" w:hAnsi="Calibri"/>
                <w:b/>
                <w:bCs/>
                <w:color w:val="000000"/>
                <w:sz w:val="20"/>
              </w:rPr>
              <w:t>Promocja miasta przyjaznego seniorom;</w:t>
            </w:r>
          </w:p>
          <w:p w:rsidR="007A56CD" w:rsidRDefault="007A56CD" w:rsidP="007A56CD">
            <w:pPr>
              <w:pStyle w:val="Akapitzlist"/>
              <w:spacing w:line="240" w:lineRule="auto"/>
              <w:rPr>
                <w:rFonts w:ascii="Calibri" w:hAnsi="Calibri"/>
                <w:color w:val="000000"/>
                <w:sz w:val="20"/>
              </w:rPr>
            </w:pPr>
          </w:p>
          <w:p w:rsidR="007A56CD" w:rsidRPr="00955473" w:rsidRDefault="007A56CD" w:rsidP="00B40E3D">
            <w:pPr>
              <w:spacing w:line="240" w:lineRule="auto"/>
              <w:rPr>
                <w:rFonts w:asciiTheme="minorHAnsi" w:hAnsiTheme="minorHAnsi"/>
                <w:sz w:val="20"/>
              </w:rPr>
            </w:pPr>
            <w:r>
              <w:rPr>
                <w:rFonts w:ascii="Calibri" w:hAnsi="Calibri"/>
                <w:color w:val="000000"/>
                <w:sz w:val="20"/>
              </w:rPr>
              <w:t>Zadania realizowane w ramach celu III.5 finansowane będą ze środków budżetu miasta oraz RPO Województwa Dolnośląskiego.</w:t>
            </w:r>
            <w:r w:rsidR="00B40E3D">
              <w:rPr>
                <w:rFonts w:ascii="Calibri" w:hAnsi="Calibri"/>
                <w:color w:val="000000"/>
                <w:sz w:val="20"/>
              </w:rPr>
              <w:t xml:space="preserve"> </w:t>
            </w:r>
            <w:r w:rsidR="00B40E3D" w:rsidRPr="00B40E3D">
              <w:rPr>
                <w:rFonts w:ascii="Calibri" w:hAnsi="Calibri" w:cs="Calibri"/>
                <w:color w:val="000000" w:themeColor="text1"/>
                <w:sz w:val="20"/>
              </w:rPr>
              <w:t xml:space="preserve">Osie priorytetowe w poszczególnych Programach zostaną określone po zatwierdzeniu ich </w:t>
            </w:r>
            <w:r w:rsidR="00B40E3D" w:rsidRPr="00B40E3D">
              <w:rPr>
                <w:rFonts w:ascii="Calibri" w:hAnsi="Calibri" w:cs="Calibri"/>
                <w:color w:val="000000" w:themeColor="text1"/>
                <w:sz w:val="20"/>
              </w:rPr>
              <w:lastRenderedPageBreak/>
              <w:t>„Uszczegółowień”.</w:t>
            </w:r>
          </w:p>
        </w:tc>
      </w:tr>
      <w:tr w:rsidR="0006541D" w:rsidRP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841C5B">
            <w:pPr>
              <w:rPr>
                <w:rFonts w:asciiTheme="minorHAnsi" w:hAnsiTheme="minorHAnsi"/>
                <w:sz w:val="2"/>
              </w:rPr>
            </w:pPr>
          </w:p>
        </w:tc>
      </w:tr>
      <w:tr w:rsidR="000D7217" w:rsidRPr="002E3FD4" w:rsidTr="009855D9">
        <w:trPr>
          <w:trHeight w:val="341"/>
        </w:trPr>
        <w:tc>
          <w:tcPr>
            <w:tcW w:w="9062" w:type="dxa"/>
            <w:gridSpan w:val="2"/>
            <w:tcBorders>
              <w:bottom w:val="single" w:sz="4" w:space="0" w:color="auto"/>
              <w:right w:val="single" w:sz="8" w:space="0" w:color="auto"/>
            </w:tcBorders>
            <w:shd w:val="clear" w:color="auto" w:fill="BF8F00" w:themeFill="accent4" w:themeFillShade="BF"/>
          </w:tcPr>
          <w:p w:rsidR="000D7217" w:rsidRPr="00C52A46" w:rsidRDefault="000D7217" w:rsidP="00B73014">
            <w:pPr>
              <w:jc w:val="center"/>
              <w:rPr>
                <w:rFonts w:ascii="Calibri" w:hAnsi="Calibri"/>
                <w:b/>
                <w:color w:val="000000"/>
                <w:sz w:val="20"/>
              </w:rPr>
            </w:pPr>
            <w:r w:rsidRPr="00C52A46">
              <w:rPr>
                <w:rFonts w:ascii="Calibri" w:hAnsi="Calibri"/>
                <w:b/>
                <w:color w:val="FFFFFF" w:themeColor="background1"/>
                <w:sz w:val="22"/>
              </w:rPr>
              <w:t>Wskaźniki rezultatu dla Celu operacyjnego III.2</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FFF2CC" w:themeFill="accent4" w:themeFillTint="33"/>
          </w:tcPr>
          <w:p w:rsidR="007A56CD" w:rsidRPr="00C52A46" w:rsidRDefault="006170B6" w:rsidP="006170B6">
            <w:pPr>
              <w:pStyle w:val="Default"/>
              <w:numPr>
                <w:ilvl w:val="0"/>
                <w:numId w:val="60"/>
              </w:numPr>
              <w:jc w:val="both"/>
              <w:rPr>
                <w:rFonts w:asciiTheme="minorHAnsi" w:hAnsiTheme="minorHAnsi" w:cstheme="minorBidi"/>
                <w:b/>
                <w:color w:val="auto"/>
                <w:sz w:val="20"/>
                <w:szCs w:val="22"/>
              </w:rPr>
            </w:pPr>
            <w:r w:rsidRPr="006170B6">
              <w:rPr>
                <w:rFonts w:ascii="Calibri" w:hAnsi="Calibri"/>
                <w:b/>
                <w:sz w:val="20"/>
              </w:rPr>
              <w:t>Liczba osób korzystających z placówek, których działanie ukierunkowane jest na potrzeby seniorów</w:t>
            </w:r>
            <w:r>
              <w:rPr>
                <w:rFonts w:ascii="Calibri" w:hAnsi="Calibri"/>
                <w:b/>
                <w:sz w:val="20"/>
              </w:rPr>
              <w:t>;</w:t>
            </w:r>
          </w:p>
        </w:tc>
      </w:tr>
      <w:tr w:rsidR="000D7217" w:rsidRPr="0006541D" w:rsidTr="009855D9">
        <w:trPr>
          <w:trHeight w:val="113"/>
        </w:trPr>
        <w:tc>
          <w:tcPr>
            <w:tcW w:w="9062" w:type="dxa"/>
            <w:gridSpan w:val="2"/>
            <w:tcBorders>
              <w:left w:val="nil"/>
              <w:right w:val="nil"/>
            </w:tcBorders>
            <w:shd w:val="clear" w:color="auto" w:fill="FFFFFF" w:themeFill="background1"/>
          </w:tcPr>
          <w:p w:rsidR="000D7217" w:rsidRPr="0006541D" w:rsidRDefault="000D7217" w:rsidP="00B73014">
            <w:pPr>
              <w:rPr>
                <w:rFonts w:ascii="Calibri" w:hAnsi="Calibri"/>
                <w:color w:val="000000"/>
                <w:sz w:val="2"/>
              </w:rPr>
            </w:pPr>
          </w:p>
        </w:tc>
      </w:tr>
      <w:tr w:rsidR="00D36034" w:rsidTr="009855D9">
        <w:trPr>
          <w:trHeight w:val="63"/>
        </w:trPr>
        <w:tc>
          <w:tcPr>
            <w:tcW w:w="2552" w:type="dxa"/>
            <w:shd w:val="clear" w:color="auto" w:fill="FFD966" w:themeFill="accent4" w:themeFillTint="99"/>
          </w:tcPr>
          <w:p w:rsidR="00D36034" w:rsidRPr="00A45758" w:rsidRDefault="00D36034" w:rsidP="007A56CD">
            <w:pPr>
              <w:rPr>
                <w:rFonts w:asciiTheme="minorHAnsi" w:hAnsiTheme="minorHAnsi"/>
                <w:sz w:val="22"/>
              </w:rPr>
            </w:pPr>
            <w:r w:rsidRPr="00A45758">
              <w:rPr>
                <w:rFonts w:asciiTheme="minorHAnsi" w:hAnsiTheme="minorHAnsi"/>
                <w:b/>
                <w:bCs/>
                <w:sz w:val="22"/>
              </w:rPr>
              <w:t xml:space="preserve">Cel operacyjny III.3 - </w:t>
            </w:r>
            <w:r w:rsidR="007A56CD" w:rsidRPr="00A45758">
              <w:rPr>
                <w:rFonts w:asciiTheme="minorHAnsi" w:hAnsiTheme="minorHAnsi"/>
                <w:b/>
                <w:bCs/>
                <w:sz w:val="22"/>
              </w:rPr>
              <w:t>Zapewnienie bezpieczeństwa mieszkańcom i ich mieniu</w:t>
            </w:r>
          </w:p>
        </w:tc>
        <w:tc>
          <w:tcPr>
            <w:tcW w:w="6510" w:type="dxa"/>
            <w:tcBorders>
              <w:top w:val="single" w:sz="8" w:space="0" w:color="auto"/>
              <w:left w:val="single" w:sz="8" w:space="0" w:color="auto"/>
              <w:bottom w:val="single" w:sz="4" w:space="0" w:color="auto"/>
              <w:right w:val="single" w:sz="8" w:space="0" w:color="auto"/>
            </w:tcBorders>
            <w:shd w:val="clear" w:color="auto" w:fill="FFF2CC" w:themeFill="accent4" w:themeFillTint="33"/>
            <w:vAlign w:val="bottom"/>
          </w:tcPr>
          <w:p w:rsidR="007A56CD" w:rsidRDefault="007A56CD" w:rsidP="007A56CD">
            <w:pPr>
              <w:spacing w:line="240" w:lineRule="auto"/>
              <w:rPr>
                <w:rFonts w:ascii="Calibri" w:hAnsi="Calibri"/>
                <w:color w:val="000000"/>
                <w:sz w:val="20"/>
              </w:rPr>
            </w:pPr>
            <w:r>
              <w:rPr>
                <w:rFonts w:ascii="Calibri" w:hAnsi="Calibri"/>
                <w:color w:val="000000"/>
                <w:sz w:val="20"/>
              </w:rPr>
              <w:t>Zapewnienie poczucia bezpieczeństwa mieszkańcom stanowi podstawowy czynnik wpływający na jakość życia na danym obszarze i podstawę dla prawidłowego rozwoju społeczeństwa. Legnica, mimo podejmowanych licznych działań i inwestycji w doposażanie służb, wciąż posiada relatywnie wysokie wskaźniki przestępczości, dlatego też ważne jest wdrażanie w kolejnych latach działań o charakterze inwestycyjnym, edukacyjnym</w:t>
            </w:r>
            <w:r w:rsidR="00E657FF">
              <w:rPr>
                <w:rFonts w:ascii="Calibri" w:hAnsi="Calibri"/>
                <w:color w:val="000000"/>
                <w:sz w:val="20"/>
              </w:rPr>
              <w:t>,</w:t>
            </w:r>
            <w:r>
              <w:rPr>
                <w:rFonts w:ascii="Calibri" w:hAnsi="Calibri"/>
                <w:color w:val="000000"/>
                <w:sz w:val="20"/>
              </w:rPr>
              <w:t xml:space="preserve"> jak i profilaktycznym w tym obszarze polityki miejskiej.</w:t>
            </w:r>
          </w:p>
          <w:p w:rsidR="007A56CD" w:rsidRDefault="007A56CD" w:rsidP="007A56CD">
            <w:pPr>
              <w:spacing w:line="240" w:lineRule="auto"/>
              <w:rPr>
                <w:rFonts w:ascii="Calibri" w:hAnsi="Calibri"/>
                <w:color w:val="000000"/>
                <w:sz w:val="20"/>
              </w:rPr>
            </w:pPr>
          </w:p>
          <w:p w:rsidR="007A56CD" w:rsidRDefault="007A56CD" w:rsidP="007A56CD">
            <w:pPr>
              <w:spacing w:line="240" w:lineRule="auto"/>
              <w:rPr>
                <w:rFonts w:ascii="Calibri" w:hAnsi="Calibri"/>
                <w:color w:val="000000"/>
                <w:sz w:val="20"/>
              </w:rPr>
            </w:pPr>
            <w:r>
              <w:rPr>
                <w:rFonts w:ascii="Calibri" w:hAnsi="Calibri"/>
                <w:color w:val="000000"/>
                <w:sz w:val="20"/>
              </w:rPr>
              <w:t xml:space="preserve">Kontynuacja </w:t>
            </w:r>
            <w:r w:rsidRPr="00AE5D7A">
              <w:rPr>
                <w:rFonts w:ascii="Calibri" w:hAnsi="Calibri"/>
                <w:b/>
                <w:color w:val="000000"/>
                <w:sz w:val="20"/>
              </w:rPr>
              <w:t>rozbudowy monitoringu miejskiego</w:t>
            </w:r>
            <w:r>
              <w:rPr>
                <w:rFonts w:ascii="Calibri" w:hAnsi="Calibri"/>
                <w:color w:val="000000"/>
                <w:sz w:val="20"/>
              </w:rPr>
              <w:t xml:space="preserve"> </w:t>
            </w:r>
            <w:r w:rsidR="00B40E3D">
              <w:rPr>
                <w:rFonts w:ascii="Calibri" w:hAnsi="Calibri"/>
                <w:color w:val="000000"/>
                <w:sz w:val="20"/>
              </w:rPr>
              <w:t xml:space="preserve">i przemysłowego, </w:t>
            </w:r>
            <w:r>
              <w:rPr>
                <w:rFonts w:ascii="Calibri" w:hAnsi="Calibri"/>
                <w:color w:val="000000"/>
                <w:sz w:val="20"/>
              </w:rPr>
              <w:t xml:space="preserve">połączona ze wzmożonymi </w:t>
            </w:r>
            <w:r w:rsidRPr="00AE5D7A">
              <w:rPr>
                <w:rFonts w:ascii="Calibri" w:hAnsi="Calibri"/>
                <w:b/>
                <w:color w:val="000000"/>
                <w:sz w:val="20"/>
              </w:rPr>
              <w:t>działaniami o charakterze prewencyjnym</w:t>
            </w:r>
            <w:r>
              <w:rPr>
                <w:rFonts w:ascii="Calibri" w:hAnsi="Calibri"/>
                <w:color w:val="000000"/>
                <w:sz w:val="20"/>
              </w:rPr>
              <w:t xml:space="preserve"> może przynieść doraźny efekt spadku przestępczości oraz wandalizmu na terenie miasta. Elementem wpływającym na poczucie bezpieczeństwa przez mieszkańców będzie także </w:t>
            </w:r>
            <w:r w:rsidRPr="00AE5D7A">
              <w:rPr>
                <w:rFonts w:ascii="Calibri" w:hAnsi="Calibri"/>
                <w:b/>
                <w:color w:val="000000"/>
                <w:sz w:val="20"/>
              </w:rPr>
              <w:t>budowa i przebudowa oświetlenia ulicznego</w:t>
            </w:r>
            <w:r w:rsidR="00B40E3D">
              <w:rPr>
                <w:rFonts w:ascii="Calibri" w:hAnsi="Calibri"/>
                <w:b/>
                <w:color w:val="000000"/>
                <w:sz w:val="20"/>
              </w:rPr>
              <w:t xml:space="preserve"> oraz doświetlenie przejść dla pieszych</w:t>
            </w:r>
            <w:r w:rsidRPr="00AE5D7A">
              <w:rPr>
                <w:rFonts w:ascii="Calibri" w:hAnsi="Calibri"/>
                <w:b/>
                <w:color w:val="000000"/>
                <w:sz w:val="20"/>
              </w:rPr>
              <w:t>,</w:t>
            </w:r>
            <w:r w:rsidR="00B40E3D">
              <w:rPr>
                <w:rFonts w:ascii="Calibri" w:hAnsi="Calibri"/>
                <w:color w:val="000000"/>
                <w:sz w:val="20"/>
              </w:rPr>
              <w:t xml:space="preserve"> nie tylko zwiększające</w:t>
            </w:r>
            <w:r>
              <w:rPr>
                <w:rFonts w:ascii="Calibri" w:hAnsi="Calibri"/>
                <w:color w:val="000000"/>
                <w:sz w:val="20"/>
              </w:rPr>
              <w:t xml:space="preserve"> widoczność, ale również, poprzez zastosowanie rozwiązań </w:t>
            </w:r>
            <w:r w:rsidR="00B40E3D">
              <w:rPr>
                <w:rFonts w:ascii="Calibri" w:hAnsi="Calibri"/>
                <w:color w:val="000000"/>
                <w:sz w:val="20"/>
              </w:rPr>
              <w:t>energooszczędnych, zmniejszające</w:t>
            </w:r>
            <w:r>
              <w:rPr>
                <w:rFonts w:ascii="Calibri" w:hAnsi="Calibri"/>
                <w:color w:val="000000"/>
                <w:sz w:val="20"/>
              </w:rPr>
              <w:t xml:space="preserve"> zużycie energii elektrycznej.  </w:t>
            </w:r>
          </w:p>
          <w:p w:rsidR="007A56CD" w:rsidRDefault="007A56CD" w:rsidP="007A56CD">
            <w:pPr>
              <w:spacing w:line="240" w:lineRule="auto"/>
              <w:rPr>
                <w:rFonts w:ascii="Calibri" w:hAnsi="Calibri"/>
                <w:color w:val="000000"/>
                <w:sz w:val="20"/>
              </w:rPr>
            </w:pPr>
          </w:p>
          <w:p w:rsidR="007A56CD" w:rsidRPr="00857168" w:rsidRDefault="007A56CD" w:rsidP="007A56CD">
            <w:pPr>
              <w:spacing w:line="240" w:lineRule="auto"/>
              <w:rPr>
                <w:rFonts w:ascii="Calibri" w:hAnsi="Calibri"/>
                <w:strike/>
                <w:color w:val="000000"/>
                <w:sz w:val="20"/>
              </w:rPr>
            </w:pPr>
            <w:r>
              <w:rPr>
                <w:rFonts w:ascii="Calibri" w:hAnsi="Calibri"/>
                <w:color w:val="000000"/>
                <w:sz w:val="20"/>
              </w:rPr>
              <w:t xml:space="preserve">Bezpieczeństwo to także ochrona przeciwpożarowa. Jak pokazują statystyki  częstym powodem powstawania pożarów oraz zaczadzeń są przestarzałe instalacje wentylacyjne, a także przewody kominowe.   </w:t>
            </w:r>
            <w:r w:rsidR="00E657FF">
              <w:rPr>
                <w:rFonts w:ascii="Calibri" w:hAnsi="Calibri"/>
                <w:color w:val="000000"/>
                <w:sz w:val="20"/>
              </w:rPr>
              <w:t>Ważnym wyz</w:t>
            </w:r>
            <w:r w:rsidRPr="00857168">
              <w:rPr>
                <w:rFonts w:ascii="Calibri" w:hAnsi="Calibri"/>
                <w:color w:val="000000"/>
                <w:sz w:val="20"/>
              </w:rPr>
              <w:t>waniem</w:t>
            </w:r>
            <w:r w:rsidR="00E657FF">
              <w:rPr>
                <w:rFonts w:ascii="Calibri" w:hAnsi="Calibri"/>
                <w:color w:val="000000"/>
                <w:sz w:val="20"/>
              </w:rPr>
              <w:t>,</w:t>
            </w:r>
            <w:r w:rsidRPr="00857168">
              <w:rPr>
                <w:rFonts w:ascii="Calibri" w:hAnsi="Calibri"/>
                <w:color w:val="000000"/>
                <w:sz w:val="20"/>
              </w:rPr>
              <w:t xml:space="preserve"> nie tylko z perspektywy ograniczania zjawiska „niskiej emisji”, ale przede wszystkim ochrony przeciwpożarowej będzie więc </w:t>
            </w:r>
            <w:r w:rsidRPr="00857168">
              <w:rPr>
                <w:rFonts w:ascii="Calibri" w:hAnsi="Calibri"/>
                <w:b/>
                <w:color w:val="000000"/>
                <w:sz w:val="20"/>
              </w:rPr>
              <w:t>remont i dobudowa przewodów kominowych oraz wentylacyjnych</w:t>
            </w:r>
            <w:r w:rsidRPr="00857168">
              <w:rPr>
                <w:rFonts w:ascii="Calibri" w:hAnsi="Calibri"/>
                <w:color w:val="000000"/>
                <w:sz w:val="20"/>
              </w:rPr>
              <w:t xml:space="preserve"> w budynkach komunalnych</w:t>
            </w:r>
            <w:r>
              <w:rPr>
                <w:rFonts w:ascii="Calibri" w:hAnsi="Calibri"/>
                <w:color w:val="000000"/>
                <w:sz w:val="20"/>
              </w:rPr>
              <w:t xml:space="preserve"> i obiektach użyteczności publicznej</w:t>
            </w:r>
            <w:r w:rsidRPr="00857168">
              <w:rPr>
                <w:rFonts w:ascii="Calibri" w:hAnsi="Calibri"/>
                <w:color w:val="000000"/>
                <w:sz w:val="20"/>
              </w:rPr>
              <w:t xml:space="preserve"> oraz propagowanie podobnych działań wśród mieszkańców.</w:t>
            </w:r>
          </w:p>
          <w:p w:rsidR="007A56CD" w:rsidRDefault="007A56CD" w:rsidP="007A56CD">
            <w:pPr>
              <w:spacing w:line="240" w:lineRule="auto"/>
              <w:rPr>
                <w:rFonts w:ascii="Calibri" w:hAnsi="Calibri"/>
                <w:color w:val="000000"/>
                <w:sz w:val="20"/>
              </w:rPr>
            </w:pPr>
          </w:p>
          <w:p w:rsidR="007A56CD" w:rsidRPr="00487144" w:rsidRDefault="007A56CD" w:rsidP="007A56CD">
            <w:pPr>
              <w:spacing w:line="240" w:lineRule="auto"/>
              <w:rPr>
                <w:rFonts w:ascii="Calibri" w:hAnsi="Calibri"/>
                <w:color w:val="000000"/>
                <w:sz w:val="20"/>
              </w:rPr>
            </w:pPr>
            <w:r w:rsidRPr="00487144">
              <w:rPr>
                <w:rFonts w:ascii="Calibri" w:hAnsi="Calibri"/>
                <w:color w:val="000000"/>
                <w:sz w:val="20"/>
              </w:rPr>
              <w:t>Zadaniami głównymi będą:</w:t>
            </w:r>
          </w:p>
          <w:p w:rsidR="007A56CD" w:rsidRPr="00487144" w:rsidRDefault="007A56CD" w:rsidP="0062416A">
            <w:pPr>
              <w:numPr>
                <w:ilvl w:val="0"/>
                <w:numId w:val="97"/>
              </w:numPr>
              <w:spacing w:line="240" w:lineRule="auto"/>
              <w:rPr>
                <w:rFonts w:ascii="Calibri" w:hAnsi="Calibri"/>
                <w:color w:val="000000"/>
                <w:sz w:val="20"/>
              </w:rPr>
            </w:pPr>
            <w:r w:rsidRPr="00487144">
              <w:rPr>
                <w:rFonts w:ascii="Calibri" w:hAnsi="Calibri"/>
                <w:b/>
                <w:bCs/>
                <w:color w:val="000000"/>
                <w:sz w:val="20"/>
              </w:rPr>
              <w:t>Kontynuacja rozbudowy monitoringu wizyjnego wraz z budową oświetlenia ulicznego w mieście;</w:t>
            </w:r>
          </w:p>
          <w:p w:rsidR="007A56CD" w:rsidRPr="00487144" w:rsidRDefault="007A56CD" w:rsidP="0062416A">
            <w:pPr>
              <w:numPr>
                <w:ilvl w:val="0"/>
                <w:numId w:val="97"/>
              </w:numPr>
              <w:spacing w:line="240" w:lineRule="auto"/>
              <w:rPr>
                <w:rFonts w:ascii="Calibri" w:hAnsi="Calibri"/>
                <w:color w:val="000000"/>
                <w:sz w:val="20"/>
              </w:rPr>
            </w:pPr>
            <w:r w:rsidRPr="00487144">
              <w:rPr>
                <w:rFonts w:ascii="Calibri" w:hAnsi="Calibri"/>
                <w:b/>
                <w:bCs/>
                <w:color w:val="000000"/>
                <w:sz w:val="20"/>
              </w:rPr>
              <w:t>Zwiększenie działań prewencyjnych Straży Miejskiej;</w:t>
            </w:r>
          </w:p>
          <w:p w:rsidR="007A56CD" w:rsidRPr="00487144" w:rsidRDefault="007A56CD" w:rsidP="0062416A">
            <w:pPr>
              <w:numPr>
                <w:ilvl w:val="0"/>
                <w:numId w:val="97"/>
              </w:numPr>
              <w:spacing w:line="240" w:lineRule="auto"/>
              <w:rPr>
                <w:rFonts w:ascii="Calibri" w:hAnsi="Calibri"/>
                <w:color w:val="000000"/>
                <w:sz w:val="20"/>
              </w:rPr>
            </w:pPr>
            <w:r w:rsidRPr="00487144">
              <w:rPr>
                <w:rFonts w:ascii="Calibri" w:hAnsi="Calibri"/>
                <w:b/>
                <w:bCs/>
                <w:color w:val="000000"/>
                <w:sz w:val="20"/>
              </w:rPr>
              <w:t>Integracja monitoringu miejskiego z monitoringiem przemysłowym jednostek na terenie miasta oraz monitoringiem powstającym w ramach budowy ITS;</w:t>
            </w:r>
          </w:p>
          <w:p w:rsidR="007A56CD" w:rsidRPr="00487144" w:rsidRDefault="007A56CD" w:rsidP="0062416A">
            <w:pPr>
              <w:numPr>
                <w:ilvl w:val="0"/>
                <w:numId w:val="97"/>
              </w:numPr>
              <w:spacing w:line="240" w:lineRule="auto"/>
              <w:rPr>
                <w:rFonts w:ascii="Calibri" w:hAnsi="Calibri"/>
                <w:color w:val="000000"/>
                <w:sz w:val="20"/>
              </w:rPr>
            </w:pPr>
            <w:r w:rsidRPr="00487144">
              <w:rPr>
                <w:rFonts w:ascii="Calibri" w:hAnsi="Calibri"/>
                <w:b/>
                <w:bCs/>
                <w:color w:val="000000"/>
                <w:sz w:val="20"/>
              </w:rPr>
              <w:t>Doskonalenie zintegrowanego systemu ostrzegania i alarmowania ludności o zagrożeniach;</w:t>
            </w:r>
          </w:p>
          <w:p w:rsidR="007A56CD" w:rsidRDefault="007A56CD" w:rsidP="007A56CD">
            <w:pPr>
              <w:spacing w:line="240" w:lineRule="auto"/>
              <w:rPr>
                <w:rFonts w:ascii="Calibri" w:hAnsi="Calibri"/>
                <w:color w:val="000000"/>
                <w:sz w:val="20"/>
              </w:rPr>
            </w:pPr>
          </w:p>
          <w:p w:rsidR="007A56CD" w:rsidRPr="00487144" w:rsidRDefault="007A56CD" w:rsidP="007A56CD">
            <w:pPr>
              <w:spacing w:line="240" w:lineRule="auto"/>
              <w:rPr>
                <w:rFonts w:ascii="Calibri" w:hAnsi="Calibri"/>
                <w:color w:val="000000"/>
                <w:sz w:val="20"/>
              </w:rPr>
            </w:pPr>
            <w:r w:rsidRPr="00487144">
              <w:rPr>
                <w:rFonts w:ascii="Calibri" w:hAnsi="Calibri"/>
                <w:color w:val="000000"/>
                <w:sz w:val="20"/>
              </w:rPr>
              <w:t>Zadaniami uzupełniającymi będą:</w:t>
            </w:r>
          </w:p>
          <w:p w:rsidR="007A56CD" w:rsidRPr="00487144" w:rsidRDefault="007A56CD" w:rsidP="0062416A">
            <w:pPr>
              <w:numPr>
                <w:ilvl w:val="0"/>
                <w:numId w:val="98"/>
              </w:numPr>
              <w:spacing w:line="240" w:lineRule="auto"/>
              <w:rPr>
                <w:rFonts w:ascii="Calibri" w:hAnsi="Calibri"/>
                <w:color w:val="000000"/>
                <w:sz w:val="20"/>
              </w:rPr>
            </w:pPr>
            <w:r w:rsidRPr="00487144">
              <w:rPr>
                <w:rFonts w:ascii="Calibri" w:hAnsi="Calibri"/>
                <w:b/>
                <w:bCs/>
                <w:color w:val="000000"/>
                <w:sz w:val="20"/>
              </w:rPr>
              <w:t>Działania profilaktyczne Policji i Straży Miejskiej;</w:t>
            </w:r>
          </w:p>
          <w:p w:rsidR="007A56CD" w:rsidRPr="00487144" w:rsidRDefault="007A56CD" w:rsidP="0062416A">
            <w:pPr>
              <w:numPr>
                <w:ilvl w:val="0"/>
                <w:numId w:val="98"/>
              </w:numPr>
              <w:spacing w:line="240" w:lineRule="auto"/>
              <w:rPr>
                <w:rFonts w:ascii="Calibri" w:hAnsi="Calibri"/>
                <w:color w:val="000000"/>
                <w:sz w:val="20"/>
              </w:rPr>
            </w:pPr>
            <w:r w:rsidRPr="00487144">
              <w:rPr>
                <w:rFonts w:ascii="Calibri" w:hAnsi="Calibri"/>
                <w:b/>
                <w:bCs/>
                <w:color w:val="000000"/>
                <w:sz w:val="20"/>
              </w:rPr>
              <w:t xml:space="preserve">Doposażenie w specjalistyczny sprzęt (np.  samochody ratownicze,  sprzęt do wykrywania skażeń) Straży Pożarnej oraz Straży Miejskiej; </w:t>
            </w:r>
          </w:p>
          <w:p w:rsidR="007A56CD" w:rsidRPr="00487144" w:rsidRDefault="007A56CD" w:rsidP="0062416A">
            <w:pPr>
              <w:numPr>
                <w:ilvl w:val="0"/>
                <w:numId w:val="98"/>
              </w:numPr>
              <w:spacing w:line="240" w:lineRule="auto"/>
              <w:rPr>
                <w:rFonts w:ascii="Calibri" w:hAnsi="Calibri"/>
                <w:color w:val="000000"/>
                <w:sz w:val="20"/>
              </w:rPr>
            </w:pPr>
            <w:r w:rsidRPr="00487144">
              <w:rPr>
                <w:rFonts w:ascii="Calibri" w:hAnsi="Calibri"/>
                <w:b/>
                <w:bCs/>
                <w:color w:val="000000"/>
                <w:sz w:val="20"/>
              </w:rPr>
              <w:t>Rozbudowa i doposażenie Centrum Powiadamiania Ratunkowego;</w:t>
            </w:r>
          </w:p>
          <w:p w:rsidR="007A56CD" w:rsidRPr="00487144" w:rsidRDefault="007A56CD" w:rsidP="0062416A">
            <w:pPr>
              <w:numPr>
                <w:ilvl w:val="0"/>
                <w:numId w:val="98"/>
              </w:numPr>
              <w:spacing w:line="240" w:lineRule="auto"/>
              <w:rPr>
                <w:rFonts w:ascii="Calibri" w:hAnsi="Calibri"/>
                <w:color w:val="000000"/>
                <w:sz w:val="20"/>
              </w:rPr>
            </w:pPr>
            <w:r w:rsidRPr="00487144">
              <w:rPr>
                <w:rFonts w:ascii="Calibri" w:hAnsi="Calibri"/>
                <w:b/>
                <w:bCs/>
                <w:color w:val="000000"/>
                <w:sz w:val="20"/>
              </w:rPr>
              <w:t>Rozszerzenie współpracy pomiędzy służbami (Policja, Straż Miejska, Straż Pożarna, PCZK) poprzez wdrożenie systemów automatycznego zarządzania incydentami w mieście;</w:t>
            </w:r>
          </w:p>
          <w:p w:rsidR="007A56CD" w:rsidRPr="00487144" w:rsidRDefault="007A56CD" w:rsidP="0062416A">
            <w:pPr>
              <w:numPr>
                <w:ilvl w:val="0"/>
                <w:numId w:val="98"/>
              </w:numPr>
              <w:spacing w:line="240" w:lineRule="auto"/>
              <w:rPr>
                <w:rFonts w:ascii="Calibri" w:hAnsi="Calibri"/>
                <w:color w:val="000000"/>
                <w:sz w:val="20"/>
              </w:rPr>
            </w:pPr>
            <w:r w:rsidRPr="00487144">
              <w:rPr>
                <w:rFonts w:ascii="Calibri" w:hAnsi="Calibri"/>
                <w:b/>
                <w:bCs/>
                <w:color w:val="000000"/>
                <w:sz w:val="20"/>
              </w:rPr>
              <w:t>Promocja Legnicy jako bezpiecznego miasta;</w:t>
            </w:r>
          </w:p>
          <w:p w:rsidR="0082079B" w:rsidRPr="0082079B" w:rsidRDefault="007A56CD" w:rsidP="0082079B">
            <w:pPr>
              <w:spacing w:line="240" w:lineRule="auto"/>
              <w:rPr>
                <w:rFonts w:ascii="Calibri" w:hAnsi="Calibri"/>
                <w:color w:val="000000"/>
                <w:sz w:val="20"/>
              </w:rPr>
            </w:pPr>
            <w:r>
              <w:rPr>
                <w:rFonts w:ascii="Calibri" w:hAnsi="Calibri"/>
                <w:color w:val="000000"/>
                <w:sz w:val="20"/>
              </w:rPr>
              <w:t xml:space="preserve">Działania w zakresie bezpieczeństwa publicznego finansowane będą z budżetu miasta. Dofinansowanie ze środków zewnętrznych może objąć działania z zakresu gospodarki niskoemisyjnej, zwłaszcza w ramach RPO i PO </w:t>
            </w:r>
            <w:r>
              <w:rPr>
                <w:rFonts w:ascii="Calibri" w:hAnsi="Calibri"/>
                <w:color w:val="000000"/>
                <w:sz w:val="20"/>
              </w:rPr>
              <w:lastRenderedPageBreak/>
              <w:t>IŚ.</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8"/>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BF8F00" w:themeFill="accent4" w:themeFillShade="BF"/>
          </w:tcPr>
          <w:p w:rsidR="000D7217" w:rsidRPr="00C2235A" w:rsidRDefault="000D7217" w:rsidP="00B73014">
            <w:pPr>
              <w:jc w:val="center"/>
              <w:rPr>
                <w:rFonts w:ascii="Calibri" w:hAnsi="Calibri"/>
                <w:b/>
                <w:color w:val="000000"/>
                <w:sz w:val="20"/>
              </w:rPr>
            </w:pPr>
            <w:r w:rsidRPr="00C2235A">
              <w:rPr>
                <w:rFonts w:ascii="Calibri" w:hAnsi="Calibri"/>
                <w:b/>
                <w:color w:val="FFFFFF" w:themeColor="background1"/>
                <w:sz w:val="22"/>
              </w:rPr>
              <w:t>Wskaźniki rezultatu dla Celu operacyjnego III.3</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FFF2CC" w:themeFill="accent4" w:themeFillTint="33"/>
          </w:tcPr>
          <w:p w:rsidR="002342C5" w:rsidRPr="002342C5" w:rsidRDefault="002342C5" w:rsidP="002342C5">
            <w:pPr>
              <w:pStyle w:val="Akapitzlist"/>
              <w:numPr>
                <w:ilvl w:val="0"/>
                <w:numId w:val="64"/>
              </w:numPr>
              <w:rPr>
                <w:rFonts w:ascii="Calibri" w:hAnsi="Calibri"/>
                <w:b/>
                <w:color w:val="000000"/>
                <w:sz w:val="20"/>
              </w:rPr>
            </w:pPr>
            <w:r w:rsidRPr="002342C5">
              <w:rPr>
                <w:rFonts w:ascii="Calibri" w:hAnsi="Calibri"/>
                <w:b/>
                <w:color w:val="000000"/>
                <w:sz w:val="20"/>
              </w:rPr>
              <w:t>Liczba stwierdzonych przestępstw</w:t>
            </w:r>
            <w:r>
              <w:rPr>
                <w:rFonts w:ascii="Calibri" w:hAnsi="Calibri"/>
                <w:b/>
                <w:color w:val="000000"/>
                <w:sz w:val="20"/>
              </w:rPr>
              <w:t>;</w:t>
            </w:r>
          </w:p>
          <w:p w:rsidR="00C2235A" w:rsidRPr="007A56CD" w:rsidRDefault="002342C5" w:rsidP="002342C5">
            <w:pPr>
              <w:pStyle w:val="Akapitzlist"/>
              <w:numPr>
                <w:ilvl w:val="0"/>
                <w:numId w:val="64"/>
              </w:numPr>
              <w:rPr>
                <w:rFonts w:ascii="Calibri" w:hAnsi="Calibri"/>
                <w:color w:val="000000"/>
                <w:sz w:val="20"/>
              </w:rPr>
            </w:pPr>
            <w:r w:rsidRPr="002342C5">
              <w:rPr>
                <w:rFonts w:ascii="Calibri" w:hAnsi="Calibri"/>
                <w:b/>
                <w:color w:val="000000"/>
                <w:sz w:val="20"/>
              </w:rPr>
              <w:t>Liczba wybudowanych/przebudowanych punktów oświetlenia ulicznego</w:t>
            </w:r>
            <w:r w:rsidR="007A56CD" w:rsidRPr="00A46B28">
              <w:rPr>
                <w:rFonts w:ascii="Calibri" w:hAnsi="Calibri"/>
                <w:b/>
                <w:color w:val="000000"/>
                <w:sz w:val="20"/>
              </w:rPr>
              <w:t>;</w:t>
            </w:r>
          </w:p>
        </w:tc>
      </w:tr>
      <w:tr w:rsidR="000D7217" w:rsidRPr="0006541D" w:rsidTr="009855D9">
        <w:trPr>
          <w:trHeight w:val="113"/>
        </w:trPr>
        <w:tc>
          <w:tcPr>
            <w:tcW w:w="9062" w:type="dxa"/>
            <w:gridSpan w:val="2"/>
            <w:tcBorders>
              <w:left w:val="nil"/>
              <w:right w:val="nil"/>
            </w:tcBorders>
            <w:shd w:val="clear" w:color="auto" w:fill="FFFFFF" w:themeFill="background1"/>
          </w:tcPr>
          <w:p w:rsidR="000D7217" w:rsidRPr="0006541D" w:rsidRDefault="000D7217" w:rsidP="00B73014">
            <w:pPr>
              <w:rPr>
                <w:rFonts w:ascii="Calibri" w:hAnsi="Calibri"/>
                <w:color w:val="000000"/>
                <w:sz w:val="2"/>
              </w:rPr>
            </w:pPr>
          </w:p>
        </w:tc>
      </w:tr>
      <w:tr w:rsidR="00D36034" w:rsidTr="009855D9">
        <w:trPr>
          <w:trHeight w:val="135"/>
        </w:trPr>
        <w:tc>
          <w:tcPr>
            <w:tcW w:w="2552" w:type="dxa"/>
            <w:shd w:val="clear" w:color="auto" w:fill="FFD966" w:themeFill="accent4" w:themeFillTint="99"/>
          </w:tcPr>
          <w:p w:rsidR="00D36034" w:rsidRPr="00A45758" w:rsidRDefault="00D36034" w:rsidP="007A56CD">
            <w:pPr>
              <w:rPr>
                <w:rFonts w:asciiTheme="minorHAnsi" w:hAnsiTheme="minorHAnsi"/>
                <w:sz w:val="22"/>
              </w:rPr>
            </w:pPr>
            <w:r w:rsidRPr="00A45758">
              <w:rPr>
                <w:rFonts w:asciiTheme="minorHAnsi" w:hAnsiTheme="minorHAnsi"/>
                <w:b/>
                <w:bCs/>
                <w:sz w:val="22"/>
              </w:rPr>
              <w:t xml:space="preserve">Cel operacyjny III.4  - </w:t>
            </w:r>
            <w:r w:rsidR="007A56CD" w:rsidRPr="00A45758">
              <w:rPr>
                <w:rFonts w:asciiTheme="minorHAnsi" w:hAnsiTheme="minorHAnsi"/>
                <w:b/>
                <w:bCs/>
                <w:sz w:val="22"/>
              </w:rPr>
              <w:t xml:space="preserve">Modernizacja wewnętrznego układu komunikacyjnego </w:t>
            </w:r>
          </w:p>
        </w:tc>
        <w:tc>
          <w:tcPr>
            <w:tcW w:w="6510" w:type="dxa"/>
            <w:tcBorders>
              <w:top w:val="single" w:sz="8" w:space="0" w:color="auto"/>
              <w:left w:val="single" w:sz="8" w:space="0" w:color="auto"/>
              <w:bottom w:val="single" w:sz="4" w:space="0" w:color="auto"/>
              <w:right w:val="single" w:sz="8" w:space="0" w:color="auto"/>
            </w:tcBorders>
            <w:shd w:val="clear" w:color="auto" w:fill="FFF2CC" w:themeFill="accent4" w:themeFillTint="33"/>
            <w:vAlign w:val="bottom"/>
          </w:tcPr>
          <w:p w:rsidR="007A56CD" w:rsidRDefault="007A56CD" w:rsidP="007A56CD">
            <w:pPr>
              <w:spacing w:line="240" w:lineRule="auto"/>
              <w:rPr>
                <w:rFonts w:ascii="Calibri" w:hAnsi="Calibri"/>
                <w:color w:val="000000"/>
                <w:sz w:val="20"/>
              </w:rPr>
            </w:pPr>
            <w:r w:rsidRPr="00BB183E">
              <w:rPr>
                <w:rFonts w:ascii="Calibri" w:hAnsi="Calibri"/>
                <w:color w:val="000000"/>
                <w:sz w:val="20"/>
              </w:rPr>
              <w:t xml:space="preserve">Obok rozbudowy połączeń z zewnętrznym układem komunikacyjnym, które wpływają na obraz komunikacyjny i atrakcyjność inwestycyjną miasta, konieczne jest polepszanie wewnętrznego układu komunikacyjnego, gdyż to on w pierwszej kolejności stanowi o jakości </w:t>
            </w:r>
            <w:r>
              <w:rPr>
                <w:rFonts w:ascii="Calibri" w:hAnsi="Calibri"/>
                <w:color w:val="000000"/>
                <w:sz w:val="20"/>
              </w:rPr>
              <w:t xml:space="preserve">i sprawności </w:t>
            </w:r>
            <w:r w:rsidRPr="00BB183E">
              <w:rPr>
                <w:rFonts w:ascii="Calibri" w:hAnsi="Calibri"/>
                <w:color w:val="000000"/>
                <w:sz w:val="20"/>
              </w:rPr>
              <w:t>poruszania się</w:t>
            </w:r>
            <w:r>
              <w:rPr>
                <w:rFonts w:ascii="Calibri" w:hAnsi="Calibri"/>
                <w:color w:val="000000"/>
                <w:sz w:val="20"/>
              </w:rPr>
              <w:t xml:space="preserve"> po mieście</w:t>
            </w:r>
            <w:r w:rsidRPr="00BB183E">
              <w:rPr>
                <w:rFonts w:ascii="Calibri" w:hAnsi="Calibri"/>
                <w:color w:val="000000"/>
                <w:sz w:val="20"/>
              </w:rPr>
              <w:t xml:space="preserve">. </w:t>
            </w:r>
            <w:r>
              <w:rPr>
                <w:rFonts w:ascii="Calibri" w:hAnsi="Calibri"/>
                <w:color w:val="000000"/>
                <w:sz w:val="20"/>
              </w:rPr>
              <w:t>Systematycznie wzrastająca liczba użytkowanych pojazdów powoduje niszczenie i dekapitalizację dróg, mostów i innych obiektów inżynieryjnych, co pociąga za sobą duże potrzeby remontowe w tym zakresie. Rosnąca liczba pojazdów powoduje także brak dostatecznej liczby miejsc parkingowych, co stanowi palący problem zarówno na osiedlach mieszkaniowych</w:t>
            </w:r>
            <w:r w:rsidR="00E657FF">
              <w:rPr>
                <w:rFonts w:ascii="Calibri" w:hAnsi="Calibri"/>
                <w:color w:val="000000"/>
                <w:sz w:val="20"/>
              </w:rPr>
              <w:t>,</w:t>
            </w:r>
            <w:r>
              <w:rPr>
                <w:rFonts w:ascii="Calibri" w:hAnsi="Calibri"/>
                <w:color w:val="000000"/>
                <w:sz w:val="20"/>
              </w:rPr>
              <w:t xml:space="preserve"> jak i w centrum miasta.</w:t>
            </w:r>
          </w:p>
          <w:p w:rsidR="007A56CD" w:rsidRDefault="007A56CD" w:rsidP="007A56CD">
            <w:pPr>
              <w:spacing w:line="240" w:lineRule="auto"/>
              <w:rPr>
                <w:rFonts w:ascii="Calibri" w:hAnsi="Calibri"/>
                <w:color w:val="000000"/>
                <w:sz w:val="20"/>
              </w:rPr>
            </w:pPr>
          </w:p>
          <w:p w:rsidR="007A56CD" w:rsidRDefault="007A56CD" w:rsidP="007A56CD">
            <w:pPr>
              <w:spacing w:line="240" w:lineRule="auto"/>
              <w:rPr>
                <w:rFonts w:ascii="Calibri" w:hAnsi="Calibri"/>
                <w:b/>
                <w:color w:val="000000"/>
                <w:sz w:val="20"/>
              </w:rPr>
            </w:pPr>
            <w:r>
              <w:rPr>
                <w:rFonts w:ascii="Calibri" w:hAnsi="Calibri"/>
                <w:color w:val="000000"/>
                <w:sz w:val="20"/>
              </w:rPr>
              <w:t xml:space="preserve">Zadania realizowane w ramach tego celu operacyjnego będą skupiały się więc na </w:t>
            </w:r>
            <w:r w:rsidRPr="00AE5D7A">
              <w:rPr>
                <w:rFonts w:ascii="Calibri" w:hAnsi="Calibri"/>
                <w:b/>
                <w:color w:val="000000"/>
                <w:sz w:val="20"/>
              </w:rPr>
              <w:t>modernizacji, uzbrojeniu i rozbudowie dróg lokalnych i dojazdowych, rozbudowie systemu parkingowego</w:t>
            </w:r>
            <w:r>
              <w:rPr>
                <w:rFonts w:ascii="Calibri" w:hAnsi="Calibri"/>
                <w:color w:val="000000"/>
                <w:sz w:val="20"/>
              </w:rPr>
              <w:t xml:space="preserve"> na terenie miasta,  </w:t>
            </w:r>
            <w:r w:rsidRPr="00AE5D7A">
              <w:rPr>
                <w:rFonts w:ascii="Calibri" w:hAnsi="Calibri"/>
                <w:b/>
                <w:color w:val="000000"/>
                <w:sz w:val="20"/>
              </w:rPr>
              <w:t xml:space="preserve">przebudowie chodników </w:t>
            </w:r>
            <w:r>
              <w:rPr>
                <w:rFonts w:ascii="Calibri" w:hAnsi="Calibri"/>
                <w:color w:val="000000"/>
                <w:sz w:val="20"/>
              </w:rPr>
              <w:t xml:space="preserve">wraz z </w:t>
            </w:r>
            <w:r w:rsidRPr="00AE5D7A">
              <w:rPr>
                <w:rFonts w:ascii="Calibri" w:hAnsi="Calibri"/>
                <w:b/>
                <w:color w:val="000000"/>
                <w:sz w:val="20"/>
              </w:rPr>
              <w:t>budową ścieżek rowerowych</w:t>
            </w:r>
            <w:r>
              <w:rPr>
                <w:rFonts w:ascii="Calibri" w:hAnsi="Calibri"/>
                <w:color w:val="000000"/>
                <w:sz w:val="20"/>
              </w:rPr>
              <w:t xml:space="preserve"> oraz na </w:t>
            </w:r>
            <w:r w:rsidRPr="00AE5D7A">
              <w:rPr>
                <w:rFonts w:ascii="Calibri" w:hAnsi="Calibri"/>
                <w:b/>
                <w:color w:val="000000"/>
                <w:sz w:val="20"/>
              </w:rPr>
              <w:t>modernizacji kanalizacji deszczowej.</w:t>
            </w:r>
          </w:p>
          <w:p w:rsidR="007A56CD" w:rsidRDefault="007A56CD" w:rsidP="007A56CD">
            <w:pPr>
              <w:spacing w:line="240" w:lineRule="auto"/>
              <w:rPr>
                <w:rFonts w:ascii="Calibri" w:hAnsi="Calibri"/>
                <w:b/>
                <w:color w:val="000000"/>
                <w:sz w:val="20"/>
              </w:rPr>
            </w:pPr>
          </w:p>
          <w:p w:rsidR="007A56CD" w:rsidRPr="00487144" w:rsidRDefault="007A56CD" w:rsidP="007A56CD">
            <w:pPr>
              <w:spacing w:line="240" w:lineRule="auto"/>
              <w:rPr>
                <w:rFonts w:ascii="Calibri" w:hAnsi="Calibri"/>
                <w:color w:val="000000"/>
                <w:sz w:val="20"/>
              </w:rPr>
            </w:pPr>
            <w:r w:rsidRPr="00487144">
              <w:rPr>
                <w:rFonts w:ascii="Calibri" w:hAnsi="Calibri"/>
                <w:color w:val="000000"/>
                <w:sz w:val="20"/>
              </w:rPr>
              <w:t>Zadaniami głównymi będą:</w:t>
            </w:r>
          </w:p>
          <w:p w:rsidR="007A56CD" w:rsidRDefault="007A56CD" w:rsidP="0062416A">
            <w:pPr>
              <w:numPr>
                <w:ilvl w:val="0"/>
                <w:numId w:val="99"/>
              </w:numPr>
              <w:spacing w:line="240" w:lineRule="auto"/>
              <w:rPr>
                <w:rFonts w:ascii="Calibri" w:hAnsi="Calibri"/>
                <w:color w:val="000000"/>
                <w:sz w:val="20"/>
              </w:rPr>
            </w:pPr>
            <w:r w:rsidRPr="00487144">
              <w:rPr>
                <w:rFonts w:ascii="Calibri" w:hAnsi="Calibri"/>
                <w:b/>
                <w:bCs/>
                <w:color w:val="000000"/>
                <w:sz w:val="20"/>
              </w:rPr>
              <w:t>Przebudowa i rozbudowa systemu parkingowego na terenie miasta z uwzględnieniem parkingów wielopoziomowych;</w:t>
            </w:r>
          </w:p>
          <w:p w:rsidR="007A56CD" w:rsidRPr="00AC119E" w:rsidRDefault="007A56CD" w:rsidP="0062416A">
            <w:pPr>
              <w:numPr>
                <w:ilvl w:val="0"/>
                <w:numId w:val="99"/>
              </w:numPr>
              <w:spacing w:line="240" w:lineRule="auto"/>
              <w:rPr>
                <w:rFonts w:ascii="Calibri" w:hAnsi="Calibri"/>
                <w:color w:val="000000"/>
                <w:sz w:val="20"/>
              </w:rPr>
            </w:pPr>
            <w:r w:rsidRPr="00487144">
              <w:rPr>
                <w:rFonts w:ascii="Calibri" w:hAnsi="Calibri"/>
                <w:b/>
                <w:bCs/>
                <w:color w:val="000000"/>
                <w:sz w:val="20"/>
              </w:rPr>
              <w:t>Przebudowa dróg lokalnych i chodników w mieście</w:t>
            </w:r>
            <w:r>
              <w:rPr>
                <w:rFonts w:ascii="Calibri" w:hAnsi="Calibri"/>
                <w:b/>
                <w:bCs/>
                <w:color w:val="000000"/>
                <w:sz w:val="20"/>
              </w:rPr>
              <w:t>;</w:t>
            </w:r>
          </w:p>
          <w:p w:rsidR="00AC119E" w:rsidRPr="00487144" w:rsidRDefault="00AC119E" w:rsidP="00AC119E">
            <w:pPr>
              <w:spacing w:line="240" w:lineRule="auto"/>
              <w:ind w:left="720"/>
              <w:rPr>
                <w:rFonts w:ascii="Calibri" w:hAnsi="Calibri"/>
                <w:color w:val="000000"/>
                <w:sz w:val="20"/>
              </w:rPr>
            </w:pPr>
          </w:p>
          <w:p w:rsidR="007A56CD" w:rsidRPr="00487144" w:rsidRDefault="007A56CD" w:rsidP="007A56CD">
            <w:pPr>
              <w:spacing w:line="240" w:lineRule="auto"/>
              <w:rPr>
                <w:rFonts w:ascii="Calibri" w:hAnsi="Calibri"/>
                <w:color w:val="000000"/>
                <w:sz w:val="20"/>
              </w:rPr>
            </w:pPr>
            <w:r w:rsidRPr="00487144">
              <w:rPr>
                <w:rFonts w:ascii="Calibri" w:hAnsi="Calibri"/>
                <w:color w:val="000000"/>
                <w:sz w:val="20"/>
              </w:rPr>
              <w:t>Zadaniami uzupełniającymi będą:</w:t>
            </w:r>
          </w:p>
          <w:p w:rsidR="007A56CD" w:rsidRPr="00487144" w:rsidRDefault="007A56CD" w:rsidP="0062416A">
            <w:pPr>
              <w:numPr>
                <w:ilvl w:val="0"/>
                <w:numId w:val="100"/>
              </w:numPr>
              <w:spacing w:line="240" w:lineRule="auto"/>
              <w:rPr>
                <w:rFonts w:ascii="Calibri" w:hAnsi="Calibri"/>
                <w:color w:val="000000"/>
                <w:sz w:val="20"/>
              </w:rPr>
            </w:pPr>
            <w:r w:rsidRPr="00487144">
              <w:rPr>
                <w:rFonts w:ascii="Calibri" w:hAnsi="Calibri"/>
                <w:b/>
                <w:bCs/>
                <w:color w:val="000000"/>
                <w:sz w:val="20"/>
              </w:rPr>
              <w:t>Rozbudowa sieci ścieżek rowerowych;</w:t>
            </w:r>
          </w:p>
          <w:p w:rsidR="007A56CD" w:rsidRPr="00487144" w:rsidRDefault="007A56CD" w:rsidP="0062416A">
            <w:pPr>
              <w:numPr>
                <w:ilvl w:val="0"/>
                <w:numId w:val="100"/>
              </w:numPr>
              <w:spacing w:line="240" w:lineRule="auto"/>
              <w:rPr>
                <w:rFonts w:ascii="Calibri" w:hAnsi="Calibri"/>
                <w:color w:val="000000"/>
                <w:sz w:val="20"/>
              </w:rPr>
            </w:pPr>
            <w:r w:rsidRPr="00487144">
              <w:rPr>
                <w:rFonts w:ascii="Calibri" w:hAnsi="Calibri"/>
                <w:b/>
                <w:bCs/>
                <w:color w:val="000000"/>
                <w:sz w:val="20"/>
              </w:rPr>
              <w:t>Budowa drogi obsługującej cmentarz komunalny w Jaszkowie;</w:t>
            </w:r>
          </w:p>
          <w:p w:rsidR="007A56CD" w:rsidRPr="00487144" w:rsidRDefault="007A56CD" w:rsidP="0062416A">
            <w:pPr>
              <w:numPr>
                <w:ilvl w:val="0"/>
                <w:numId w:val="100"/>
              </w:numPr>
              <w:spacing w:line="240" w:lineRule="auto"/>
              <w:rPr>
                <w:rFonts w:ascii="Calibri" w:hAnsi="Calibri"/>
                <w:color w:val="000000"/>
                <w:sz w:val="20"/>
              </w:rPr>
            </w:pPr>
            <w:r w:rsidRPr="00487144">
              <w:rPr>
                <w:rFonts w:ascii="Calibri" w:hAnsi="Calibri"/>
                <w:b/>
                <w:bCs/>
                <w:color w:val="000000"/>
                <w:sz w:val="20"/>
              </w:rPr>
              <w:t>Uzbrojenie terenów inwestycyjnych pod budownictwo mieszkaniowe jedno i wielorodzinne;</w:t>
            </w:r>
          </w:p>
          <w:p w:rsidR="007A56CD" w:rsidRPr="00487144" w:rsidRDefault="007A56CD" w:rsidP="0062416A">
            <w:pPr>
              <w:numPr>
                <w:ilvl w:val="0"/>
                <w:numId w:val="100"/>
              </w:numPr>
              <w:spacing w:line="240" w:lineRule="auto"/>
              <w:rPr>
                <w:rFonts w:ascii="Calibri" w:hAnsi="Calibri"/>
                <w:color w:val="000000"/>
                <w:sz w:val="20"/>
              </w:rPr>
            </w:pPr>
            <w:r w:rsidRPr="00487144">
              <w:rPr>
                <w:rFonts w:ascii="Calibri" w:hAnsi="Calibri"/>
                <w:b/>
                <w:bCs/>
                <w:color w:val="000000"/>
                <w:sz w:val="20"/>
              </w:rPr>
              <w:t>Promocja miasta przyjaznego użytkownikom dróg;</w:t>
            </w:r>
          </w:p>
          <w:p w:rsidR="007A56CD" w:rsidRPr="00487144" w:rsidRDefault="007A56CD" w:rsidP="007A56CD">
            <w:pPr>
              <w:spacing w:line="240" w:lineRule="auto"/>
              <w:rPr>
                <w:rFonts w:ascii="Calibri" w:hAnsi="Calibri"/>
                <w:color w:val="000000"/>
                <w:sz w:val="20"/>
              </w:rPr>
            </w:pPr>
          </w:p>
          <w:p w:rsidR="008850BC" w:rsidRPr="008850BC" w:rsidRDefault="007A56CD" w:rsidP="007A56CD">
            <w:pPr>
              <w:spacing w:line="240" w:lineRule="auto"/>
              <w:rPr>
                <w:rFonts w:ascii="Calibri" w:hAnsi="Calibri"/>
                <w:color w:val="000000"/>
                <w:sz w:val="20"/>
              </w:rPr>
            </w:pPr>
            <w:r>
              <w:rPr>
                <w:rFonts w:ascii="Calibri" w:hAnsi="Calibri"/>
                <w:color w:val="000000"/>
                <w:sz w:val="20"/>
              </w:rPr>
              <w:t>Finansowanie rozbudowy wewnętrznego układu komunikacyjnego, a także infrastruktury towarzyszącej</w:t>
            </w:r>
            <w:r w:rsidR="00E657FF">
              <w:rPr>
                <w:rFonts w:ascii="Calibri" w:hAnsi="Calibri"/>
                <w:color w:val="000000"/>
                <w:sz w:val="20"/>
              </w:rPr>
              <w:t>,</w:t>
            </w:r>
            <w:r>
              <w:rPr>
                <w:rFonts w:ascii="Calibri" w:hAnsi="Calibri"/>
                <w:color w:val="000000"/>
                <w:sz w:val="20"/>
              </w:rPr>
              <w:t xml:space="preserve"> będzie realizowane ze środków własnych budżetu miasta, Programu Operacyjnego Infrastruktura i Środowisko, a także Regionalnego Programu Operacyjnego dla Województwa Dolnośląskiego</w:t>
            </w:r>
            <w:r w:rsidR="00B40E3D">
              <w:rPr>
                <w:rFonts w:ascii="Calibri" w:hAnsi="Calibri"/>
                <w:color w:val="000000"/>
                <w:sz w:val="20"/>
              </w:rPr>
              <w:t xml:space="preserve">. </w:t>
            </w:r>
            <w:r w:rsidR="00B40E3D" w:rsidRPr="00B40E3D">
              <w:rPr>
                <w:rFonts w:ascii="Calibri" w:hAnsi="Calibri" w:cs="Calibri"/>
                <w:color w:val="000000" w:themeColor="text1"/>
                <w:sz w:val="20"/>
              </w:rPr>
              <w:t>Osie priorytetowe w poszczególnych Programach zostaną określone po zatwierdzeniu ich „Uszczegółowień”.</w:t>
            </w:r>
          </w:p>
        </w:tc>
      </w:tr>
      <w:tr w:rsidR="0006541D" w:rsidRPr="0006541D" w:rsidTr="002342C5">
        <w:trPr>
          <w:trHeight w:val="113"/>
        </w:trPr>
        <w:tc>
          <w:tcPr>
            <w:tcW w:w="9062" w:type="dxa"/>
            <w:gridSpan w:val="2"/>
            <w:tcBorders>
              <w:left w:val="nil"/>
              <w:bottom w:val="single" w:sz="4" w:space="0" w:color="auto"/>
              <w:right w:val="nil"/>
            </w:tcBorders>
            <w:shd w:val="clear" w:color="auto" w:fill="FFFFFF" w:themeFill="background1"/>
          </w:tcPr>
          <w:p w:rsidR="0006541D" w:rsidRPr="0006541D" w:rsidRDefault="0006541D" w:rsidP="00841C5B">
            <w:pPr>
              <w:rPr>
                <w:rFonts w:ascii="Calibri" w:hAnsi="Calibri"/>
                <w:color w:val="000000"/>
                <w:sz w:val="4"/>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BF8F00" w:themeFill="accent4" w:themeFillShade="BF"/>
          </w:tcPr>
          <w:p w:rsidR="000D7217" w:rsidRPr="00A46B28" w:rsidRDefault="000D7217" w:rsidP="00B73014">
            <w:pPr>
              <w:jc w:val="center"/>
              <w:rPr>
                <w:rFonts w:ascii="Calibri" w:hAnsi="Calibri"/>
                <w:b/>
                <w:color w:val="000000"/>
                <w:sz w:val="20"/>
              </w:rPr>
            </w:pPr>
            <w:r w:rsidRPr="00A46B28">
              <w:rPr>
                <w:rFonts w:ascii="Calibri" w:hAnsi="Calibri"/>
                <w:b/>
                <w:color w:val="FFFFFF" w:themeColor="background1"/>
                <w:sz w:val="22"/>
              </w:rPr>
              <w:t>Wskaźniki rezultatu dla Celu operacyjnego III.4</w:t>
            </w:r>
          </w:p>
        </w:tc>
      </w:tr>
      <w:tr w:rsidR="000D7217" w:rsidRPr="00FE0E55" w:rsidTr="002342C5">
        <w:trPr>
          <w:trHeight w:val="168"/>
        </w:trPr>
        <w:tc>
          <w:tcPr>
            <w:tcW w:w="9062" w:type="dxa"/>
            <w:gridSpan w:val="2"/>
            <w:tcBorders>
              <w:bottom w:val="single" w:sz="4" w:space="0" w:color="auto"/>
              <w:right w:val="single" w:sz="8" w:space="0" w:color="auto"/>
            </w:tcBorders>
            <w:shd w:val="clear" w:color="auto" w:fill="FFF2CC" w:themeFill="accent4" w:themeFillTint="33"/>
          </w:tcPr>
          <w:p w:rsidR="002342C5" w:rsidRPr="00651D48" w:rsidRDefault="002342C5" w:rsidP="002342C5">
            <w:pPr>
              <w:pStyle w:val="Akapitzlist"/>
              <w:numPr>
                <w:ilvl w:val="0"/>
                <w:numId w:val="65"/>
              </w:numPr>
              <w:rPr>
                <w:rFonts w:ascii="Calibri" w:hAnsi="Calibri"/>
                <w:b/>
                <w:color w:val="000000"/>
                <w:sz w:val="20"/>
              </w:rPr>
            </w:pPr>
            <w:r w:rsidRPr="00651D48">
              <w:rPr>
                <w:rFonts w:ascii="Calibri" w:hAnsi="Calibri"/>
                <w:b/>
                <w:color w:val="000000"/>
                <w:sz w:val="20"/>
              </w:rPr>
              <w:t>Liczba wybudowanych miejsc parkingowych</w:t>
            </w:r>
            <w:r w:rsidR="00A469F2">
              <w:rPr>
                <w:rFonts w:ascii="Calibri" w:hAnsi="Calibri"/>
                <w:b/>
                <w:color w:val="000000"/>
                <w:sz w:val="20"/>
              </w:rPr>
              <w:t>, w tym miejsc parkingowych dla autokarów</w:t>
            </w:r>
            <w:r w:rsidRPr="00651D48">
              <w:rPr>
                <w:rFonts w:ascii="Calibri" w:hAnsi="Calibri"/>
                <w:b/>
                <w:color w:val="000000"/>
                <w:sz w:val="20"/>
              </w:rPr>
              <w:t>;</w:t>
            </w:r>
          </w:p>
          <w:p w:rsidR="007A56CD" w:rsidRPr="00A46B28" w:rsidRDefault="002342C5" w:rsidP="002342C5">
            <w:pPr>
              <w:pStyle w:val="Akapitzlist"/>
              <w:numPr>
                <w:ilvl w:val="0"/>
                <w:numId w:val="65"/>
              </w:numPr>
              <w:rPr>
                <w:rFonts w:ascii="Calibri" w:hAnsi="Calibri"/>
                <w:color w:val="000000"/>
                <w:sz w:val="20"/>
              </w:rPr>
            </w:pPr>
            <w:r w:rsidRPr="00651D48">
              <w:rPr>
                <w:rFonts w:ascii="Calibri" w:hAnsi="Calibri"/>
                <w:b/>
                <w:color w:val="000000"/>
                <w:sz w:val="20"/>
              </w:rPr>
              <w:t>Długość wybudowanych tras rowerowych;</w:t>
            </w:r>
          </w:p>
        </w:tc>
      </w:tr>
      <w:tr w:rsidR="000D7217" w:rsidRPr="0006541D" w:rsidTr="002342C5">
        <w:trPr>
          <w:trHeight w:val="113"/>
        </w:trPr>
        <w:tc>
          <w:tcPr>
            <w:tcW w:w="9062" w:type="dxa"/>
            <w:gridSpan w:val="2"/>
            <w:tcBorders>
              <w:top w:val="single" w:sz="4" w:space="0" w:color="auto"/>
              <w:left w:val="nil"/>
              <w:bottom w:val="nil"/>
              <w:right w:val="nil"/>
            </w:tcBorders>
            <w:shd w:val="clear" w:color="auto" w:fill="FFFFFF" w:themeFill="background1"/>
          </w:tcPr>
          <w:p w:rsidR="000D7217" w:rsidRPr="0006541D" w:rsidRDefault="000D7217" w:rsidP="00B73014">
            <w:pPr>
              <w:rPr>
                <w:rFonts w:ascii="Calibri" w:hAnsi="Calibri"/>
                <w:color w:val="000000"/>
                <w:sz w:val="2"/>
              </w:rPr>
            </w:pPr>
          </w:p>
        </w:tc>
      </w:tr>
      <w:tr w:rsidR="00D36034" w:rsidTr="002342C5">
        <w:trPr>
          <w:trHeight w:val="1251"/>
        </w:trPr>
        <w:tc>
          <w:tcPr>
            <w:tcW w:w="2552" w:type="dxa"/>
            <w:tcBorders>
              <w:top w:val="nil"/>
            </w:tcBorders>
            <w:shd w:val="clear" w:color="auto" w:fill="FFD966" w:themeFill="accent4" w:themeFillTint="99"/>
          </w:tcPr>
          <w:p w:rsidR="00D36034" w:rsidRDefault="00D36034" w:rsidP="00841C5B">
            <w:pPr>
              <w:rPr>
                <w:rFonts w:asciiTheme="minorHAnsi" w:hAnsiTheme="minorHAnsi"/>
                <w:b/>
                <w:bCs/>
                <w:sz w:val="22"/>
              </w:rPr>
            </w:pPr>
            <w:r w:rsidRPr="00A45758">
              <w:rPr>
                <w:rFonts w:asciiTheme="minorHAnsi" w:hAnsiTheme="minorHAnsi"/>
                <w:b/>
                <w:bCs/>
                <w:sz w:val="22"/>
              </w:rPr>
              <w:t xml:space="preserve">Cel operacyjny III.5 - </w:t>
            </w:r>
          </w:p>
          <w:p w:rsidR="007A56CD" w:rsidRPr="00A45758" w:rsidRDefault="007A56CD" w:rsidP="00841C5B">
            <w:pPr>
              <w:rPr>
                <w:rFonts w:asciiTheme="minorHAnsi" w:hAnsiTheme="minorHAnsi"/>
                <w:sz w:val="22"/>
              </w:rPr>
            </w:pPr>
            <w:r w:rsidRPr="00A45758">
              <w:rPr>
                <w:rFonts w:asciiTheme="minorHAnsi" w:hAnsiTheme="minorHAnsi"/>
                <w:b/>
                <w:bCs/>
                <w:sz w:val="22"/>
              </w:rPr>
              <w:t>Modernizacja i rozwój infrastruktury</w:t>
            </w:r>
            <w:r>
              <w:rPr>
                <w:rFonts w:asciiTheme="minorHAnsi" w:hAnsiTheme="minorHAnsi"/>
                <w:b/>
                <w:bCs/>
                <w:sz w:val="22"/>
              </w:rPr>
              <w:t xml:space="preserve"> technicznej</w:t>
            </w:r>
            <w:r w:rsidRPr="00A45758">
              <w:rPr>
                <w:rFonts w:asciiTheme="minorHAnsi" w:hAnsiTheme="minorHAnsi"/>
                <w:b/>
                <w:bCs/>
                <w:sz w:val="22"/>
              </w:rPr>
              <w:t xml:space="preserve"> i zarządzania usługami komunalnymi</w:t>
            </w:r>
          </w:p>
        </w:tc>
        <w:tc>
          <w:tcPr>
            <w:tcW w:w="6510" w:type="dxa"/>
            <w:tcBorders>
              <w:top w:val="nil"/>
              <w:left w:val="single" w:sz="8" w:space="0" w:color="auto"/>
              <w:bottom w:val="single" w:sz="4" w:space="0" w:color="auto"/>
              <w:right w:val="single" w:sz="8" w:space="0" w:color="auto"/>
            </w:tcBorders>
            <w:shd w:val="clear" w:color="auto" w:fill="FFF2CC" w:themeFill="accent4" w:themeFillTint="33"/>
            <w:vAlign w:val="bottom"/>
          </w:tcPr>
          <w:p w:rsidR="007A56CD" w:rsidRDefault="007A56CD" w:rsidP="007A56CD">
            <w:pPr>
              <w:spacing w:line="240" w:lineRule="auto"/>
              <w:rPr>
                <w:rFonts w:ascii="Calibri" w:hAnsi="Calibri"/>
                <w:color w:val="000000"/>
                <w:sz w:val="20"/>
              </w:rPr>
            </w:pPr>
            <w:r>
              <w:rPr>
                <w:rFonts w:ascii="Calibri" w:hAnsi="Calibri"/>
                <w:color w:val="000000"/>
                <w:sz w:val="20"/>
              </w:rPr>
              <w:t xml:space="preserve">Powszechny dostęp do infrastruktury technicznej oraz usług komunalnych stanowi podstawowy element warunkujący jakość życia w mieście.  Zmieniający się układ przestrzenny miasta i ewoluujące potrzeby mieszkańców wymagają podejmowania kolejnych kroków służących rozwojowi zakresu  świadczonych usług komunalnych i ich jakości, modernizacji wykorzystywanej infrastruktury i urządzeń technicznych oraz rozbudowie sieci podstawowych mediów. </w:t>
            </w:r>
          </w:p>
          <w:p w:rsidR="007A56CD" w:rsidRDefault="007A56CD" w:rsidP="007A56CD">
            <w:pPr>
              <w:spacing w:line="240" w:lineRule="auto"/>
              <w:rPr>
                <w:rFonts w:ascii="Calibri" w:hAnsi="Calibri"/>
                <w:color w:val="000000"/>
                <w:sz w:val="20"/>
              </w:rPr>
            </w:pPr>
          </w:p>
          <w:p w:rsidR="007A56CD" w:rsidRDefault="007A56CD" w:rsidP="007A56CD">
            <w:pPr>
              <w:spacing w:line="240" w:lineRule="auto"/>
              <w:rPr>
                <w:rFonts w:ascii="Calibri" w:hAnsi="Calibri"/>
                <w:color w:val="000000"/>
                <w:sz w:val="20"/>
              </w:rPr>
            </w:pPr>
            <w:r>
              <w:rPr>
                <w:rFonts w:ascii="Calibri" w:hAnsi="Calibri"/>
                <w:color w:val="000000"/>
                <w:sz w:val="20"/>
              </w:rPr>
              <w:lastRenderedPageBreak/>
              <w:t>Przykładem działań</w:t>
            </w:r>
            <w:r w:rsidR="00E657FF">
              <w:rPr>
                <w:rFonts w:ascii="Calibri" w:hAnsi="Calibri"/>
                <w:color w:val="000000"/>
                <w:sz w:val="20"/>
              </w:rPr>
              <w:t>,</w:t>
            </w:r>
            <w:r>
              <w:rPr>
                <w:rFonts w:ascii="Calibri" w:hAnsi="Calibri"/>
                <w:color w:val="000000"/>
                <w:sz w:val="20"/>
              </w:rPr>
              <w:t xml:space="preserve"> jakie należy wdrożyć w nadchodzących latach</w:t>
            </w:r>
            <w:r w:rsidR="00E657FF">
              <w:rPr>
                <w:rFonts w:ascii="Calibri" w:hAnsi="Calibri"/>
                <w:color w:val="000000"/>
                <w:sz w:val="20"/>
              </w:rPr>
              <w:t>,</w:t>
            </w:r>
            <w:r>
              <w:rPr>
                <w:rFonts w:ascii="Calibri" w:hAnsi="Calibri"/>
                <w:color w:val="000000"/>
                <w:sz w:val="20"/>
              </w:rPr>
              <w:t xml:space="preserve"> może być </w:t>
            </w:r>
            <w:r>
              <w:rPr>
                <w:rFonts w:ascii="Calibri" w:hAnsi="Calibri"/>
                <w:b/>
                <w:color w:val="000000"/>
                <w:sz w:val="20"/>
              </w:rPr>
              <w:t>opracowanie</w:t>
            </w:r>
            <w:r w:rsidRPr="00AE5D7A">
              <w:rPr>
                <w:rFonts w:ascii="Calibri" w:hAnsi="Calibri"/>
                <w:b/>
                <w:color w:val="000000"/>
                <w:sz w:val="20"/>
              </w:rPr>
              <w:t xml:space="preserve"> planu</w:t>
            </w:r>
            <w:r>
              <w:rPr>
                <w:rFonts w:ascii="Calibri" w:hAnsi="Calibri"/>
                <w:b/>
                <w:color w:val="000000"/>
                <w:sz w:val="20"/>
              </w:rPr>
              <w:t xml:space="preserve"> rozwoju sieci wodno-kanalizacyjnej</w:t>
            </w:r>
            <w:r w:rsidRPr="00AE5D7A">
              <w:rPr>
                <w:rFonts w:ascii="Calibri" w:hAnsi="Calibri"/>
                <w:b/>
                <w:color w:val="000000"/>
                <w:sz w:val="20"/>
              </w:rPr>
              <w:t xml:space="preserve"> dla miasta Legnicy</w:t>
            </w:r>
            <w:r>
              <w:rPr>
                <w:rFonts w:ascii="Calibri" w:hAnsi="Calibri"/>
                <w:color w:val="000000"/>
                <w:sz w:val="20"/>
              </w:rPr>
              <w:t>, który pozwoli określić zadania inwestycyjne służące d</w:t>
            </w:r>
            <w:r w:rsidRPr="00955473">
              <w:rPr>
                <w:rFonts w:ascii="Calibri" w:hAnsi="Calibri"/>
                <w:color w:val="000000"/>
                <w:sz w:val="20"/>
              </w:rPr>
              <w:t>alsze</w:t>
            </w:r>
            <w:r>
              <w:rPr>
                <w:rFonts w:ascii="Calibri" w:hAnsi="Calibri"/>
                <w:color w:val="000000"/>
                <w:sz w:val="20"/>
              </w:rPr>
              <w:t>mu porządkowaniu</w:t>
            </w:r>
            <w:r w:rsidRPr="00955473">
              <w:rPr>
                <w:rFonts w:ascii="Calibri" w:hAnsi="Calibri"/>
                <w:color w:val="000000"/>
                <w:sz w:val="20"/>
              </w:rPr>
              <w:t xml:space="preserve"> gospodarki wodno-ściekowe</w:t>
            </w:r>
            <w:r>
              <w:rPr>
                <w:rFonts w:ascii="Calibri" w:hAnsi="Calibri"/>
                <w:color w:val="000000"/>
                <w:sz w:val="20"/>
              </w:rPr>
              <w:t xml:space="preserve">j i jej rozwojowi. </w:t>
            </w:r>
            <w:r w:rsidR="00A422E3">
              <w:rPr>
                <w:rFonts w:ascii="Calibri" w:hAnsi="Calibri"/>
                <w:color w:val="000000"/>
                <w:sz w:val="20"/>
              </w:rPr>
              <w:t>Istotnym zagadnieniem jest także rozbudowa zasobu lokali socjalnych, zwłaszcza tych przeznaczonych na wynajem. Potrzeby w tym zakresie przekraczają bowiem obecne możliwości miasta.</w:t>
            </w:r>
          </w:p>
          <w:p w:rsidR="00A422E3" w:rsidRDefault="00A422E3" w:rsidP="007A56CD">
            <w:pPr>
              <w:spacing w:line="240" w:lineRule="auto"/>
              <w:rPr>
                <w:rFonts w:ascii="Calibri" w:hAnsi="Calibri"/>
                <w:color w:val="000000"/>
                <w:sz w:val="20"/>
              </w:rPr>
            </w:pPr>
          </w:p>
          <w:p w:rsidR="00A422E3" w:rsidRDefault="00A422E3" w:rsidP="007A56CD">
            <w:pPr>
              <w:spacing w:line="240" w:lineRule="auto"/>
              <w:rPr>
                <w:rFonts w:ascii="Calibri" w:hAnsi="Calibri"/>
                <w:color w:val="000000"/>
                <w:sz w:val="20"/>
              </w:rPr>
            </w:pPr>
            <w:r>
              <w:rPr>
                <w:rFonts w:ascii="Calibri" w:hAnsi="Calibri"/>
                <w:color w:val="000000"/>
                <w:sz w:val="20"/>
              </w:rPr>
              <w:t>Przewiduje się, iż rozwój budownictwa komunalnego, czy budowy hali targowej może być skutecznie realizowany</w:t>
            </w:r>
            <w:r w:rsidR="00DD147D">
              <w:rPr>
                <w:rFonts w:ascii="Calibri" w:hAnsi="Calibri"/>
                <w:color w:val="000000"/>
                <w:sz w:val="20"/>
              </w:rPr>
              <w:t xml:space="preserve"> także</w:t>
            </w:r>
            <w:r>
              <w:rPr>
                <w:rFonts w:ascii="Calibri" w:hAnsi="Calibri"/>
                <w:color w:val="000000"/>
                <w:sz w:val="20"/>
              </w:rPr>
              <w:t xml:space="preserve"> przy udziale kapitału prywatnego</w:t>
            </w:r>
            <w:r w:rsidR="00DD147D">
              <w:rPr>
                <w:rFonts w:ascii="Calibri" w:hAnsi="Calibri"/>
                <w:color w:val="000000"/>
                <w:sz w:val="20"/>
              </w:rPr>
              <w:t>,</w:t>
            </w:r>
            <w:r>
              <w:rPr>
                <w:rFonts w:ascii="Calibri" w:hAnsi="Calibri"/>
                <w:color w:val="000000"/>
                <w:sz w:val="20"/>
              </w:rPr>
              <w:t xml:space="preserve"> w ramach partnerstw publiczno-prywatnych. </w:t>
            </w:r>
          </w:p>
          <w:p w:rsidR="007A56CD" w:rsidRDefault="007A56CD" w:rsidP="007A56CD">
            <w:pPr>
              <w:spacing w:line="240" w:lineRule="auto"/>
              <w:rPr>
                <w:rFonts w:ascii="Calibri" w:hAnsi="Calibri"/>
                <w:color w:val="000000"/>
                <w:sz w:val="20"/>
              </w:rPr>
            </w:pPr>
          </w:p>
          <w:p w:rsidR="007A56CD" w:rsidRPr="00487144" w:rsidRDefault="007A56CD" w:rsidP="007A56CD">
            <w:pPr>
              <w:rPr>
                <w:rFonts w:ascii="Calibri" w:hAnsi="Calibri"/>
                <w:color w:val="000000"/>
                <w:sz w:val="20"/>
              </w:rPr>
            </w:pPr>
            <w:r w:rsidRPr="00487144">
              <w:rPr>
                <w:rFonts w:ascii="Calibri" w:hAnsi="Calibri"/>
                <w:color w:val="000000"/>
                <w:sz w:val="20"/>
              </w:rPr>
              <w:t>Zadaniami głównymi będą:</w:t>
            </w:r>
          </w:p>
          <w:p w:rsidR="007A56CD" w:rsidRPr="00487144" w:rsidRDefault="007A56CD" w:rsidP="0062416A">
            <w:pPr>
              <w:pStyle w:val="Akapitzlist"/>
              <w:numPr>
                <w:ilvl w:val="0"/>
                <w:numId w:val="101"/>
              </w:numPr>
              <w:rPr>
                <w:rFonts w:ascii="Calibri" w:hAnsi="Calibri"/>
                <w:color w:val="000000"/>
                <w:sz w:val="20"/>
              </w:rPr>
            </w:pPr>
            <w:r w:rsidRPr="00487144">
              <w:rPr>
                <w:rFonts w:ascii="Calibri" w:hAnsi="Calibri"/>
                <w:b/>
                <w:bCs/>
                <w:color w:val="000000"/>
                <w:sz w:val="20"/>
              </w:rPr>
              <w:t>Dalsze porządkowanie gospodarki wodno-kanalizacyjnej na terenie miasta, w tym stworzenie planu rozwoju sieci wodno-kanalizacyjnej dla miasta Legnicy;</w:t>
            </w:r>
          </w:p>
          <w:p w:rsidR="007A56CD" w:rsidRPr="00487144" w:rsidRDefault="007A56CD" w:rsidP="0062416A">
            <w:pPr>
              <w:pStyle w:val="Akapitzlist"/>
              <w:numPr>
                <w:ilvl w:val="0"/>
                <w:numId w:val="101"/>
              </w:numPr>
              <w:rPr>
                <w:rFonts w:ascii="Calibri" w:hAnsi="Calibri"/>
                <w:color w:val="000000"/>
                <w:sz w:val="20"/>
              </w:rPr>
            </w:pPr>
            <w:r w:rsidRPr="00487144">
              <w:rPr>
                <w:rFonts w:ascii="Calibri" w:hAnsi="Calibri"/>
                <w:b/>
                <w:bCs/>
                <w:color w:val="000000"/>
                <w:sz w:val="20"/>
              </w:rPr>
              <w:t xml:space="preserve">Rozwój budownictwa komunalnego – mieszkania na wynajem, w tym budownictwo socjalne; </w:t>
            </w:r>
          </w:p>
          <w:p w:rsidR="007A56CD" w:rsidRDefault="007A56CD" w:rsidP="007A56CD">
            <w:pPr>
              <w:pStyle w:val="Akapitzlist"/>
              <w:spacing w:line="240" w:lineRule="auto"/>
              <w:rPr>
                <w:rFonts w:ascii="Calibri" w:hAnsi="Calibri"/>
                <w:color w:val="000000"/>
                <w:sz w:val="20"/>
              </w:rPr>
            </w:pPr>
          </w:p>
          <w:p w:rsidR="007A56CD" w:rsidRPr="00487144" w:rsidRDefault="007A56CD" w:rsidP="007A56CD">
            <w:pPr>
              <w:spacing w:line="240" w:lineRule="auto"/>
              <w:rPr>
                <w:rFonts w:ascii="Calibri" w:hAnsi="Calibri"/>
                <w:color w:val="000000"/>
                <w:sz w:val="20"/>
              </w:rPr>
            </w:pPr>
            <w:r w:rsidRPr="00487144">
              <w:rPr>
                <w:rFonts w:ascii="Calibri" w:hAnsi="Calibri"/>
                <w:color w:val="000000"/>
                <w:sz w:val="20"/>
              </w:rPr>
              <w:t>Zadaniami uzupełniającymi będą:</w:t>
            </w:r>
          </w:p>
          <w:p w:rsidR="007A56CD" w:rsidRPr="00487144" w:rsidRDefault="007A56CD" w:rsidP="0062416A">
            <w:pPr>
              <w:numPr>
                <w:ilvl w:val="0"/>
                <w:numId w:val="102"/>
              </w:numPr>
              <w:spacing w:line="240" w:lineRule="auto"/>
              <w:rPr>
                <w:rFonts w:ascii="Calibri" w:hAnsi="Calibri"/>
                <w:color w:val="000000"/>
                <w:sz w:val="20"/>
              </w:rPr>
            </w:pPr>
            <w:r w:rsidRPr="00487144">
              <w:rPr>
                <w:rFonts w:ascii="Calibri" w:hAnsi="Calibri"/>
                <w:b/>
                <w:bCs/>
                <w:color w:val="000000"/>
                <w:sz w:val="20"/>
              </w:rPr>
              <w:t>Budowa hali targowej przy ul. Partyzantów;</w:t>
            </w:r>
          </w:p>
          <w:p w:rsidR="007A56CD" w:rsidRPr="00487144" w:rsidRDefault="007A56CD" w:rsidP="0062416A">
            <w:pPr>
              <w:numPr>
                <w:ilvl w:val="0"/>
                <w:numId w:val="102"/>
              </w:numPr>
              <w:spacing w:line="240" w:lineRule="auto"/>
              <w:rPr>
                <w:rFonts w:ascii="Calibri" w:hAnsi="Calibri"/>
                <w:color w:val="000000"/>
                <w:sz w:val="20"/>
              </w:rPr>
            </w:pPr>
            <w:r w:rsidRPr="00487144">
              <w:rPr>
                <w:rFonts w:ascii="Calibri" w:hAnsi="Calibri"/>
                <w:b/>
                <w:bCs/>
                <w:color w:val="000000"/>
                <w:sz w:val="20"/>
              </w:rPr>
              <w:t>Opracowanie planu energetycznego;</w:t>
            </w:r>
          </w:p>
          <w:p w:rsidR="007A56CD" w:rsidRPr="00487144" w:rsidRDefault="007A56CD" w:rsidP="0062416A">
            <w:pPr>
              <w:numPr>
                <w:ilvl w:val="0"/>
                <w:numId w:val="102"/>
              </w:numPr>
              <w:spacing w:line="240" w:lineRule="auto"/>
              <w:rPr>
                <w:rFonts w:ascii="Calibri" w:hAnsi="Calibri"/>
                <w:color w:val="000000"/>
                <w:sz w:val="20"/>
              </w:rPr>
            </w:pPr>
            <w:r w:rsidRPr="00487144">
              <w:rPr>
                <w:rFonts w:ascii="Calibri" w:hAnsi="Calibri"/>
                <w:b/>
                <w:bCs/>
                <w:color w:val="000000"/>
                <w:sz w:val="20"/>
              </w:rPr>
              <w:t xml:space="preserve">Promocja miasta jako atrakcyjnego miejsca do życia zapewniającego dostęp do wysokiej jakości usług komunalnych; </w:t>
            </w:r>
          </w:p>
          <w:p w:rsidR="007A56CD" w:rsidRDefault="007A56CD" w:rsidP="007A56CD">
            <w:pPr>
              <w:spacing w:line="240" w:lineRule="auto"/>
              <w:rPr>
                <w:rFonts w:ascii="Calibri" w:hAnsi="Calibri"/>
                <w:color w:val="000000"/>
                <w:sz w:val="20"/>
              </w:rPr>
            </w:pPr>
          </w:p>
          <w:p w:rsidR="007A56CD" w:rsidRPr="008850BC" w:rsidRDefault="007A56CD" w:rsidP="007A56CD">
            <w:pPr>
              <w:spacing w:line="240" w:lineRule="auto"/>
              <w:rPr>
                <w:rFonts w:ascii="Calibri" w:hAnsi="Calibri"/>
                <w:color w:val="000000"/>
                <w:sz w:val="20"/>
              </w:rPr>
            </w:pPr>
            <w:r>
              <w:rPr>
                <w:rFonts w:ascii="Calibri" w:hAnsi="Calibri"/>
                <w:color w:val="000000"/>
                <w:sz w:val="20"/>
              </w:rPr>
              <w:t>Działania podejmowane w ramach celu III.1 finansowane będą ze środków własnych budżetu miasta, środków spółek komunalnych, a także w ramach dofinansowania ze środków zewnętrznych (RPO WD, PO IŚ) i umów partnerstwa publiczno-prywatnego.</w:t>
            </w:r>
          </w:p>
        </w:tc>
      </w:tr>
      <w:tr w:rsidR="0006541D" w:rsidRP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A45758">
            <w:pPr>
              <w:jc w:val="center"/>
              <w:rPr>
                <w:rFonts w:asciiTheme="minorHAnsi" w:hAnsiTheme="minorHAnsi"/>
                <w:b/>
                <w:bCs/>
                <w:color w:val="FFFFFF" w:themeColor="background1"/>
                <w:sz w:val="2"/>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BF8F00" w:themeFill="accent4" w:themeFillShade="BF"/>
          </w:tcPr>
          <w:p w:rsidR="000D7217" w:rsidRPr="002E3FD4" w:rsidRDefault="000D7217" w:rsidP="00B73014">
            <w:pPr>
              <w:jc w:val="center"/>
              <w:rPr>
                <w:rFonts w:ascii="Calibri" w:hAnsi="Calibri"/>
                <w:b/>
                <w:color w:val="000000"/>
                <w:sz w:val="20"/>
                <w:highlight w:val="yellow"/>
              </w:rPr>
            </w:pPr>
            <w:r w:rsidRPr="00FE0E55">
              <w:rPr>
                <w:rFonts w:ascii="Calibri" w:hAnsi="Calibri"/>
                <w:b/>
                <w:color w:val="FFFFFF" w:themeColor="background1"/>
                <w:sz w:val="22"/>
              </w:rPr>
              <w:t>Wskaźniki rezultatu</w:t>
            </w:r>
            <w:r>
              <w:rPr>
                <w:rFonts w:ascii="Calibri" w:hAnsi="Calibri"/>
                <w:b/>
                <w:color w:val="FFFFFF" w:themeColor="background1"/>
                <w:sz w:val="22"/>
              </w:rPr>
              <w:t xml:space="preserve"> dla Celu operacyjnego</w:t>
            </w:r>
            <w:r w:rsidR="00650CDC">
              <w:rPr>
                <w:rFonts w:ascii="Calibri" w:hAnsi="Calibri"/>
                <w:b/>
                <w:color w:val="FFFFFF" w:themeColor="background1"/>
                <w:sz w:val="22"/>
              </w:rPr>
              <w:t xml:space="preserve"> III.5</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FFF2CC" w:themeFill="accent4" w:themeFillTint="33"/>
          </w:tcPr>
          <w:p w:rsidR="007A56CD" w:rsidRPr="00CE3799" w:rsidRDefault="002342C5" w:rsidP="002342C5">
            <w:pPr>
              <w:pStyle w:val="Akapitzlist"/>
              <w:numPr>
                <w:ilvl w:val="0"/>
                <w:numId w:val="78"/>
              </w:numPr>
              <w:rPr>
                <w:rFonts w:ascii="Calibri" w:hAnsi="Calibri"/>
                <w:b/>
                <w:color w:val="000000"/>
                <w:sz w:val="20"/>
              </w:rPr>
            </w:pPr>
            <w:r w:rsidRPr="002342C5">
              <w:rPr>
                <w:rFonts w:ascii="Calibri" w:hAnsi="Calibri"/>
                <w:b/>
                <w:color w:val="000000"/>
                <w:sz w:val="20"/>
              </w:rPr>
              <w:t>Liczba przebudowanych gminnych lokali  w celu uzyskania lokali socjalnych</w:t>
            </w:r>
            <w:r>
              <w:rPr>
                <w:rFonts w:ascii="Calibri" w:hAnsi="Calibri"/>
                <w:b/>
                <w:color w:val="000000"/>
                <w:sz w:val="20"/>
              </w:rPr>
              <w:t>;</w:t>
            </w:r>
          </w:p>
        </w:tc>
      </w:tr>
      <w:tr w:rsidR="000D7217" w:rsidRPr="0006541D" w:rsidTr="009855D9">
        <w:trPr>
          <w:trHeight w:val="227"/>
        </w:trPr>
        <w:tc>
          <w:tcPr>
            <w:tcW w:w="9062" w:type="dxa"/>
            <w:gridSpan w:val="2"/>
            <w:tcBorders>
              <w:left w:val="nil"/>
              <w:right w:val="nil"/>
            </w:tcBorders>
            <w:shd w:val="clear" w:color="auto" w:fill="FFFFFF" w:themeFill="background1"/>
          </w:tcPr>
          <w:p w:rsidR="000D7217" w:rsidRDefault="001B61A7" w:rsidP="00B73014">
            <w:r>
              <w:br w:type="page"/>
            </w:r>
          </w:p>
          <w:p w:rsidR="00960314" w:rsidRDefault="00960314" w:rsidP="00B73014"/>
          <w:p w:rsidR="00960314" w:rsidRDefault="00960314" w:rsidP="00B73014"/>
          <w:p w:rsidR="00960314" w:rsidRPr="0006541D" w:rsidRDefault="00960314" w:rsidP="00B73014">
            <w:pPr>
              <w:rPr>
                <w:rFonts w:ascii="Calibri" w:hAnsi="Calibri"/>
                <w:color w:val="000000"/>
                <w:sz w:val="2"/>
              </w:rPr>
            </w:pPr>
          </w:p>
        </w:tc>
      </w:tr>
      <w:tr w:rsidR="00D36034" w:rsidTr="002342C5">
        <w:tc>
          <w:tcPr>
            <w:tcW w:w="9062" w:type="dxa"/>
            <w:gridSpan w:val="2"/>
            <w:tcBorders>
              <w:bottom w:val="nil"/>
            </w:tcBorders>
            <w:shd w:val="clear" w:color="auto" w:fill="4472C4" w:themeFill="accent5"/>
            <w:vAlign w:val="center"/>
          </w:tcPr>
          <w:p w:rsidR="00D36034" w:rsidRPr="00A45758" w:rsidRDefault="00D36034" w:rsidP="00EA76D8">
            <w:pPr>
              <w:spacing w:before="240" w:after="240"/>
              <w:jc w:val="center"/>
              <w:rPr>
                <w:rFonts w:asciiTheme="minorHAnsi" w:hAnsiTheme="minorHAnsi"/>
                <w:color w:val="FFFFFF" w:themeColor="background1"/>
              </w:rPr>
            </w:pPr>
            <w:r w:rsidRPr="00EA76D8">
              <w:rPr>
                <w:rFonts w:asciiTheme="minorHAnsi" w:hAnsiTheme="minorHAnsi"/>
                <w:b/>
                <w:bCs/>
                <w:color w:val="FFFFFF" w:themeColor="background1"/>
                <w:sz w:val="32"/>
              </w:rPr>
              <w:t xml:space="preserve">Cel strategiczny IV - </w:t>
            </w:r>
            <w:r w:rsidRPr="00EA76D8">
              <w:rPr>
                <w:rFonts w:asciiTheme="minorHAnsi" w:hAnsiTheme="minorHAnsi"/>
                <w:b/>
                <w:bCs/>
                <w:i/>
                <w:iCs/>
                <w:color w:val="FFFFFF" w:themeColor="background1"/>
                <w:sz w:val="32"/>
              </w:rPr>
              <w:t>Kształtowanie atrakcyjnej</w:t>
            </w:r>
            <w:r w:rsidR="00EA76D8">
              <w:rPr>
                <w:rFonts w:asciiTheme="minorHAnsi" w:hAnsiTheme="minorHAnsi"/>
                <w:b/>
                <w:bCs/>
                <w:i/>
                <w:iCs/>
                <w:color w:val="FFFFFF" w:themeColor="background1"/>
                <w:sz w:val="32"/>
              </w:rPr>
              <w:t xml:space="preserve"> przestrzeni publicznej </w:t>
            </w:r>
            <w:r w:rsidRPr="00EA76D8">
              <w:rPr>
                <w:rFonts w:asciiTheme="minorHAnsi" w:hAnsiTheme="minorHAnsi"/>
                <w:b/>
                <w:bCs/>
                <w:i/>
                <w:iCs/>
                <w:color w:val="FFFFFF" w:themeColor="background1"/>
                <w:sz w:val="32"/>
              </w:rPr>
              <w:t>i zachowanie obiektów dziedzictwa kulturowego</w:t>
            </w:r>
          </w:p>
        </w:tc>
      </w:tr>
      <w:tr w:rsidR="0006541D" w:rsidRPr="0006541D" w:rsidTr="00F70AE4">
        <w:trPr>
          <w:trHeight w:val="402"/>
        </w:trPr>
        <w:tc>
          <w:tcPr>
            <w:tcW w:w="9062" w:type="dxa"/>
            <w:gridSpan w:val="2"/>
            <w:tcBorders>
              <w:top w:val="nil"/>
              <w:left w:val="nil"/>
              <w:bottom w:val="single" w:sz="4" w:space="0" w:color="auto"/>
              <w:right w:val="nil"/>
            </w:tcBorders>
            <w:shd w:val="clear" w:color="auto" w:fill="FFFFFF" w:themeFill="background1"/>
          </w:tcPr>
          <w:p w:rsidR="0006541D" w:rsidRPr="0006541D" w:rsidRDefault="0006541D" w:rsidP="00A45758">
            <w:pPr>
              <w:jc w:val="center"/>
              <w:rPr>
                <w:rFonts w:asciiTheme="minorHAnsi" w:hAnsiTheme="minorHAnsi"/>
                <w:b/>
                <w:bCs/>
                <w:color w:val="FFFFFF" w:themeColor="background1"/>
                <w:sz w:val="10"/>
              </w:rPr>
            </w:pPr>
          </w:p>
        </w:tc>
      </w:tr>
      <w:tr w:rsidR="008500E9" w:rsidTr="00F70AE4">
        <w:trPr>
          <w:trHeight w:val="2487"/>
        </w:trPr>
        <w:tc>
          <w:tcPr>
            <w:tcW w:w="2552" w:type="dxa"/>
            <w:tcBorders>
              <w:top w:val="single" w:sz="4" w:space="0" w:color="auto"/>
            </w:tcBorders>
            <w:shd w:val="clear" w:color="auto" w:fill="8EAADB" w:themeFill="accent5" w:themeFillTint="99"/>
          </w:tcPr>
          <w:p w:rsidR="008500E9" w:rsidRPr="00A45758" w:rsidRDefault="00F70AE4" w:rsidP="00841C5B">
            <w:pPr>
              <w:rPr>
                <w:rFonts w:asciiTheme="minorHAnsi" w:hAnsiTheme="minorHAnsi"/>
                <w:sz w:val="22"/>
              </w:rPr>
            </w:pPr>
            <w:r>
              <w:rPr>
                <w:rFonts w:asciiTheme="minorHAnsi" w:hAnsiTheme="minorHAnsi"/>
                <w:b/>
                <w:bCs/>
                <w:sz w:val="22"/>
              </w:rPr>
              <w:t>C</w:t>
            </w:r>
            <w:r w:rsidR="008500E9" w:rsidRPr="00A45758">
              <w:rPr>
                <w:rFonts w:asciiTheme="minorHAnsi" w:hAnsiTheme="minorHAnsi"/>
                <w:b/>
                <w:bCs/>
                <w:sz w:val="22"/>
              </w:rPr>
              <w:t>el operacyjny IV.1 - Rozwój przestrzeni publicznych sprzyjających aktywizacji lokalnych społeczności</w:t>
            </w:r>
          </w:p>
        </w:tc>
        <w:tc>
          <w:tcPr>
            <w:tcW w:w="6510" w:type="dxa"/>
            <w:tcBorders>
              <w:top w:val="single" w:sz="4" w:space="0" w:color="auto"/>
              <w:left w:val="single" w:sz="8" w:space="0" w:color="auto"/>
              <w:right w:val="single" w:sz="8" w:space="0" w:color="auto"/>
            </w:tcBorders>
            <w:shd w:val="clear" w:color="auto" w:fill="D9E2F3" w:themeFill="accent5" w:themeFillTint="33"/>
          </w:tcPr>
          <w:p w:rsidR="00D96239" w:rsidRDefault="003A3318" w:rsidP="00A4447C">
            <w:pPr>
              <w:spacing w:line="240" w:lineRule="auto"/>
              <w:rPr>
                <w:rFonts w:ascii="Calibri" w:hAnsi="Calibri"/>
                <w:color w:val="000000"/>
                <w:sz w:val="20"/>
              </w:rPr>
            </w:pPr>
            <w:r>
              <w:rPr>
                <w:rFonts w:ascii="Calibri" w:hAnsi="Calibri"/>
                <w:color w:val="000000"/>
                <w:sz w:val="20"/>
              </w:rPr>
              <w:t>Kształtując przestrzeń publiczną miasta konieczne jest zachowanie równowagi pomiędzy działaniami rewitalizacyjnymi i o</w:t>
            </w:r>
            <w:r w:rsidR="009E0A9B">
              <w:rPr>
                <w:rFonts w:ascii="Calibri" w:hAnsi="Calibri"/>
                <w:color w:val="000000"/>
                <w:sz w:val="20"/>
              </w:rPr>
              <w:t>dnową zabytkowego centrum</w:t>
            </w:r>
            <w:r w:rsidR="00996732">
              <w:rPr>
                <w:rFonts w:ascii="Calibri" w:hAnsi="Calibri"/>
                <w:color w:val="000000"/>
                <w:sz w:val="20"/>
              </w:rPr>
              <w:t>, a </w:t>
            </w:r>
            <w:r>
              <w:rPr>
                <w:rFonts w:ascii="Calibri" w:hAnsi="Calibri"/>
                <w:color w:val="000000"/>
                <w:sz w:val="20"/>
              </w:rPr>
              <w:t>tworzeniem przyjaznych i atrakcyjnych przestrzeni na osiedlach mieszkaniowych</w:t>
            </w:r>
            <w:r w:rsidR="008500E9">
              <w:rPr>
                <w:rFonts w:ascii="Calibri" w:hAnsi="Calibri"/>
                <w:color w:val="000000"/>
                <w:sz w:val="20"/>
              </w:rPr>
              <w:t>.</w:t>
            </w:r>
            <w:r>
              <w:rPr>
                <w:rFonts w:ascii="Calibri" w:hAnsi="Calibri"/>
                <w:color w:val="000000"/>
                <w:sz w:val="20"/>
              </w:rPr>
              <w:t xml:space="preserve"> Estetyczne otoczenie miejsca zamieszkania, a także zagospodarowane i wyposażone przestrzenie </w:t>
            </w:r>
            <w:r w:rsidR="008500E9">
              <w:rPr>
                <w:rFonts w:ascii="Calibri" w:hAnsi="Calibri"/>
                <w:color w:val="000000"/>
                <w:sz w:val="20"/>
              </w:rPr>
              <w:t xml:space="preserve"> </w:t>
            </w:r>
            <w:r>
              <w:rPr>
                <w:rFonts w:ascii="Calibri" w:hAnsi="Calibri"/>
                <w:color w:val="000000"/>
                <w:sz w:val="20"/>
              </w:rPr>
              <w:t xml:space="preserve">publiczne sprzyjają aktywności społecznej i obywatelskiej, integracji oraz zwiększeniu bezpieczeństwa mieszkańców. </w:t>
            </w:r>
            <w:r w:rsidR="006C1854">
              <w:rPr>
                <w:rFonts w:ascii="Calibri" w:hAnsi="Calibri"/>
                <w:color w:val="000000"/>
                <w:sz w:val="20"/>
              </w:rPr>
              <w:t>Kreując przestrzenie publiczne</w:t>
            </w:r>
            <w:r w:rsidR="00266925">
              <w:rPr>
                <w:rFonts w:ascii="Calibri" w:hAnsi="Calibri"/>
                <w:color w:val="000000"/>
                <w:sz w:val="20"/>
              </w:rPr>
              <w:t>,</w:t>
            </w:r>
            <w:r w:rsidR="006C1854">
              <w:rPr>
                <w:rFonts w:ascii="Calibri" w:hAnsi="Calibri"/>
                <w:color w:val="000000"/>
                <w:sz w:val="20"/>
              </w:rPr>
              <w:t xml:space="preserve"> </w:t>
            </w:r>
            <w:r w:rsidR="00266925">
              <w:rPr>
                <w:rFonts w:ascii="Calibri" w:hAnsi="Calibri"/>
                <w:color w:val="000000"/>
                <w:sz w:val="20"/>
              </w:rPr>
              <w:t>istotną wagę należy przywiązywać także do potrzeb osób niepełnosprawnych, aby środowisko miejskie było im jak najbardziej przyjazne.</w:t>
            </w:r>
          </w:p>
          <w:p w:rsidR="00D96239" w:rsidRDefault="00D96239" w:rsidP="00A4447C">
            <w:pPr>
              <w:spacing w:line="240" w:lineRule="auto"/>
              <w:rPr>
                <w:rFonts w:ascii="Calibri" w:hAnsi="Calibri"/>
                <w:color w:val="000000"/>
                <w:sz w:val="20"/>
              </w:rPr>
            </w:pPr>
          </w:p>
          <w:p w:rsidR="008500E9" w:rsidRDefault="00266925" w:rsidP="00920C79">
            <w:pPr>
              <w:spacing w:line="240" w:lineRule="auto"/>
              <w:rPr>
                <w:rFonts w:ascii="Calibri" w:hAnsi="Calibri"/>
                <w:color w:val="000000"/>
                <w:sz w:val="20"/>
              </w:rPr>
            </w:pPr>
            <w:r>
              <w:rPr>
                <w:rFonts w:ascii="Calibri" w:hAnsi="Calibri"/>
                <w:color w:val="000000"/>
                <w:sz w:val="20"/>
              </w:rPr>
              <w:t xml:space="preserve">W </w:t>
            </w:r>
            <w:r w:rsidR="003A3318">
              <w:rPr>
                <w:rFonts w:ascii="Calibri" w:hAnsi="Calibri"/>
                <w:color w:val="000000"/>
                <w:sz w:val="20"/>
              </w:rPr>
              <w:t xml:space="preserve">kolejnych latach należy </w:t>
            </w:r>
            <w:r w:rsidR="003A3318" w:rsidRPr="00AE5D7A">
              <w:rPr>
                <w:rFonts w:ascii="Calibri" w:hAnsi="Calibri"/>
                <w:b/>
                <w:color w:val="000000"/>
                <w:sz w:val="20"/>
              </w:rPr>
              <w:t xml:space="preserve">zagospodarowywać dostępne wnętrza blokowe </w:t>
            </w:r>
            <w:r w:rsidR="003A3318" w:rsidRPr="00AE5D7A">
              <w:rPr>
                <w:rFonts w:ascii="Calibri" w:hAnsi="Calibri"/>
                <w:b/>
                <w:color w:val="000000"/>
                <w:sz w:val="20"/>
              </w:rPr>
              <w:lastRenderedPageBreak/>
              <w:t>czy wolne tereny na osiedlach jednorodzinnych na cele rekreacyjno-sportowe</w:t>
            </w:r>
            <w:r w:rsidR="00920C79" w:rsidRPr="00AE5D7A">
              <w:rPr>
                <w:rFonts w:ascii="Calibri" w:hAnsi="Calibri"/>
                <w:b/>
                <w:color w:val="000000"/>
                <w:sz w:val="20"/>
              </w:rPr>
              <w:t xml:space="preserve"> </w:t>
            </w:r>
            <w:r w:rsidR="003A3318">
              <w:rPr>
                <w:rFonts w:ascii="Calibri" w:hAnsi="Calibri"/>
                <w:color w:val="000000"/>
                <w:sz w:val="20"/>
              </w:rPr>
              <w:t>sprzyjające aktywności ruchowej</w:t>
            </w:r>
            <w:r w:rsidR="00D96239">
              <w:rPr>
                <w:rFonts w:ascii="Calibri" w:hAnsi="Calibri"/>
                <w:color w:val="000000"/>
                <w:sz w:val="20"/>
              </w:rPr>
              <w:t xml:space="preserve"> i integracji</w:t>
            </w:r>
            <w:r w:rsidR="003A3318">
              <w:rPr>
                <w:rFonts w:ascii="Calibri" w:hAnsi="Calibri"/>
                <w:color w:val="000000"/>
                <w:sz w:val="20"/>
              </w:rPr>
              <w:t xml:space="preserve"> wszystkich mieszkańców</w:t>
            </w:r>
            <w:r w:rsidR="00920C79">
              <w:rPr>
                <w:rFonts w:ascii="Calibri" w:hAnsi="Calibri"/>
                <w:color w:val="000000"/>
                <w:sz w:val="20"/>
              </w:rPr>
              <w:t xml:space="preserve"> (skwery zieleni, boiska, place zabaw, flow-parki, siłownie napowietrzne, itp., itd.)</w:t>
            </w:r>
            <w:r w:rsidR="003A3318">
              <w:rPr>
                <w:rFonts w:ascii="Calibri" w:hAnsi="Calibri"/>
                <w:color w:val="000000"/>
                <w:sz w:val="20"/>
              </w:rPr>
              <w:t xml:space="preserve">. </w:t>
            </w:r>
            <w:r w:rsidR="00920C79">
              <w:rPr>
                <w:rFonts w:ascii="Calibri" w:hAnsi="Calibri"/>
                <w:color w:val="000000"/>
                <w:sz w:val="20"/>
              </w:rPr>
              <w:t>Z kolei p</w:t>
            </w:r>
            <w:r w:rsidR="00D96239">
              <w:rPr>
                <w:rFonts w:ascii="Calibri" w:hAnsi="Calibri"/>
                <w:color w:val="000000"/>
                <w:sz w:val="20"/>
              </w:rPr>
              <w:t>oprzez</w:t>
            </w:r>
            <w:r w:rsidR="003A3318">
              <w:rPr>
                <w:rFonts w:ascii="Calibri" w:hAnsi="Calibri"/>
                <w:color w:val="000000"/>
                <w:sz w:val="20"/>
              </w:rPr>
              <w:t xml:space="preserve"> </w:t>
            </w:r>
            <w:r w:rsidR="003A3318" w:rsidRPr="00AE5D7A">
              <w:rPr>
                <w:rFonts w:ascii="Calibri" w:hAnsi="Calibri"/>
                <w:b/>
                <w:color w:val="000000"/>
                <w:sz w:val="20"/>
              </w:rPr>
              <w:t xml:space="preserve">wykorzystanie istniejących, a </w:t>
            </w:r>
            <w:r w:rsidR="00A4447C" w:rsidRPr="00AE5D7A">
              <w:rPr>
                <w:rFonts w:ascii="Calibri" w:hAnsi="Calibri"/>
                <w:b/>
                <w:color w:val="000000"/>
                <w:sz w:val="20"/>
              </w:rPr>
              <w:t> </w:t>
            </w:r>
            <w:r w:rsidR="003A3318" w:rsidRPr="00AE5D7A">
              <w:rPr>
                <w:rFonts w:ascii="Calibri" w:hAnsi="Calibri"/>
                <w:b/>
                <w:color w:val="000000"/>
                <w:sz w:val="20"/>
              </w:rPr>
              <w:t>także</w:t>
            </w:r>
            <w:r w:rsidR="00D96239" w:rsidRPr="00AE5D7A">
              <w:rPr>
                <w:rFonts w:ascii="Calibri" w:hAnsi="Calibri"/>
                <w:b/>
                <w:color w:val="000000"/>
                <w:sz w:val="20"/>
              </w:rPr>
              <w:t xml:space="preserve"> inicjowanie</w:t>
            </w:r>
            <w:r w:rsidR="008500E9" w:rsidRPr="00AE5D7A">
              <w:rPr>
                <w:rFonts w:ascii="Calibri" w:hAnsi="Calibri"/>
                <w:b/>
                <w:color w:val="000000"/>
                <w:sz w:val="20"/>
              </w:rPr>
              <w:t xml:space="preserve"> powstawania nowych</w:t>
            </w:r>
            <w:r w:rsidR="003A3318" w:rsidRPr="00AE5D7A">
              <w:rPr>
                <w:rFonts w:ascii="Calibri" w:hAnsi="Calibri"/>
                <w:b/>
                <w:color w:val="000000"/>
                <w:sz w:val="20"/>
              </w:rPr>
              <w:t xml:space="preserve"> </w:t>
            </w:r>
            <w:r w:rsidR="00D96239" w:rsidRPr="00AE5D7A">
              <w:rPr>
                <w:rFonts w:ascii="Calibri" w:hAnsi="Calibri"/>
                <w:b/>
                <w:color w:val="000000"/>
                <w:sz w:val="20"/>
              </w:rPr>
              <w:t>osiedlowych obiektów kultury</w:t>
            </w:r>
            <w:r w:rsidR="003A3318">
              <w:rPr>
                <w:rFonts w:ascii="Calibri" w:hAnsi="Calibri"/>
                <w:color w:val="000000"/>
                <w:sz w:val="20"/>
              </w:rPr>
              <w:t xml:space="preserve"> </w:t>
            </w:r>
            <w:r w:rsidR="00D96239">
              <w:rPr>
                <w:rFonts w:ascii="Calibri" w:hAnsi="Calibri"/>
                <w:color w:val="000000"/>
                <w:sz w:val="20"/>
              </w:rPr>
              <w:t>stymulować akt</w:t>
            </w:r>
            <w:r w:rsidR="006B57FE">
              <w:rPr>
                <w:rFonts w:ascii="Calibri" w:hAnsi="Calibri"/>
                <w:color w:val="000000"/>
                <w:sz w:val="20"/>
              </w:rPr>
              <w:t>ywność lokalnych społeczności w </w:t>
            </w:r>
            <w:r w:rsidR="00D96239">
              <w:rPr>
                <w:rFonts w:ascii="Calibri" w:hAnsi="Calibri"/>
                <w:color w:val="000000"/>
                <w:sz w:val="20"/>
              </w:rPr>
              <w:t>zakresie: kultury, sportu, działalności społecznej i</w:t>
            </w:r>
            <w:r w:rsidR="00A4447C">
              <w:rPr>
                <w:rFonts w:ascii="Calibri" w:hAnsi="Calibri"/>
                <w:color w:val="000000"/>
                <w:sz w:val="20"/>
              </w:rPr>
              <w:t> </w:t>
            </w:r>
            <w:r w:rsidR="00D96239">
              <w:rPr>
                <w:rFonts w:ascii="Calibri" w:hAnsi="Calibri"/>
                <w:color w:val="000000"/>
                <w:sz w:val="20"/>
              </w:rPr>
              <w:t>obywatelskiej.</w:t>
            </w:r>
          </w:p>
          <w:p w:rsidR="0084307C" w:rsidRDefault="0084307C" w:rsidP="00920C79">
            <w:pPr>
              <w:spacing w:line="240" w:lineRule="auto"/>
              <w:rPr>
                <w:rFonts w:ascii="Calibri" w:hAnsi="Calibri"/>
                <w:color w:val="000000"/>
                <w:sz w:val="20"/>
              </w:rPr>
            </w:pPr>
          </w:p>
          <w:p w:rsidR="00487144" w:rsidRPr="00487144" w:rsidRDefault="00487144" w:rsidP="00487144">
            <w:pPr>
              <w:spacing w:line="240" w:lineRule="auto"/>
              <w:rPr>
                <w:rFonts w:ascii="Calibri" w:hAnsi="Calibri"/>
                <w:color w:val="000000"/>
                <w:sz w:val="20"/>
              </w:rPr>
            </w:pPr>
            <w:r w:rsidRPr="00487144">
              <w:rPr>
                <w:rFonts w:ascii="Calibri" w:hAnsi="Calibri"/>
                <w:color w:val="000000"/>
                <w:sz w:val="20"/>
              </w:rPr>
              <w:t>Zadaniami głównymi będą:</w:t>
            </w:r>
          </w:p>
          <w:p w:rsidR="009F2099" w:rsidRPr="00487144" w:rsidRDefault="00B738E4" w:rsidP="0062416A">
            <w:pPr>
              <w:numPr>
                <w:ilvl w:val="0"/>
                <w:numId w:val="103"/>
              </w:numPr>
              <w:spacing w:line="240" w:lineRule="auto"/>
              <w:rPr>
                <w:rFonts w:ascii="Calibri" w:hAnsi="Calibri"/>
                <w:color w:val="000000"/>
                <w:sz w:val="20"/>
              </w:rPr>
            </w:pPr>
            <w:r w:rsidRPr="00487144">
              <w:rPr>
                <w:rFonts w:ascii="Calibri" w:hAnsi="Calibri"/>
                <w:b/>
                <w:bCs/>
                <w:color w:val="000000"/>
                <w:sz w:val="20"/>
              </w:rPr>
              <w:t>Zagospodarowanie wnętrz blokowych;</w:t>
            </w:r>
          </w:p>
          <w:p w:rsidR="009F2099" w:rsidRPr="00487144" w:rsidRDefault="00B738E4" w:rsidP="0062416A">
            <w:pPr>
              <w:numPr>
                <w:ilvl w:val="0"/>
                <w:numId w:val="103"/>
              </w:numPr>
              <w:spacing w:line="240" w:lineRule="auto"/>
              <w:rPr>
                <w:rFonts w:ascii="Calibri" w:hAnsi="Calibri"/>
                <w:color w:val="000000"/>
                <w:sz w:val="20"/>
              </w:rPr>
            </w:pPr>
            <w:r w:rsidRPr="00487144">
              <w:rPr>
                <w:rFonts w:ascii="Calibri" w:hAnsi="Calibri"/>
                <w:b/>
                <w:bCs/>
                <w:color w:val="000000"/>
                <w:sz w:val="20"/>
              </w:rPr>
              <w:t>Wykorzystanie istniejących, a także wspieranie tworzenia nowych miejsc służących integracji mieszkańców;</w:t>
            </w:r>
          </w:p>
          <w:p w:rsidR="009F2099" w:rsidRPr="00487144" w:rsidRDefault="00B738E4" w:rsidP="0062416A">
            <w:pPr>
              <w:numPr>
                <w:ilvl w:val="0"/>
                <w:numId w:val="103"/>
              </w:numPr>
              <w:spacing w:line="240" w:lineRule="auto"/>
              <w:rPr>
                <w:rFonts w:ascii="Calibri" w:hAnsi="Calibri"/>
                <w:color w:val="000000"/>
                <w:sz w:val="20"/>
              </w:rPr>
            </w:pPr>
            <w:r w:rsidRPr="00487144">
              <w:rPr>
                <w:rFonts w:ascii="Calibri" w:hAnsi="Calibri"/>
                <w:b/>
                <w:bCs/>
                <w:color w:val="000000"/>
                <w:sz w:val="20"/>
              </w:rPr>
              <w:t>Inwestycje realizowane w ramach kolejnych edycji Legnickiego Budżetu Obywatelskiego;</w:t>
            </w:r>
          </w:p>
          <w:p w:rsidR="009F2099" w:rsidRPr="00487144" w:rsidRDefault="00B738E4" w:rsidP="0062416A">
            <w:pPr>
              <w:numPr>
                <w:ilvl w:val="0"/>
                <w:numId w:val="103"/>
              </w:numPr>
              <w:spacing w:line="240" w:lineRule="auto"/>
              <w:rPr>
                <w:rFonts w:ascii="Calibri" w:hAnsi="Calibri"/>
                <w:color w:val="000000"/>
                <w:sz w:val="20"/>
              </w:rPr>
            </w:pPr>
            <w:r w:rsidRPr="00487144">
              <w:rPr>
                <w:rFonts w:ascii="Calibri" w:hAnsi="Calibri"/>
                <w:b/>
                <w:bCs/>
                <w:color w:val="000000"/>
                <w:sz w:val="20"/>
              </w:rPr>
              <w:t>Promocja miasta zintegrowanej społeczności;</w:t>
            </w:r>
          </w:p>
          <w:p w:rsidR="008850BC" w:rsidRDefault="008850BC" w:rsidP="008850BC">
            <w:pPr>
              <w:spacing w:line="240" w:lineRule="auto"/>
              <w:rPr>
                <w:rFonts w:ascii="Calibri" w:hAnsi="Calibri"/>
                <w:color w:val="000000"/>
                <w:sz w:val="20"/>
              </w:rPr>
            </w:pPr>
          </w:p>
          <w:p w:rsidR="008850BC" w:rsidRPr="008850BC" w:rsidRDefault="008850BC" w:rsidP="008850BC">
            <w:pPr>
              <w:spacing w:line="240" w:lineRule="auto"/>
              <w:rPr>
                <w:rFonts w:ascii="Calibri" w:hAnsi="Calibri"/>
                <w:color w:val="000000"/>
                <w:sz w:val="20"/>
              </w:rPr>
            </w:pPr>
            <w:r>
              <w:rPr>
                <w:rFonts w:ascii="Calibri" w:hAnsi="Calibri"/>
                <w:color w:val="000000"/>
                <w:sz w:val="20"/>
              </w:rPr>
              <w:t>Źródła finansowania projektów w ramach celu IV.1 stanowić będą: środki własne budżetu miasta oraz środki uzyskane w ramach RPO Województwa Dolnośląskiego.</w:t>
            </w:r>
            <w:r w:rsidR="0007038B" w:rsidRPr="00B40E3D">
              <w:rPr>
                <w:rFonts w:ascii="Calibri" w:hAnsi="Calibri" w:cs="Calibri"/>
                <w:color w:val="000000" w:themeColor="text1"/>
                <w:sz w:val="20"/>
              </w:rPr>
              <w:t xml:space="preserve"> Osie priorytetowe w poszczególnych Programach zostaną określone po zatwierdzeniu ich „Uszczegółowień”.</w:t>
            </w:r>
          </w:p>
        </w:tc>
      </w:tr>
      <w:tr w:rsid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8"/>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2F5496" w:themeFill="accent5" w:themeFillShade="BF"/>
          </w:tcPr>
          <w:p w:rsidR="000D7217" w:rsidRPr="00C45F41" w:rsidRDefault="000D7217" w:rsidP="00B73014">
            <w:pPr>
              <w:jc w:val="center"/>
              <w:rPr>
                <w:rFonts w:ascii="Calibri" w:hAnsi="Calibri"/>
                <w:b/>
                <w:color w:val="000000"/>
                <w:sz w:val="20"/>
              </w:rPr>
            </w:pPr>
            <w:r w:rsidRPr="00C45F41">
              <w:rPr>
                <w:rFonts w:ascii="Calibri" w:hAnsi="Calibri"/>
                <w:b/>
                <w:color w:val="FFFFFF" w:themeColor="background1"/>
                <w:sz w:val="22"/>
              </w:rPr>
              <w:t>Wskaźniki rezultatu dla Celu operacyjnego IV.1</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D9E2F3" w:themeFill="accent5" w:themeFillTint="33"/>
          </w:tcPr>
          <w:p w:rsidR="00C45F41" w:rsidRPr="00C45F41" w:rsidRDefault="00960314" w:rsidP="0062416A">
            <w:pPr>
              <w:pStyle w:val="Akapitzlist"/>
              <w:numPr>
                <w:ilvl w:val="0"/>
                <w:numId w:val="79"/>
              </w:numPr>
              <w:rPr>
                <w:rFonts w:ascii="Calibri" w:hAnsi="Calibri"/>
                <w:b/>
                <w:color w:val="000000"/>
                <w:sz w:val="20"/>
              </w:rPr>
            </w:pPr>
            <w:r w:rsidRPr="00960314">
              <w:rPr>
                <w:rFonts w:ascii="Calibri" w:hAnsi="Calibri"/>
                <w:b/>
                <w:color w:val="000000"/>
                <w:sz w:val="20"/>
              </w:rPr>
              <w:t>Liczba zadań zrealizowanych w w</w:t>
            </w:r>
            <w:r>
              <w:rPr>
                <w:rFonts w:ascii="Calibri" w:hAnsi="Calibri"/>
                <w:b/>
                <w:color w:val="000000"/>
                <w:sz w:val="20"/>
              </w:rPr>
              <w:t>yniku partycypacji społecznej</w:t>
            </w:r>
            <w:r w:rsidR="00C45F41" w:rsidRPr="00C45F41">
              <w:rPr>
                <w:rFonts w:ascii="Calibri" w:hAnsi="Calibri"/>
                <w:b/>
                <w:color w:val="000000"/>
                <w:sz w:val="20"/>
              </w:rPr>
              <w:t>;</w:t>
            </w:r>
          </w:p>
        </w:tc>
      </w:tr>
      <w:tr w:rsidR="000D7217" w:rsidRPr="0006541D" w:rsidTr="009855D9">
        <w:trPr>
          <w:trHeight w:val="113"/>
        </w:trPr>
        <w:tc>
          <w:tcPr>
            <w:tcW w:w="9062" w:type="dxa"/>
            <w:gridSpan w:val="2"/>
            <w:tcBorders>
              <w:left w:val="nil"/>
              <w:right w:val="nil"/>
            </w:tcBorders>
            <w:shd w:val="clear" w:color="auto" w:fill="FFFFFF" w:themeFill="background1"/>
          </w:tcPr>
          <w:p w:rsidR="000D7217" w:rsidRPr="0006541D" w:rsidRDefault="000D7217" w:rsidP="00B73014">
            <w:pPr>
              <w:rPr>
                <w:rFonts w:ascii="Calibri" w:hAnsi="Calibri"/>
                <w:color w:val="000000"/>
                <w:sz w:val="2"/>
              </w:rPr>
            </w:pPr>
          </w:p>
        </w:tc>
      </w:tr>
      <w:tr w:rsidR="00D36034" w:rsidTr="009855D9">
        <w:trPr>
          <w:trHeight w:val="225"/>
        </w:trPr>
        <w:tc>
          <w:tcPr>
            <w:tcW w:w="2552" w:type="dxa"/>
            <w:shd w:val="clear" w:color="auto" w:fill="8EAADB" w:themeFill="accent5" w:themeFillTint="99"/>
          </w:tcPr>
          <w:p w:rsidR="00D36034" w:rsidRPr="00A45758" w:rsidRDefault="00D36034" w:rsidP="00B66394">
            <w:pPr>
              <w:rPr>
                <w:rFonts w:asciiTheme="minorHAnsi" w:hAnsiTheme="minorHAnsi"/>
                <w:sz w:val="22"/>
              </w:rPr>
            </w:pPr>
            <w:r w:rsidRPr="00A45758">
              <w:rPr>
                <w:rFonts w:asciiTheme="minorHAnsi" w:hAnsiTheme="minorHAnsi"/>
                <w:b/>
                <w:bCs/>
                <w:sz w:val="22"/>
              </w:rPr>
              <w:t xml:space="preserve">Cel operacyjny IV.2 - Rewitalizacja </w:t>
            </w:r>
            <w:r w:rsidR="00B66394">
              <w:rPr>
                <w:rFonts w:asciiTheme="minorHAnsi" w:hAnsiTheme="minorHAnsi"/>
                <w:b/>
                <w:bCs/>
                <w:sz w:val="22"/>
              </w:rPr>
              <w:t>obszarów zdegradowanych</w:t>
            </w:r>
          </w:p>
        </w:tc>
        <w:tc>
          <w:tcPr>
            <w:tcW w:w="6510" w:type="dxa"/>
            <w:tcBorders>
              <w:top w:val="single" w:sz="8" w:space="0" w:color="auto"/>
              <w:left w:val="single" w:sz="8" w:space="0" w:color="auto"/>
              <w:bottom w:val="single" w:sz="4" w:space="0" w:color="auto"/>
              <w:right w:val="single" w:sz="8" w:space="0" w:color="auto"/>
            </w:tcBorders>
            <w:shd w:val="clear" w:color="auto" w:fill="D9E2F3" w:themeFill="accent5" w:themeFillTint="33"/>
          </w:tcPr>
          <w:p w:rsidR="00D36034" w:rsidRDefault="00F93898" w:rsidP="00C341E5">
            <w:pPr>
              <w:spacing w:line="240" w:lineRule="auto"/>
              <w:rPr>
                <w:rFonts w:ascii="Calibri" w:hAnsi="Calibri"/>
                <w:color w:val="000000"/>
                <w:sz w:val="20"/>
              </w:rPr>
            </w:pPr>
            <w:r>
              <w:rPr>
                <w:rFonts w:ascii="Calibri" w:hAnsi="Calibri"/>
                <w:color w:val="000000"/>
                <w:sz w:val="20"/>
              </w:rPr>
              <w:t xml:space="preserve">Cel ten koncentruje się na dalszej </w:t>
            </w:r>
            <w:r w:rsidRPr="00AE5D7A">
              <w:rPr>
                <w:rFonts w:ascii="Calibri" w:hAnsi="Calibri"/>
                <w:b/>
                <w:color w:val="000000"/>
                <w:sz w:val="20"/>
              </w:rPr>
              <w:t>odnowie zdegradowanych</w:t>
            </w:r>
            <w:r w:rsidR="006B57FE" w:rsidRPr="00AE5D7A">
              <w:rPr>
                <w:rFonts w:ascii="Calibri" w:hAnsi="Calibri"/>
                <w:b/>
                <w:color w:val="000000"/>
                <w:sz w:val="20"/>
              </w:rPr>
              <w:t xml:space="preserve"> i </w:t>
            </w:r>
            <w:r w:rsidR="00D96239" w:rsidRPr="00AE5D7A">
              <w:rPr>
                <w:rFonts w:ascii="Calibri" w:hAnsi="Calibri"/>
                <w:b/>
                <w:color w:val="000000"/>
                <w:sz w:val="20"/>
              </w:rPr>
              <w:t>zdekapitalizowanych</w:t>
            </w:r>
            <w:r w:rsidRPr="00AE5D7A">
              <w:rPr>
                <w:rFonts w:ascii="Calibri" w:hAnsi="Calibri"/>
                <w:b/>
                <w:color w:val="000000"/>
                <w:sz w:val="20"/>
              </w:rPr>
              <w:t xml:space="preserve"> obszarów miejskich i ich</w:t>
            </w:r>
            <w:r w:rsidR="00D96239" w:rsidRPr="00AE5D7A">
              <w:rPr>
                <w:rFonts w:ascii="Calibri" w:hAnsi="Calibri"/>
                <w:b/>
                <w:color w:val="000000"/>
                <w:sz w:val="20"/>
              </w:rPr>
              <w:t xml:space="preserve"> szeroko po</w:t>
            </w:r>
            <w:r w:rsidR="00C341E5" w:rsidRPr="00AE5D7A">
              <w:rPr>
                <w:rFonts w:ascii="Calibri" w:hAnsi="Calibri"/>
                <w:b/>
                <w:color w:val="000000"/>
                <w:sz w:val="20"/>
              </w:rPr>
              <w:t>jętej rewitalizacji</w:t>
            </w:r>
            <w:r w:rsidR="00C341E5">
              <w:rPr>
                <w:rFonts w:ascii="Calibri" w:hAnsi="Calibri"/>
                <w:color w:val="000000"/>
                <w:sz w:val="20"/>
              </w:rPr>
              <w:t>. Prowadzone działania rewitalizacyjne</w:t>
            </w:r>
            <w:r w:rsidR="00D96239">
              <w:rPr>
                <w:rFonts w:ascii="Calibri" w:hAnsi="Calibri"/>
                <w:color w:val="000000"/>
                <w:sz w:val="20"/>
              </w:rPr>
              <w:t xml:space="preserve"> mają przywrócić pierwotny stan </w:t>
            </w:r>
            <w:r w:rsidR="00C341E5">
              <w:rPr>
                <w:rFonts w:ascii="Calibri" w:hAnsi="Calibri"/>
                <w:color w:val="000000"/>
                <w:sz w:val="20"/>
              </w:rPr>
              <w:t xml:space="preserve">jakościowy </w:t>
            </w:r>
            <w:r w:rsidR="00D96239">
              <w:rPr>
                <w:rFonts w:ascii="Calibri" w:hAnsi="Calibri"/>
                <w:color w:val="000000"/>
                <w:sz w:val="20"/>
              </w:rPr>
              <w:t>i funkcję tych obszarów</w:t>
            </w:r>
            <w:r w:rsidR="00C341E5">
              <w:rPr>
                <w:rFonts w:ascii="Calibri" w:hAnsi="Calibri"/>
                <w:color w:val="000000"/>
                <w:sz w:val="20"/>
              </w:rPr>
              <w:t xml:space="preserve"> w przestrzeni miejskiej</w:t>
            </w:r>
            <w:r w:rsidR="00D96239">
              <w:rPr>
                <w:rFonts w:ascii="Calibri" w:hAnsi="Calibri"/>
                <w:color w:val="000000"/>
                <w:sz w:val="20"/>
              </w:rPr>
              <w:t xml:space="preserve"> </w:t>
            </w:r>
            <w:r w:rsidR="00C341E5">
              <w:rPr>
                <w:rFonts w:ascii="Calibri" w:hAnsi="Calibri"/>
                <w:color w:val="000000"/>
                <w:sz w:val="20"/>
              </w:rPr>
              <w:t xml:space="preserve">lub nadać im zupełnie nowy charakter tak, aby mogły one prawidłowo pełnić funkcje społeczne i gospodarcze, będąc ważnym elementem tkanki miasta. </w:t>
            </w:r>
            <w:r w:rsidR="00160801">
              <w:rPr>
                <w:rFonts w:ascii="Calibri" w:hAnsi="Calibri"/>
                <w:color w:val="000000"/>
                <w:sz w:val="20"/>
              </w:rPr>
              <w:t>Działania w ramach tego celu powinny być zgodne z założeniami ujętymi w Krajowej Polityce Miejskiej oraz Narodowym Planie Rewitalizacji.</w:t>
            </w:r>
          </w:p>
          <w:p w:rsidR="00AF3919" w:rsidRDefault="00AF3919" w:rsidP="00C341E5">
            <w:pPr>
              <w:spacing w:line="240" w:lineRule="auto"/>
              <w:rPr>
                <w:rFonts w:ascii="Calibri" w:hAnsi="Calibri"/>
                <w:color w:val="000000"/>
                <w:sz w:val="20"/>
              </w:rPr>
            </w:pPr>
          </w:p>
          <w:p w:rsidR="00487144" w:rsidRPr="00487144" w:rsidRDefault="00487144" w:rsidP="00487144">
            <w:pPr>
              <w:rPr>
                <w:rFonts w:ascii="Calibri" w:hAnsi="Calibri"/>
                <w:color w:val="000000"/>
                <w:sz w:val="20"/>
              </w:rPr>
            </w:pPr>
            <w:r w:rsidRPr="00487144">
              <w:rPr>
                <w:rFonts w:ascii="Calibri" w:hAnsi="Calibri"/>
                <w:bCs/>
                <w:color w:val="000000"/>
                <w:sz w:val="20"/>
              </w:rPr>
              <w:t>Zadaniami głównymi będą:</w:t>
            </w:r>
          </w:p>
          <w:p w:rsidR="009F2099" w:rsidRPr="00487144" w:rsidRDefault="00B738E4" w:rsidP="0062416A">
            <w:pPr>
              <w:numPr>
                <w:ilvl w:val="0"/>
                <w:numId w:val="104"/>
              </w:numPr>
              <w:rPr>
                <w:rFonts w:ascii="Calibri" w:hAnsi="Calibri"/>
                <w:b/>
                <w:color w:val="000000"/>
                <w:sz w:val="20"/>
              </w:rPr>
            </w:pPr>
            <w:r w:rsidRPr="00487144">
              <w:rPr>
                <w:rFonts w:ascii="Calibri" w:hAnsi="Calibri"/>
                <w:b/>
                <w:bCs/>
                <w:color w:val="000000"/>
                <w:sz w:val="20"/>
              </w:rPr>
              <w:t>Kontynuacja odnowy zdegradowanych obszarów miejskich w rejonie ul. H. Pobożnego - renowacja części wspólnych wielorodzinnych budynków mieszkalnych;</w:t>
            </w:r>
          </w:p>
          <w:p w:rsidR="009F2099" w:rsidRPr="00487144" w:rsidRDefault="00B738E4" w:rsidP="0062416A">
            <w:pPr>
              <w:numPr>
                <w:ilvl w:val="0"/>
                <w:numId w:val="104"/>
              </w:numPr>
              <w:rPr>
                <w:rFonts w:ascii="Calibri" w:hAnsi="Calibri"/>
                <w:b/>
                <w:color w:val="000000"/>
                <w:sz w:val="20"/>
              </w:rPr>
            </w:pPr>
            <w:r w:rsidRPr="00487144">
              <w:rPr>
                <w:rFonts w:ascii="Calibri" w:hAnsi="Calibri"/>
                <w:b/>
                <w:bCs/>
                <w:color w:val="000000"/>
                <w:sz w:val="20"/>
              </w:rPr>
              <w:t>Opracowanie nowego Lokalnego Programu Rewitalizacji dla wytypowanych obszarów wsparcia (m.in. Zakaczawie, Fabryczna, Czarny Dwór);</w:t>
            </w:r>
          </w:p>
          <w:p w:rsidR="009F2099" w:rsidRPr="00487144" w:rsidRDefault="00B738E4" w:rsidP="0062416A">
            <w:pPr>
              <w:numPr>
                <w:ilvl w:val="0"/>
                <w:numId w:val="104"/>
              </w:numPr>
              <w:rPr>
                <w:rFonts w:ascii="Calibri" w:hAnsi="Calibri"/>
                <w:b/>
                <w:color w:val="000000"/>
                <w:sz w:val="20"/>
              </w:rPr>
            </w:pPr>
            <w:r w:rsidRPr="00487144">
              <w:rPr>
                <w:rFonts w:ascii="Calibri" w:hAnsi="Calibri"/>
                <w:b/>
                <w:bCs/>
                <w:color w:val="000000"/>
                <w:sz w:val="20"/>
              </w:rPr>
              <w:t>Odnowa innych obszarów zdegradowanych;</w:t>
            </w:r>
          </w:p>
          <w:p w:rsidR="009F2099" w:rsidRPr="00487144" w:rsidRDefault="00B738E4" w:rsidP="0062416A">
            <w:pPr>
              <w:numPr>
                <w:ilvl w:val="0"/>
                <w:numId w:val="104"/>
              </w:numPr>
              <w:rPr>
                <w:rFonts w:ascii="Calibri" w:hAnsi="Calibri"/>
                <w:b/>
                <w:color w:val="000000"/>
                <w:sz w:val="20"/>
              </w:rPr>
            </w:pPr>
            <w:r w:rsidRPr="00487144">
              <w:rPr>
                <w:rFonts w:ascii="Calibri" w:hAnsi="Calibri"/>
                <w:b/>
                <w:bCs/>
                <w:color w:val="000000"/>
                <w:sz w:val="20"/>
              </w:rPr>
              <w:t>Promocja miasta w którym pięknieją historyczne obszary;</w:t>
            </w:r>
          </w:p>
          <w:p w:rsidR="005C7B7D" w:rsidRPr="005C7B7D" w:rsidRDefault="005C7B7D" w:rsidP="005C7B7D">
            <w:pPr>
              <w:rPr>
                <w:rFonts w:ascii="Calibri" w:hAnsi="Calibri"/>
                <w:b/>
                <w:color w:val="000000"/>
                <w:sz w:val="20"/>
              </w:rPr>
            </w:pPr>
          </w:p>
          <w:p w:rsidR="00F967A4" w:rsidRPr="008850BC" w:rsidRDefault="008850BC" w:rsidP="008850BC">
            <w:pPr>
              <w:spacing w:line="240" w:lineRule="auto"/>
              <w:rPr>
                <w:rFonts w:ascii="Calibri" w:hAnsi="Calibri"/>
                <w:color w:val="000000"/>
                <w:sz w:val="20"/>
              </w:rPr>
            </w:pPr>
            <w:r>
              <w:rPr>
                <w:rFonts w:ascii="Calibri" w:hAnsi="Calibri"/>
                <w:color w:val="000000"/>
                <w:sz w:val="20"/>
              </w:rPr>
              <w:t xml:space="preserve">Finansowanie działań rewitalizacyjnych będzie odbywało się ze środków własnych budżetu miasta oraz środków zewnętrznych z </w:t>
            </w:r>
            <w:r w:rsidR="006D7D45">
              <w:rPr>
                <w:rFonts w:ascii="Calibri" w:hAnsi="Calibri"/>
                <w:color w:val="000000"/>
                <w:sz w:val="20"/>
              </w:rPr>
              <w:t>RPO Województwa Dolnośląskiego.</w:t>
            </w:r>
            <w:r w:rsidR="0007038B">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p>
        </w:tc>
      </w:tr>
      <w:tr w:rsidR="0006541D" w:rsidRPr="0006541D" w:rsidTr="009855D9">
        <w:trPr>
          <w:trHeight w:val="113"/>
        </w:trPr>
        <w:tc>
          <w:tcPr>
            <w:tcW w:w="9062" w:type="dxa"/>
            <w:gridSpan w:val="2"/>
            <w:tcBorders>
              <w:left w:val="nil"/>
              <w:right w:val="nil"/>
            </w:tcBorders>
            <w:shd w:val="clear" w:color="auto" w:fill="FFFFFF" w:themeFill="background1"/>
          </w:tcPr>
          <w:p w:rsidR="0006541D" w:rsidRPr="0006541D" w:rsidRDefault="0006541D" w:rsidP="00841C5B">
            <w:pPr>
              <w:rPr>
                <w:rFonts w:ascii="Calibri" w:hAnsi="Calibri"/>
                <w:color w:val="000000"/>
                <w:sz w:val="6"/>
              </w:rPr>
            </w:pPr>
          </w:p>
        </w:tc>
      </w:tr>
      <w:tr w:rsidR="000D7217" w:rsidRPr="002E3FD4" w:rsidTr="009855D9">
        <w:trPr>
          <w:trHeight w:val="168"/>
        </w:trPr>
        <w:tc>
          <w:tcPr>
            <w:tcW w:w="9062" w:type="dxa"/>
            <w:gridSpan w:val="2"/>
            <w:tcBorders>
              <w:bottom w:val="single" w:sz="4" w:space="0" w:color="auto"/>
              <w:right w:val="single" w:sz="8" w:space="0" w:color="auto"/>
            </w:tcBorders>
            <w:shd w:val="clear" w:color="auto" w:fill="2F5496" w:themeFill="accent5" w:themeFillShade="BF"/>
          </w:tcPr>
          <w:p w:rsidR="000D7217" w:rsidRPr="007C1AE1" w:rsidRDefault="000D7217" w:rsidP="00B73014">
            <w:pPr>
              <w:jc w:val="center"/>
              <w:rPr>
                <w:rFonts w:ascii="Calibri" w:hAnsi="Calibri"/>
                <w:b/>
                <w:color w:val="000000"/>
                <w:sz w:val="20"/>
              </w:rPr>
            </w:pPr>
            <w:r w:rsidRPr="007C1AE1">
              <w:rPr>
                <w:rFonts w:ascii="Calibri" w:hAnsi="Calibri"/>
                <w:b/>
                <w:color w:val="FFFFFF" w:themeColor="background1"/>
                <w:sz w:val="22"/>
              </w:rPr>
              <w:t>Wskaźniki rezultatu dla Celu operacyjnego IV.2</w:t>
            </w:r>
          </w:p>
        </w:tc>
      </w:tr>
      <w:tr w:rsidR="000D7217" w:rsidRPr="00FE0E55" w:rsidTr="009855D9">
        <w:trPr>
          <w:trHeight w:val="168"/>
        </w:trPr>
        <w:tc>
          <w:tcPr>
            <w:tcW w:w="9062" w:type="dxa"/>
            <w:gridSpan w:val="2"/>
            <w:tcBorders>
              <w:bottom w:val="single" w:sz="4" w:space="0" w:color="auto"/>
              <w:right w:val="single" w:sz="8" w:space="0" w:color="auto"/>
            </w:tcBorders>
            <w:shd w:val="clear" w:color="auto" w:fill="D9E2F3" w:themeFill="accent5" w:themeFillTint="33"/>
          </w:tcPr>
          <w:p w:rsidR="00960314" w:rsidRPr="00960314" w:rsidRDefault="00960314" w:rsidP="00960314">
            <w:pPr>
              <w:pStyle w:val="Akapitzlist"/>
              <w:numPr>
                <w:ilvl w:val="0"/>
                <w:numId w:val="76"/>
              </w:numPr>
              <w:rPr>
                <w:rFonts w:ascii="Calibri" w:hAnsi="Calibri"/>
                <w:b/>
                <w:color w:val="000000"/>
                <w:sz w:val="20"/>
              </w:rPr>
            </w:pPr>
            <w:r w:rsidRPr="00960314">
              <w:rPr>
                <w:rFonts w:ascii="Calibri" w:hAnsi="Calibri"/>
                <w:b/>
                <w:color w:val="000000"/>
                <w:sz w:val="20"/>
              </w:rPr>
              <w:t>Przestrzeń publiczna utworzona lub rekultyw</w:t>
            </w:r>
            <w:r>
              <w:rPr>
                <w:rFonts w:ascii="Calibri" w:hAnsi="Calibri"/>
                <w:b/>
                <w:color w:val="000000"/>
                <w:sz w:val="20"/>
              </w:rPr>
              <w:t>owana na obszarach  odnawianych;</w:t>
            </w:r>
          </w:p>
          <w:p w:rsidR="000D7217" w:rsidRPr="007C1AE1" w:rsidRDefault="00960314" w:rsidP="00960314">
            <w:pPr>
              <w:pStyle w:val="Akapitzlist"/>
              <w:numPr>
                <w:ilvl w:val="0"/>
                <w:numId w:val="76"/>
              </w:numPr>
              <w:rPr>
                <w:rFonts w:ascii="Calibri" w:hAnsi="Calibri"/>
                <w:b/>
                <w:color w:val="000000"/>
                <w:sz w:val="20"/>
              </w:rPr>
            </w:pPr>
            <w:r w:rsidRPr="00960314">
              <w:rPr>
                <w:rFonts w:ascii="Calibri" w:hAnsi="Calibri"/>
                <w:b/>
                <w:color w:val="000000"/>
                <w:sz w:val="20"/>
              </w:rPr>
              <w:t>Liczba budynków przebudowanych zlokalizowanych na odnawianych obszarach</w:t>
            </w:r>
            <w:r w:rsidR="007C1AE1" w:rsidRPr="007C1AE1">
              <w:rPr>
                <w:rFonts w:ascii="Calibri" w:hAnsi="Calibri"/>
                <w:b/>
                <w:color w:val="000000"/>
                <w:sz w:val="20"/>
              </w:rPr>
              <w:t>;</w:t>
            </w:r>
          </w:p>
        </w:tc>
      </w:tr>
      <w:tr w:rsidR="000D7217" w:rsidRPr="0006541D" w:rsidTr="009855D9">
        <w:trPr>
          <w:trHeight w:val="113"/>
        </w:trPr>
        <w:tc>
          <w:tcPr>
            <w:tcW w:w="9062" w:type="dxa"/>
            <w:gridSpan w:val="2"/>
            <w:tcBorders>
              <w:left w:val="nil"/>
              <w:right w:val="nil"/>
            </w:tcBorders>
            <w:shd w:val="clear" w:color="auto" w:fill="FFFFFF" w:themeFill="background1"/>
          </w:tcPr>
          <w:p w:rsidR="000D7217" w:rsidRPr="0006541D" w:rsidRDefault="000D7217" w:rsidP="00B73014">
            <w:pPr>
              <w:rPr>
                <w:rFonts w:ascii="Calibri" w:hAnsi="Calibri"/>
                <w:color w:val="000000"/>
                <w:sz w:val="2"/>
              </w:rPr>
            </w:pPr>
          </w:p>
        </w:tc>
      </w:tr>
    </w:tbl>
    <w:p w:rsidR="004A0B17" w:rsidRDefault="004A0B17">
      <w:r>
        <w:br w:type="page"/>
      </w:r>
    </w:p>
    <w:tbl>
      <w:tblPr>
        <w:tblStyle w:val="Tabela-Siatka"/>
        <w:tblW w:w="9062" w:type="dxa"/>
        <w:tblInd w:w="-5" w:type="dxa"/>
        <w:tblLook w:val="04A0" w:firstRow="1" w:lastRow="0" w:firstColumn="1" w:lastColumn="0" w:noHBand="0" w:noVBand="1"/>
      </w:tblPr>
      <w:tblGrid>
        <w:gridCol w:w="2552"/>
        <w:gridCol w:w="6510"/>
      </w:tblGrid>
      <w:tr w:rsidR="00D36034" w:rsidTr="00AC119E">
        <w:trPr>
          <w:trHeight w:val="450"/>
        </w:trPr>
        <w:tc>
          <w:tcPr>
            <w:tcW w:w="2552" w:type="dxa"/>
            <w:shd w:val="clear" w:color="auto" w:fill="8EAADB" w:themeFill="accent5"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lastRenderedPageBreak/>
              <w:t>Cel operacyjny IV.3 - Ochrona i adaptac</w:t>
            </w:r>
            <w:r w:rsidR="00496F12">
              <w:rPr>
                <w:rFonts w:asciiTheme="minorHAnsi" w:hAnsiTheme="minorHAnsi"/>
                <w:b/>
                <w:bCs/>
                <w:sz w:val="22"/>
              </w:rPr>
              <w:t xml:space="preserve">ja obiektów o wysokiej wartości </w:t>
            </w:r>
            <w:r w:rsidRPr="00A45758">
              <w:rPr>
                <w:rFonts w:asciiTheme="minorHAnsi" w:hAnsiTheme="minorHAnsi"/>
                <w:b/>
                <w:bCs/>
                <w:sz w:val="22"/>
              </w:rPr>
              <w:t>architektonicznej i</w:t>
            </w:r>
            <w:r w:rsidR="00496F12">
              <w:rPr>
                <w:rFonts w:asciiTheme="minorHAnsi" w:hAnsiTheme="minorHAnsi"/>
                <w:b/>
                <w:bCs/>
                <w:sz w:val="22"/>
              </w:rPr>
              <w:t> </w:t>
            </w:r>
            <w:r w:rsidRPr="00A45758">
              <w:rPr>
                <w:rFonts w:asciiTheme="minorHAnsi" w:hAnsiTheme="minorHAnsi"/>
                <w:b/>
                <w:bCs/>
                <w:sz w:val="22"/>
              </w:rPr>
              <w:t xml:space="preserve">historycznej na potrzeby usług publicznych </w:t>
            </w:r>
            <w:r w:rsidR="0007038B">
              <w:rPr>
                <w:rFonts w:asciiTheme="minorHAnsi" w:hAnsiTheme="minorHAnsi"/>
                <w:b/>
                <w:bCs/>
                <w:sz w:val="22"/>
              </w:rPr>
              <w:t>i rozwoju turystyki</w:t>
            </w:r>
          </w:p>
        </w:tc>
        <w:tc>
          <w:tcPr>
            <w:tcW w:w="6510" w:type="dxa"/>
            <w:tcBorders>
              <w:top w:val="single" w:sz="8" w:space="0" w:color="auto"/>
              <w:left w:val="single" w:sz="8" w:space="0" w:color="auto"/>
              <w:bottom w:val="single" w:sz="4" w:space="0" w:color="auto"/>
              <w:right w:val="single" w:sz="8" w:space="0" w:color="auto"/>
            </w:tcBorders>
            <w:shd w:val="clear" w:color="auto" w:fill="D9E2F3" w:themeFill="accent5" w:themeFillTint="33"/>
            <w:vAlign w:val="bottom"/>
          </w:tcPr>
          <w:p w:rsidR="0038436D" w:rsidRDefault="00337DB2" w:rsidP="0038436D">
            <w:pPr>
              <w:spacing w:line="240" w:lineRule="auto"/>
              <w:rPr>
                <w:rFonts w:ascii="Calibri" w:hAnsi="Calibri"/>
                <w:color w:val="000000"/>
                <w:sz w:val="20"/>
              </w:rPr>
            </w:pPr>
            <w:r w:rsidRPr="00337DB2">
              <w:rPr>
                <w:rFonts w:ascii="Calibri" w:hAnsi="Calibri"/>
                <w:color w:val="000000"/>
                <w:sz w:val="20"/>
              </w:rPr>
              <w:t xml:space="preserve">Legnica jest miastem posiadającym wyjątkowy klimat i charakter. Znaczna część unikatowych zabytków wciąż wymaga podjęcia </w:t>
            </w:r>
            <w:r w:rsidRPr="00AE5D7A">
              <w:rPr>
                <w:rFonts w:ascii="Calibri" w:hAnsi="Calibri"/>
                <w:b/>
                <w:color w:val="000000"/>
                <w:sz w:val="20"/>
              </w:rPr>
              <w:t>prac konserwacyjno-remontowych</w:t>
            </w:r>
            <w:r w:rsidRPr="00337DB2">
              <w:rPr>
                <w:rFonts w:ascii="Calibri" w:hAnsi="Calibri"/>
                <w:color w:val="000000"/>
                <w:sz w:val="20"/>
              </w:rPr>
              <w:t xml:space="preserve">, aby w pełni mogły one służyć celom turystyczno-edukacyjnym lub aby mogły zostać </w:t>
            </w:r>
            <w:r w:rsidRPr="00AE5D7A">
              <w:rPr>
                <w:rFonts w:ascii="Calibri" w:hAnsi="Calibri"/>
                <w:b/>
                <w:color w:val="000000"/>
                <w:sz w:val="20"/>
              </w:rPr>
              <w:t>zaadoptowane na potrzeby usług publicznych</w:t>
            </w:r>
            <w:r w:rsidR="00211A2A" w:rsidRPr="00AE5D7A">
              <w:rPr>
                <w:rFonts w:ascii="Calibri" w:hAnsi="Calibri"/>
                <w:b/>
                <w:color w:val="000000"/>
                <w:sz w:val="20"/>
              </w:rPr>
              <w:t xml:space="preserve"> lub komercyj</w:t>
            </w:r>
            <w:r w:rsidR="0038436D" w:rsidRPr="00AE5D7A">
              <w:rPr>
                <w:rFonts w:ascii="Calibri" w:hAnsi="Calibri"/>
                <w:b/>
                <w:color w:val="000000"/>
                <w:sz w:val="20"/>
              </w:rPr>
              <w:t>nych</w:t>
            </w:r>
            <w:r w:rsidRPr="00AE5D7A">
              <w:rPr>
                <w:rFonts w:ascii="Calibri" w:hAnsi="Calibri"/>
                <w:b/>
                <w:color w:val="000000"/>
                <w:sz w:val="20"/>
              </w:rPr>
              <w:t>.</w:t>
            </w:r>
            <w:r w:rsidRPr="00337DB2">
              <w:rPr>
                <w:rFonts w:ascii="Calibri" w:hAnsi="Calibri"/>
                <w:color w:val="000000"/>
                <w:sz w:val="20"/>
              </w:rPr>
              <w:t xml:space="preserve"> </w:t>
            </w:r>
            <w:r w:rsidR="0038436D">
              <w:rPr>
                <w:rFonts w:ascii="Calibri" w:hAnsi="Calibri"/>
                <w:color w:val="000000"/>
                <w:sz w:val="20"/>
              </w:rPr>
              <w:t xml:space="preserve">Konieczne jest zatem podejmowanie działań służących renowacji tych obiektów, a zwłaszcza prób dywersyfikacji źródeł finansowania prac konserwacyjno-remontowych o kapitał prywatny (sponsorzy, mecenat) jak i  unijne oraz rządowe środki zewnętrzne. </w:t>
            </w:r>
            <w:r w:rsidR="00475319">
              <w:rPr>
                <w:rFonts w:ascii="Calibri" w:hAnsi="Calibri"/>
                <w:color w:val="000000"/>
                <w:sz w:val="20"/>
              </w:rPr>
              <w:t>Przykładami obiektów, które w </w:t>
            </w:r>
            <w:r w:rsidR="0038436D">
              <w:rPr>
                <w:rFonts w:ascii="Calibri" w:hAnsi="Calibri"/>
                <w:color w:val="000000"/>
                <w:sz w:val="20"/>
              </w:rPr>
              <w:t xml:space="preserve">najbliższych latach mogą zostać ponownie zaadaptowane do użytku są: </w:t>
            </w:r>
            <w:r w:rsidR="00175904">
              <w:rPr>
                <w:rFonts w:ascii="Calibri" w:hAnsi="Calibri"/>
                <w:color w:val="000000"/>
                <w:sz w:val="20"/>
              </w:rPr>
              <w:t>Teatr Letni</w:t>
            </w:r>
            <w:r w:rsidR="009E0A9B">
              <w:rPr>
                <w:rFonts w:ascii="Calibri" w:hAnsi="Calibri"/>
                <w:color w:val="000000"/>
                <w:sz w:val="20"/>
              </w:rPr>
              <w:t>, Baszta Chojnowska wraz z</w:t>
            </w:r>
            <w:r w:rsidR="0038436D">
              <w:rPr>
                <w:rFonts w:ascii="Calibri" w:hAnsi="Calibri"/>
                <w:color w:val="000000"/>
                <w:sz w:val="20"/>
              </w:rPr>
              <w:t xml:space="preserve"> mur</w:t>
            </w:r>
            <w:r w:rsidR="009E0A9B">
              <w:rPr>
                <w:rFonts w:ascii="Calibri" w:hAnsi="Calibri"/>
                <w:color w:val="000000"/>
                <w:sz w:val="20"/>
              </w:rPr>
              <w:t>em</w:t>
            </w:r>
            <w:r w:rsidR="0038436D">
              <w:rPr>
                <w:rFonts w:ascii="Calibri" w:hAnsi="Calibri"/>
                <w:color w:val="000000"/>
                <w:sz w:val="20"/>
              </w:rPr>
              <w:t xml:space="preserve"> obronny</w:t>
            </w:r>
            <w:r w:rsidR="009E0A9B">
              <w:rPr>
                <w:rFonts w:ascii="Calibri" w:hAnsi="Calibri"/>
                <w:color w:val="000000"/>
                <w:sz w:val="20"/>
              </w:rPr>
              <w:t>m</w:t>
            </w:r>
            <w:r w:rsidR="0038436D">
              <w:rPr>
                <w:rFonts w:ascii="Calibri" w:hAnsi="Calibri"/>
                <w:color w:val="000000"/>
                <w:sz w:val="20"/>
              </w:rPr>
              <w:t xml:space="preserve"> czy Kino „Ognisko”</w:t>
            </w:r>
          </w:p>
          <w:p w:rsidR="00AF3919" w:rsidRDefault="00AF3919" w:rsidP="0038436D">
            <w:pPr>
              <w:spacing w:line="240" w:lineRule="auto"/>
              <w:rPr>
                <w:rFonts w:ascii="Calibri" w:hAnsi="Calibri"/>
                <w:color w:val="000000"/>
                <w:sz w:val="20"/>
              </w:rPr>
            </w:pPr>
          </w:p>
          <w:p w:rsidR="00487144" w:rsidRPr="00487144" w:rsidRDefault="00487144" w:rsidP="00487144">
            <w:pPr>
              <w:spacing w:line="240" w:lineRule="auto"/>
              <w:rPr>
                <w:rFonts w:ascii="Calibri" w:hAnsi="Calibri"/>
                <w:color w:val="000000"/>
                <w:sz w:val="20"/>
              </w:rPr>
            </w:pPr>
            <w:r w:rsidRPr="00487144">
              <w:rPr>
                <w:rFonts w:ascii="Calibri" w:hAnsi="Calibri"/>
                <w:color w:val="000000"/>
                <w:sz w:val="20"/>
              </w:rPr>
              <w:t>Zadaniami głównymi będą:</w:t>
            </w:r>
          </w:p>
          <w:p w:rsidR="009F2099" w:rsidRPr="00487144" w:rsidRDefault="00B738E4" w:rsidP="0062416A">
            <w:pPr>
              <w:numPr>
                <w:ilvl w:val="0"/>
                <w:numId w:val="105"/>
              </w:numPr>
              <w:spacing w:line="240" w:lineRule="auto"/>
              <w:rPr>
                <w:rFonts w:ascii="Calibri" w:hAnsi="Calibri"/>
                <w:color w:val="000000"/>
                <w:sz w:val="20"/>
              </w:rPr>
            </w:pPr>
            <w:r w:rsidRPr="00487144">
              <w:rPr>
                <w:rFonts w:ascii="Calibri" w:hAnsi="Calibri"/>
                <w:b/>
                <w:bCs/>
                <w:color w:val="000000"/>
                <w:sz w:val="20"/>
              </w:rPr>
              <w:t>Renowacja Baszty Chojnowskiej i muru obronnego;</w:t>
            </w:r>
          </w:p>
          <w:p w:rsidR="009F2099" w:rsidRPr="00487144" w:rsidRDefault="00B738E4" w:rsidP="0062416A">
            <w:pPr>
              <w:numPr>
                <w:ilvl w:val="0"/>
                <w:numId w:val="105"/>
              </w:numPr>
              <w:spacing w:line="240" w:lineRule="auto"/>
              <w:rPr>
                <w:rFonts w:ascii="Calibri" w:hAnsi="Calibri"/>
                <w:color w:val="000000"/>
                <w:sz w:val="20"/>
              </w:rPr>
            </w:pPr>
            <w:r w:rsidRPr="00487144">
              <w:rPr>
                <w:rFonts w:ascii="Calibri" w:hAnsi="Calibri"/>
                <w:b/>
                <w:bCs/>
                <w:color w:val="000000"/>
                <w:sz w:val="20"/>
              </w:rPr>
              <w:t>Renowacja obiektów takich jak budynek po kinie „Ognisko</w:t>
            </w:r>
            <w:r w:rsidR="003B2DD6">
              <w:rPr>
                <w:rFonts w:ascii="Calibri" w:hAnsi="Calibri"/>
                <w:b/>
                <w:bCs/>
                <w:color w:val="000000"/>
                <w:sz w:val="20"/>
              </w:rPr>
              <w:t>”</w:t>
            </w:r>
            <w:r w:rsidRPr="00487144">
              <w:rPr>
                <w:rFonts w:ascii="Calibri" w:hAnsi="Calibri"/>
                <w:b/>
                <w:bCs/>
                <w:color w:val="000000"/>
                <w:sz w:val="20"/>
              </w:rPr>
              <w:t>, Teatr Letni, itp.;</w:t>
            </w:r>
          </w:p>
          <w:p w:rsidR="00487144" w:rsidRPr="00487144" w:rsidRDefault="00487144" w:rsidP="00487144">
            <w:pPr>
              <w:spacing w:line="240" w:lineRule="auto"/>
              <w:rPr>
                <w:rFonts w:ascii="Calibri" w:hAnsi="Calibri"/>
                <w:color w:val="000000"/>
                <w:sz w:val="20"/>
              </w:rPr>
            </w:pPr>
            <w:r w:rsidRPr="00487144">
              <w:rPr>
                <w:rFonts w:ascii="Calibri" w:hAnsi="Calibri"/>
                <w:color w:val="000000"/>
                <w:sz w:val="20"/>
              </w:rPr>
              <w:t>Zadaniem uzupełniającym będzie:</w:t>
            </w:r>
          </w:p>
          <w:p w:rsidR="009F2099" w:rsidRPr="00487144" w:rsidRDefault="00B738E4" w:rsidP="0062416A">
            <w:pPr>
              <w:numPr>
                <w:ilvl w:val="0"/>
                <w:numId w:val="106"/>
              </w:numPr>
              <w:spacing w:line="240" w:lineRule="auto"/>
              <w:rPr>
                <w:rFonts w:ascii="Calibri" w:hAnsi="Calibri"/>
                <w:color w:val="000000"/>
                <w:sz w:val="20"/>
              </w:rPr>
            </w:pPr>
            <w:r w:rsidRPr="00487144">
              <w:rPr>
                <w:rFonts w:ascii="Calibri" w:hAnsi="Calibri"/>
                <w:b/>
                <w:bCs/>
                <w:color w:val="000000"/>
                <w:sz w:val="20"/>
              </w:rPr>
              <w:t>Promocja miasta podkreślająca dziedzictwo kultury i historyczną  wartość obiektów o wysokiej jakości architektonicznej;</w:t>
            </w:r>
          </w:p>
          <w:p w:rsidR="008850BC" w:rsidRDefault="008850BC" w:rsidP="008850BC">
            <w:pPr>
              <w:spacing w:line="240" w:lineRule="auto"/>
              <w:rPr>
                <w:rFonts w:ascii="Calibri" w:hAnsi="Calibri"/>
                <w:color w:val="000000"/>
                <w:sz w:val="20"/>
              </w:rPr>
            </w:pPr>
          </w:p>
          <w:p w:rsidR="0010032B" w:rsidRPr="008850BC" w:rsidRDefault="008850BC" w:rsidP="008850BC">
            <w:pPr>
              <w:spacing w:line="240" w:lineRule="auto"/>
              <w:rPr>
                <w:rFonts w:ascii="Calibri" w:hAnsi="Calibri"/>
                <w:color w:val="000000"/>
                <w:sz w:val="20"/>
              </w:rPr>
            </w:pPr>
            <w:r>
              <w:rPr>
                <w:rFonts w:ascii="Calibri" w:hAnsi="Calibri"/>
                <w:color w:val="000000"/>
                <w:sz w:val="20"/>
              </w:rPr>
              <w:t>Możliwymi źródłami finansowania zewnętrznego działań w ramach tego celu są RPO Dolnego Śląska oraz Program Operacyjny Infrastruktura i Środowisko</w:t>
            </w:r>
            <w:r w:rsidR="0007038B">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r>
              <w:rPr>
                <w:rFonts w:ascii="Calibri" w:hAnsi="Calibri"/>
                <w:color w:val="000000"/>
                <w:sz w:val="20"/>
              </w:rPr>
              <w:t xml:space="preserve"> </w:t>
            </w:r>
          </w:p>
        </w:tc>
      </w:tr>
      <w:tr w:rsidR="0006541D" w:rsidRPr="0006541D" w:rsidTr="00AC119E">
        <w:trPr>
          <w:trHeight w:val="113"/>
        </w:trPr>
        <w:tc>
          <w:tcPr>
            <w:tcW w:w="9062" w:type="dxa"/>
            <w:gridSpan w:val="2"/>
            <w:tcBorders>
              <w:left w:val="nil"/>
              <w:right w:val="nil"/>
            </w:tcBorders>
            <w:shd w:val="clear" w:color="auto" w:fill="FFFFFF" w:themeFill="background1"/>
          </w:tcPr>
          <w:p w:rsidR="0006541D" w:rsidRPr="00EA76D8" w:rsidRDefault="0006541D" w:rsidP="00A45758">
            <w:pPr>
              <w:jc w:val="center"/>
              <w:rPr>
                <w:rFonts w:asciiTheme="minorHAnsi" w:hAnsiTheme="minorHAnsi"/>
                <w:b/>
                <w:bCs/>
                <w:color w:val="FFFFFF" w:themeColor="background1"/>
                <w:sz w:val="4"/>
              </w:rPr>
            </w:pPr>
          </w:p>
        </w:tc>
      </w:tr>
      <w:tr w:rsidR="000D7217" w:rsidRPr="002E3FD4" w:rsidTr="00AC119E">
        <w:trPr>
          <w:trHeight w:val="168"/>
        </w:trPr>
        <w:tc>
          <w:tcPr>
            <w:tcW w:w="9062" w:type="dxa"/>
            <w:gridSpan w:val="2"/>
            <w:tcBorders>
              <w:bottom w:val="single" w:sz="4" w:space="0" w:color="auto"/>
              <w:right w:val="single" w:sz="8" w:space="0" w:color="auto"/>
            </w:tcBorders>
            <w:shd w:val="clear" w:color="auto" w:fill="2F5496" w:themeFill="accent5" w:themeFillShade="BF"/>
          </w:tcPr>
          <w:p w:rsidR="000D7217" w:rsidRPr="0004045C" w:rsidRDefault="000D7217" w:rsidP="00B73014">
            <w:pPr>
              <w:jc w:val="center"/>
              <w:rPr>
                <w:rFonts w:ascii="Calibri" w:hAnsi="Calibri"/>
                <w:b/>
                <w:color w:val="000000"/>
                <w:sz w:val="20"/>
              </w:rPr>
            </w:pPr>
            <w:r w:rsidRPr="0004045C">
              <w:rPr>
                <w:rFonts w:ascii="Calibri" w:hAnsi="Calibri"/>
                <w:b/>
                <w:color w:val="FFFFFF" w:themeColor="background1"/>
                <w:sz w:val="22"/>
              </w:rPr>
              <w:t>Wskaźniki rezultatu dla Celu operacyjnego IV</w:t>
            </w:r>
            <w:r w:rsidR="00EA76D8" w:rsidRPr="0004045C">
              <w:rPr>
                <w:rFonts w:ascii="Calibri" w:hAnsi="Calibri"/>
                <w:b/>
                <w:color w:val="FFFFFF" w:themeColor="background1"/>
                <w:sz w:val="22"/>
              </w:rPr>
              <w:t>.3</w:t>
            </w:r>
          </w:p>
        </w:tc>
      </w:tr>
      <w:tr w:rsidR="000D7217" w:rsidRPr="00FE0E55" w:rsidTr="00AC119E">
        <w:trPr>
          <w:trHeight w:val="168"/>
        </w:trPr>
        <w:tc>
          <w:tcPr>
            <w:tcW w:w="9062" w:type="dxa"/>
            <w:gridSpan w:val="2"/>
            <w:tcBorders>
              <w:bottom w:val="single" w:sz="4" w:space="0" w:color="auto"/>
              <w:right w:val="single" w:sz="8" w:space="0" w:color="auto"/>
            </w:tcBorders>
            <w:shd w:val="clear" w:color="auto" w:fill="D9E2F3" w:themeFill="accent5" w:themeFillTint="33"/>
          </w:tcPr>
          <w:p w:rsidR="00CE3799" w:rsidRPr="00CE3799" w:rsidRDefault="002E3A5F" w:rsidP="002E3A5F">
            <w:pPr>
              <w:pStyle w:val="Akapitzlist"/>
              <w:numPr>
                <w:ilvl w:val="0"/>
                <w:numId w:val="72"/>
              </w:numPr>
              <w:rPr>
                <w:rFonts w:ascii="Calibri" w:hAnsi="Calibri"/>
                <w:b/>
                <w:color w:val="000000"/>
                <w:sz w:val="20"/>
              </w:rPr>
            </w:pPr>
            <w:r w:rsidRPr="002E3A5F">
              <w:rPr>
                <w:rFonts w:ascii="Calibri" w:hAnsi="Calibri"/>
                <w:b/>
                <w:color w:val="000000"/>
                <w:sz w:val="20"/>
              </w:rPr>
              <w:t>Powierzchnia przebudowanych / wyremontow</w:t>
            </w:r>
            <w:r>
              <w:rPr>
                <w:rFonts w:ascii="Calibri" w:hAnsi="Calibri"/>
                <w:b/>
                <w:color w:val="000000"/>
                <w:sz w:val="20"/>
              </w:rPr>
              <w:t>anych / zaadaptowanych obiektów</w:t>
            </w:r>
            <w:r w:rsidR="00CE3799">
              <w:rPr>
                <w:rFonts w:ascii="Calibri" w:hAnsi="Calibri"/>
                <w:b/>
                <w:color w:val="000000"/>
                <w:sz w:val="20"/>
              </w:rPr>
              <w:t>;</w:t>
            </w:r>
          </w:p>
        </w:tc>
      </w:tr>
      <w:tr w:rsidR="000D7217" w:rsidRPr="0006541D" w:rsidTr="00AC119E">
        <w:trPr>
          <w:trHeight w:val="227"/>
        </w:trPr>
        <w:tc>
          <w:tcPr>
            <w:tcW w:w="9062" w:type="dxa"/>
            <w:gridSpan w:val="2"/>
            <w:tcBorders>
              <w:left w:val="nil"/>
              <w:right w:val="nil"/>
            </w:tcBorders>
            <w:shd w:val="clear" w:color="auto" w:fill="FFFFFF" w:themeFill="background1"/>
          </w:tcPr>
          <w:p w:rsidR="000D7217" w:rsidRPr="0006541D" w:rsidRDefault="000D7217" w:rsidP="00B73014">
            <w:pPr>
              <w:rPr>
                <w:rFonts w:ascii="Calibri" w:hAnsi="Calibri"/>
                <w:color w:val="000000"/>
                <w:sz w:val="2"/>
              </w:rPr>
            </w:pPr>
          </w:p>
        </w:tc>
      </w:tr>
      <w:tr w:rsidR="00D36034" w:rsidTr="00AC119E">
        <w:tc>
          <w:tcPr>
            <w:tcW w:w="9062" w:type="dxa"/>
            <w:gridSpan w:val="2"/>
            <w:tcBorders>
              <w:bottom w:val="single" w:sz="4" w:space="0" w:color="auto"/>
            </w:tcBorders>
            <w:shd w:val="clear" w:color="auto" w:fill="70AD47" w:themeFill="accent6"/>
          </w:tcPr>
          <w:p w:rsidR="00D36034" w:rsidRDefault="0054460E" w:rsidP="00EA76D8">
            <w:pPr>
              <w:spacing w:before="240" w:after="240"/>
              <w:jc w:val="center"/>
              <w:rPr>
                <w:rFonts w:asciiTheme="minorHAnsi" w:hAnsiTheme="minorHAnsi"/>
              </w:rPr>
            </w:pPr>
            <w:r>
              <w:br w:type="page"/>
            </w:r>
            <w:r w:rsidR="00D36034" w:rsidRPr="00EA76D8">
              <w:rPr>
                <w:rFonts w:asciiTheme="minorHAnsi" w:hAnsiTheme="minorHAnsi"/>
                <w:b/>
                <w:bCs/>
                <w:color w:val="FFFFFF" w:themeColor="background1"/>
                <w:sz w:val="32"/>
              </w:rPr>
              <w:t xml:space="preserve">Cel strategiczny V - </w:t>
            </w:r>
            <w:r w:rsidR="00D36034" w:rsidRPr="00EA76D8">
              <w:rPr>
                <w:rFonts w:asciiTheme="minorHAnsi" w:hAnsiTheme="minorHAnsi"/>
                <w:b/>
                <w:bCs/>
                <w:i/>
                <w:iCs/>
                <w:color w:val="FFFFFF" w:themeColor="background1"/>
                <w:sz w:val="32"/>
              </w:rPr>
              <w:t>Ochrona i kształtowanie środowiska przyrodniczego</w:t>
            </w:r>
          </w:p>
        </w:tc>
      </w:tr>
      <w:tr w:rsidR="0006541D" w:rsidRPr="00286C73" w:rsidTr="00AC119E">
        <w:trPr>
          <w:trHeight w:val="227"/>
        </w:trPr>
        <w:tc>
          <w:tcPr>
            <w:tcW w:w="9062" w:type="dxa"/>
            <w:gridSpan w:val="2"/>
            <w:tcBorders>
              <w:left w:val="nil"/>
              <w:right w:val="nil"/>
            </w:tcBorders>
            <w:shd w:val="clear" w:color="auto" w:fill="FFFFFF" w:themeFill="background1"/>
          </w:tcPr>
          <w:p w:rsidR="0006541D" w:rsidRPr="00286C73" w:rsidRDefault="0006541D" w:rsidP="00A45758">
            <w:pPr>
              <w:jc w:val="center"/>
              <w:rPr>
                <w:rFonts w:asciiTheme="minorHAnsi" w:hAnsiTheme="minorHAnsi"/>
                <w:b/>
                <w:bCs/>
                <w:color w:val="FFFFFF" w:themeColor="background1"/>
                <w:sz w:val="14"/>
              </w:rPr>
            </w:pPr>
          </w:p>
        </w:tc>
      </w:tr>
      <w:tr w:rsidR="00D36034" w:rsidTr="00AC119E">
        <w:trPr>
          <w:trHeight w:val="552"/>
        </w:trPr>
        <w:tc>
          <w:tcPr>
            <w:tcW w:w="2552" w:type="dxa"/>
            <w:shd w:val="clear" w:color="auto" w:fill="A8D08D" w:themeFill="accent6" w:themeFillTint="99"/>
          </w:tcPr>
          <w:p w:rsidR="00D36034" w:rsidRPr="00A45758" w:rsidRDefault="00D36034" w:rsidP="00841C5B">
            <w:pPr>
              <w:rPr>
                <w:rFonts w:asciiTheme="minorHAnsi" w:hAnsiTheme="minorHAnsi"/>
                <w:sz w:val="22"/>
              </w:rPr>
            </w:pPr>
            <w:r w:rsidRPr="00A45758">
              <w:rPr>
                <w:rFonts w:asciiTheme="minorHAnsi" w:hAnsiTheme="minorHAnsi"/>
                <w:b/>
                <w:bCs/>
                <w:sz w:val="22"/>
              </w:rPr>
              <w:t>Cel operacyjny V.1 -  Ochrona terenów cennych przyrodniczo i ich ad</w:t>
            </w:r>
            <w:r w:rsidR="008B02E3">
              <w:rPr>
                <w:rFonts w:asciiTheme="minorHAnsi" w:hAnsiTheme="minorHAnsi"/>
                <w:b/>
                <w:bCs/>
                <w:sz w:val="22"/>
              </w:rPr>
              <w:t xml:space="preserve">aptacja na potrzeby edukacyjne </w:t>
            </w:r>
            <w:r w:rsidRPr="00A45758">
              <w:rPr>
                <w:rFonts w:asciiTheme="minorHAnsi" w:hAnsiTheme="minorHAnsi"/>
                <w:b/>
                <w:bCs/>
                <w:sz w:val="22"/>
              </w:rPr>
              <w:t xml:space="preserve">oraz adaptacja zaniedbanych terenów </w:t>
            </w:r>
            <w:r w:rsidR="00487144" w:rsidRPr="00487144">
              <w:rPr>
                <w:rFonts w:asciiTheme="minorHAnsi" w:hAnsiTheme="minorHAnsi"/>
                <w:b/>
                <w:bCs/>
                <w:sz w:val="22"/>
              </w:rPr>
              <w:t>zieleni</w:t>
            </w:r>
            <w:r w:rsidRPr="00A45758">
              <w:rPr>
                <w:rFonts w:asciiTheme="minorHAnsi" w:hAnsiTheme="minorHAnsi"/>
                <w:b/>
                <w:bCs/>
                <w:sz w:val="22"/>
              </w:rPr>
              <w:t xml:space="preserve"> na potrzeby rekreacji</w:t>
            </w:r>
          </w:p>
          <w:p w:rsidR="00D36034" w:rsidRPr="00A45758" w:rsidRDefault="00D36034" w:rsidP="00841C5B">
            <w:pPr>
              <w:rPr>
                <w:rFonts w:asciiTheme="minorHAnsi" w:hAnsiTheme="minorHAnsi"/>
                <w:sz w:val="22"/>
              </w:rPr>
            </w:pPr>
          </w:p>
        </w:tc>
        <w:tc>
          <w:tcPr>
            <w:tcW w:w="6510" w:type="dxa"/>
            <w:shd w:val="clear" w:color="auto" w:fill="E2EFD9" w:themeFill="accent6" w:themeFillTint="33"/>
          </w:tcPr>
          <w:p w:rsidR="00B45EE6" w:rsidRDefault="000537FE" w:rsidP="004B462E">
            <w:pPr>
              <w:spacing w:line="240" w:lineRule="auto"/>
              <w:rPr>
                <w:rFonts w:ascii="Calibri" w:hAnsi="Calibri"/>
                <w:color w:val="000000"/>
                <w:sz w:val="20"/>
              </w:rPr>
            </w:pPr>
            <w:r>
              <w:rPr>
                <w:rFonts w:ascii="Calibri" w:hAnsi="Calibri"/>
                <w:color w:val="000000"/>
                <w:sz w:val="20"/>
              </w:rPr>
              <w:t xml:space="preserve">Ochrona środowiska nie powinna polegać jedynie na zakazach i obostrzeniach użytkowania obszarów o wysokich walorach środowiskowych. Nowoczesne podejście do zagadnień ochrony przyrody powinno koncentrować się na </w:t>
            </w:r>
            <w:r w:rsidRPr="00AE5D7A">
              <w:rPr>
                <w:rFonts w:ascii="Calibri" w:hAnsi="Calibri"/>
                <w:b/>
                <w:color w:val="000000"/>
                <w:sz w:val="20"/>
              </w:rPr>
              <w:t>adaptacji terenów cennych przyrodniczo na potrzeby rekreacji czy edukacji przyrodniczo-historycznej</w:t>
            </w:r>
            <w:r w:rsidR="004B462E">
              <w:rPr>
                <w:rFonts w:ascii="Calibri" w:hAnsi="Calibri"/>
                <w:color w:val="000000"/>
                <w:sz w:val="20"/>
              </w:rPr>
              <w:t>. Bezpośrednie obcowanie z </w:t>
            </w:r>
            <w:r>
              <w:rPr>
                <w:rFonts w:ascii="Calibri" w:hAnsi="Calibri"/>
                <w:color w:val="000000"/>
                <w:sz w:val="20"/>
              </w:rPr>
              <w:t>przyrodą i terenami zieleni zwiększa szansę na zmianę świadomości ekologicznej mieszkańców, a</w:t>
            </w:r>
            <w:r w:rsidR="00B45EE6">
              <w:rPr>
                <w:rFonts w:ascii="Calibri" w:hAnsi="Calibri"/>
                <w:color w:val="000000"/>
                <w:sz w:val="20"/>
              </w:rPr>
              <w:t> dodatkowe przeznaczenie tych terenów pod cele rekreacyjne czy edukacyjne powinno</w:t>
            </w:r>
            <w:r>
              <w:rPr>
                <w:rFonts w:ascii="Calibri" w:hAnsi="Calibri"/>
                <w:color w:val="000000"/>
                <w:sz w:val="20"/>
              </w:rPr>
              <w:t xml:space="preserve"> </w:t>
            </w:r>
            <w:r w:rsidR="00B45EE6">
              <w:rPr>
                <w:rFonts w:ascii="Calibri" w:hAnsi="Calibri"/>
                <w:color w:val="000000"/>
                <w:sz w:val="20"/>
              </w:rPr>
              <w:t>ułatwić po</w:t>
            </w:r>
            <w:r>
              <w:rPr>
                <w:rFonts w:ascii="Calibri" w:hAnsi="Calibri"/>
                <w:color w:val="000000"/>
                <w:sz w:val="20"/>
              </w:rPr>
              <w:t>zysk</w:t>
            </w:r>
            <w:r w:rsidR="00B45EE6">
              <w:rPr>
                <w:rFonts w:ascii="Calibri" w:hAnsi="Calibri"/>
                <w:color w:val="000000"/>
                <w:sz w:val="20"/>
              </w:rPr>
              <w:t>iw</w:t>
            </w:r>
            <w:r>
              <w:rPr>
                <w:rFonts w:ascii="Calibri" w:hAnsi="Calibri"/>
                <w:color w:val="000000"/>
                <w:sz w:val="20"/>
              </w:rPr>
              <w:t>anie środków na</w:t>
            </w:r>
            <w:r w:rsidR="00B45EE6">
              <w:rPr>
                <w:rFonts w:ascii="Calibri" w:hAnsi="Calibri"/>
                <w:color w:val="000000"/>
                <w:sz w:val="20"/>
              </w:rPr>
              <w:t xml:space="preserve"> ich</w:t>
            </w:r>
            <w:r>
              <w:rPr>
                <w:rFonts w:ascii="Calibri" w:hAnsi="Calibri"/>
                <w:color w:val="000000"/>
                <w:sz w:val="20"/>
              </w:rPr>
              <w:t xml:space="preserve"> utrzymanie.</w:t>
            </w:r>
          </w:p>
          <w:p w:rsidR="00B45EE6" w:rsidRDefault="00B45EE6" w:rsidP="004B462E">
            <w:pPr>
              <w:spacing w:line="240" w:lineRule="auto"/>
              <w:rPr>
                <w:rFonts w:ascii="Calibri" w:hAnsi="Calibri"/>
                <w:color w:val="000000"/>
                <w:sz w:val="20"/>
              </w:rPr>
            </w:pPr>
          </w:p>
          <w:p w:rsidR="00D36034" w:rsidRDefault="004B462E" w:rsidP="004B462E">
            <w:pPr>
              <w:spacing w:line="240" w:lineRule="auto"/>
              <w:rPr>
                <w:rFonts w:ascii="Calibri" w:hAnsi="Calibri"/>
                <w:color w:val="000000"/>
                <w:sz w:val="20"/>
              </w:rPr>
            </w:pPr>
            <w:r>
              <w:rPr>
                <w:rFonts w:ascii="Calibri" w:hAnsi="Calibri"/>
                <w:color w:val="000000"/>
                <w:sz w:val="20"/>
              </w:rPr>
              <w:t xml:space="preserve">Dla właściwego zdiagnozowania </w:t>
            </w:r>
            <w:r w:rsidRPr="004C3789">
              <w:rPr>
                <w:rFonts w:ascii="Calibri" w:hAnsi="Calibri"/>
                <w:color w:val="000000"/>
                <w:sz w:val="20"/>
              </w:rPr>
              <w:t>walorów turystyczno – krajoznawczych środowiska przyrodniczego</w:t>
            </w:r>
            <w:r w:rsidR="0007038B">
              <w:rPr>
                <w:rFonts w:ascii="Calibri" w:hAnsi="Calibri"/>
                <w:color w:val="000000"/>
                <w:sz w:val="20"/>
              </w:rPr>
              <w:t xml:space="preserve"> konieczna</w:t>
            </w:r>
            <w:r>
              <w:rPr>
                <w:rFonts w:ascii="Calibri" w:hAnsi="Calibri"/>
                <w:color w:val="000000"/>
                <w:sz w:val="20"/>
              </w:rPr>
              <w:t xml:space="preserve"> jest</w:t>
            </w:r>
            <w:r w:rsidR="0007038B">
              <w:rPr>
                <w:rFonts w:ascii="Calibri" w:hAnsi="Calibri"/>
                <w:color w:val="000000"/>
                <w:sz w:val="20"/>
              </w:rPr>
              <w:t xml:space="preserve"> aktualizacja</w:t>
            </w:r>
            <w:r>
              <w:rPr>
                <w:rFonts w:ascii="Calibri" w:hAnsi="Calibri"/>
                <w:color w:val="000000"/>
                <w:sz w:val="20"/>
              </w:rPr>
              <w:t xml:space="preserve"> </w:t>
            </w:r>
            <w:r w:rsidRPr="00B45EE6">
              <w:rPr>
                <w:rFonts w:ascii="Calibri" w:hAnsi="Calibri"/>
                <w:b/>
                <w:color w:val="000000"/>
                <w:sz w:val="20"/>
              </w:rPr>
              <w:t>inwentaryzacji przyrodniczej miasta Legnicy</w:t>
            </w:r>
            <w:r>
              <w:rPr>
                <w:rFonts w:ascii="Calibri" w:hAnsi="Calibri"/>
                <w:color w:val="000000"/>
                <w:sz w:val="20"/>
              </w:rPr>
              <w:t xml:space="preserve">. Zabieg ten pozwoli wskazać możliwości adaptacji części terenów obecnie zaniedbanych lub niewykorzystanych na potrzeby rekreacji (np. Lasek Złotoryjski), a także umożliwi ocenę potrzeb w zakresie ochrony środowiska na terenie miasta. </w:t>
            </w:r>
          </w:p>
          <w:p w:rsidR="00B45EE6" w:rsidRDefault="00B45EE6" w:rsidP="004B462E">
            <w:pPr>
              <w:spacing w:line="240" w:lineRule="auto"/>
              <w:rPr>
                <w:rFonts w:ascii="Calibri" w:hAnsi="Calibri"/>
                <w:color w:val="000000"/>
                <w:sz w:val="20"/>
              </w:rPr>
            </w:pPr>
          </w:p>
          <w:p w:rsidR="004B462E" w:rsidRDefault="00920C79" w:rsidP="00920C79">
            <w:pPr>
              <w:spacing w:line="240" w:lineRule="auto"/>
              <w:rPr>
                <w:rFonts w:ascii="Calibri" w:hAnsi="Calibri"/>
                <w:color w:val="000000"/>
                <w:sz w:val="20"/>
              </w:rPr>
            </w:pPr>
            <w:r>
              <w:rPr>
                <w:rFonts w:ascii="Calibri" w:hAnsi="Calibri"/>
                <w:color w:val="000000"/>
                <w:sz w:val="20"/>
              </w:rPr>
              <w:t>Działania w ramach tego celu będą służyć także</w:t>
            </w:r>
            <w:r w:rsidR="00B45EE6">
              <w:rPr>
                <w:rFonts w:ascii="Calibri" w:hAnsi="Calibri"/>
                <w:color w:val="000000"/>
                <w:sz w:val="20"/>
              </w:rPr>
              <w:t xml:space="preserve"> </w:t>
            </w:r>
            <w:r w:rsidR="00B45EE6" w:rsidRPr="00AE5D7A">
              <w:rPr>
                <w:rFonts w:ascii="Calibri" w:hAnsi="Calibri"/>
                <w:b/>
                <w:color w:val="000000"/>
                <w:sz w:val="20"/>
              </w:rPr>
              <w:t>zachowaniu unikatowego charakteru zabytkowego Parku Miejskiego w Legnicy oraz obiektu Palmiarni</w:t>
            </w:r>
            <w:r w:rsidR="00B45EE6">
              <w:rPr>
                <w:rFonts w:ascii="Calibri" w:hAnsi="Calibri"/>
                <w:color w:val="000000"/>
                <w:sz w:val="20"/>
              </w:rPr>
              <w:t xml:space="preserve">. Jest to nie tylko obszar miasta cenny przyrodniczo, cechujący się </w:t>
            </w:r>
            <w:r w:rsidR="00B45EE6">
              <w:rPr>
                <w:rFonts w:ascii="Calibri" w:hAnsi="Calibri"/>
                <w:color w:val="000000"/>
                <w:sz w:val="20"/>
              </w:rPr>
              <w:lastRenderedPageBreak/>
              <w:t>wysokimi walorami edukacyjno-historycznymi</w:t>
            </w:r>
            <w:r>
              <w:rPr>
                <w:rFonts w:ascii="Calibri" w:hAnsi="Calibri"/>
                <w:color w:val="000000"/>
                <w:sz w:val="20"/>
              </w:rPr>
              <w:t xml:space="preserve"> oraz rekreacyjnymi, ale także ciekawa</w:t>
            </w:r>
            <w:r w:rsidR="00B45EE6">
              <w:rPr>
                <w:rFonts w:ascii="Calibri" w:hAnsi="Calibri"/>
                <w:color w:val="000000"/>
                <w:sz w:val="20"/>
              </w:rPr>
              <w:t xml:space="preserve"> atrakcja turystyczna regionu. Konieczne jest zatem prowadzenie dalszych prac rewitalizacyjnych w Parku i jego otoczeniu, aby mógł on odzyskać dawny, przedwojenny blask i prestiż.</w:t>
            </w:r>
          </w:p>
          <w:p w:rsidR="00AF3919" w:rsidRDefault="00AF3919" w:rsidP="00920C79">
            <w:pPr>
              <w:spacing w:line="240" w:lineRule="auto"/>
              <w:rPr>
                <w:rFonts w:ascii="Calibri" w:hAnsi="Calibri"/>
                <w:color w:val="000000"/>
                <w:sz w:val="20"/>
              </w:rPr>
            </w:pPr>
            <w:r>
              <w:rPr>
                <w:rFonts w:ascii="Calibri" w:hAnsi="Calibri"/>
                <w:color w:val="000000"/>
                <w:sz w:val="20"/>
              </w:rPr>
              <w:t xml:space="preserve">Zadaniami </w:t>
            </w:r>
            <w:r w:rsidR="00487144">
              <w:rPr>
                <w:rFonts w:ascii="Calibri" w:hAnsi="Calibri"/>
                <w:color w:val="000000"/>
                <w:sz w:val="20"/>
              </w:rPr>
              <w:t>głównymi</w:t>
            </w:r>
            <w:r>
              <w:rPr>
                <w:rFonts w:ascii="Calibri" w:hAnsi="Calibri"/>
                <w:color w:val="000000"/>
                <w:sz w:val="20"/>
              </w:rPr>
              <w:t xml:space="preserve"> będą:</w:t>
            </w:r>
          </w:p>
          <w:p w:rsidR="00AF3919" w:rsidRPr="001A12B7" w:rsidRDefault="001A12B7" w:rsidP="0062416A">
            <w:pPr>
              <w:pStyle w:val="Akapitzlist"/>
              <w:numPr>
                <w:ilvl w:val="0"/>
                <w:numId w:val="58"/>
              </w:numPr>
              <w:spacing w:line="240" w:lineRule="auto"/>
              <w:rPr>
                <w:rFonts w:ascii="Calibri" w:hAnsi="Calibri"/>
                <w:b/>
                <w:color w:val="000000"/>
                <w:sz w:val="20"/>
              </w:rPr>
            </w:pPr>
            <w:r w:rsidRPr="001A12B7">
              <w:rPr>
                <w:rFonts w:ascii="Calibri" w:hAnsi="Calibri"/>
                <w:b/>
                <w:color w:val="000000"/>
                <w:sz w:val="20"/>
              </w:rPr>
              <w:t>Kontynuacja rewitalizacji</w:t>
            </w:r>
            <w:r w:rsidR="00AF3919" w:rsidRPr="001A12B7">
              <w:rPr>
                <w:rFonts w:ascii="Calibri" w:hAnsi="Calibri"/>
                <w:b/>
                <w:color w:val="000000"/>
                <w:sz w:val="20"/>
              </w:rPr>
              <w:t xml:space="preserve"> zabytkowego obiektu Palmiarni;</w:t>
            </w:r>
          </w:p>
          <w:p w:rsidR="00AF3919" w:rsidRPr="001A12B7" w:rsidRDefault="001A12B7" w:rsidP="0062416A">
            <w:pPr>
              <w:pStyle w:val="Akapitzlist"/>
              <w:numPr>
                <w:ilvl w:val="0"/>
                <w:numId w:val="58"/>
              </w:numPr>
              <w:spacing w:line="240" w:lineRule="auto"/>
              <w:rPr>
                <w:rFonts w:ascii="Calibri" w:hAnsi="Calibri"/>
                <w:b/>
                <w:color w:val="000000"/>
                <w:sz w:val="20"/>
              </w:rPr>
            </w:pPr>
            <w:r w:rsidRPr="001A12B7">
              <w:rPr>
                <w:rFonts w:ascii="Calibri" w:hAnsi="Calibri"/>
                <w:b/>
                <w:color w:val="000000"/>
                <w:sz w:val="20"/>
              </w:rPr>
              <w:t>Kontynuacja r</w:t>
            </w:r>
            <w:r w:rsidR="00AF3919" w:rsidRPr="001A12B7">
              <w:rPr>
                <w:rFonts w:ascii="Calibri" w:hAnsi="Calibri"/>
                <w:b/>
                <w:color w:val="000000"/>
                <w:sz w:val="20"/>
              </w:rPr>
              <w:t>ewitalizacja zabytkowego Parku Miejskiego;</w:t>
            </w:r>
          </w:p>
          <w:p w:rsidR="001A12B7" w:rsidRDefault="001A12B7" w:rsidP="0062416A">
            <w:pPr>
              <w:pStyle w:val="Akapitzlist"/>
              <w:numPr>
                <w:ilvl w:val="0"/>
                <w:numId w:val="58"/>
              </w:numPr>
              <w:spacing w:line="240" w:lineRule="auto"/>
              <w:rPr>
                <w:rFonts w:ascii="Calibri" w:hAnsi="Calibri"/>
                <w:b/>
                <w:color w:val="000000"/>
                <w:sz w:val="20"/>
              </w:rPr>
            </w:pPr>
            <w:r w:rsidRPr="001A12B7">
              <w:rPr>
                <w:rFonts w:ascii="Calibri" w:hAnsi="Calibri"/>
                <w:b/>
                <w:color w:val="000000"/>
                <w:sz w:val="20"/>
              </w:rPr>
              <w:t>Kontynuacja rewitalizacji zieleni Lasku Złotoryjskiego i adaptacja obiektu do celów rekreacyjnych;</w:t>
            </w:r>
          </w:p>
          <w:p w:rsidR="00DC724B" w:rsidRDefault="00487144" w:rsidP="0062416A">
            <w:pPr>
              <w:pStyle w:val="Akapitzlist"/>
              <w:numPr>
                <w:ilvl w:val="0"/>
                <w:numId w:val="58"/>
              </w:numPr>
              <w:spacing w:line="240" w:lineRule="auto"/>
              <w:rPr>
                <w:rFonts w:ascii="Calibri" w:hAnsi="Calibri"/>
                <w:b/>
                <w:color w:val="000000"/>
                <w:sz w:val="20"/>
              </w:rPr>
            </w:pPr>
            <w:r>
              <w:rPr>
                <w:rFonts w:ascii="Calibri" w:hAnsi="Calibri"/>
                <w:b/>
                <w:color w:val="000000"/>
                <w:sz w:val="20"/>
              </w:rPr>
              <w:t>Adaptacja terenu zieleni</w:t>
            </w:r>
            <w:r w:rsidR="00DC724B" w:rsidRPr="00DE09AA">
              <w:rPr>
                <w:rFonts w:ascii="Calibri" w:hAnsi="Calibri"/>
                <w:b/>
                <w:color w:val="000000"/>
                <w:sz w:val="20"/>
              </w:rPr>
              <w:t xml:space="preserve"> (rejon ul.</w:t>
            </w:r>
            <w:r w:rsidR="00160801">
              <w:rPr>
                <w:rFonts w:ascii="Calibri" w:hAnsi="Calibri"/>
                <w:b/>
                <w:color w:val="000000"/>
                <w:sz w:val="20"/>
              </w:rPr>
              <w:t xml:space="preserve"> </w:t>
            </w:r>
            <w:r w:rsidR="00DC724B" w:rsidRPr="00DE09AA">
              <w:rPr>
                <w:rFonts w:ascii="Calibri" w:hAnsi="Calibri"/>
                <w:b/>
                <w:color w:val="000000"/>
                <w:sz w:val="20"/>
              </w:rPr>
              <w:t>Złotej ) na rozbudowę Parku Bielańskiego;</w:t>
            </w:r>
          </w:p>
          <w:p w:rsidR="00487144" w:rsidRPr="00487144" w:rsidRDefault="00B738E4" w:rsidP="0062416A">
            <w:pPr>
              <w:pStyle w:val="Akapitzlist"/>
              <w:numPr>
                <w:ilvl w:val="0"/>
                <w:numId w:val="58"/>
              </w:numPr>
              <w:rPr>
                <w:rFonts w:ascii="Calibri" w:hAnsi="Calibri"/>
                <w:b/>
                <w:color w:val="000000"/>
                <w:sz w:val="20"/>
              </w:rPr>
            </w:pPr>
            <w:r w:rsidRPr="00487144">
              <w:rPr>
                <w:rFonts w:ascii="Calibri" w:hAnsi="Calibri"/>
                <w:b/>
                <w:bCs/>
                <w:color w:val="000000"/>
                <w:sz w:val="20"/>
              </w:rPr>
              <w:t>Kontynuacja budowy Parku Osiedlowego na Piekarach obok Zespołu Szkół Integracyjnych nr 20;</w:t>
            </w:r>
          </w:p>
          <w:p w:rsidR="00AF3919" w:rsidRDefault="00AF3919" w:rsidP="00AF3919">
            <w:pPr>
              <w:spacing w:line="240" w:lineRule="auto"/>
              <w:rPr>
                <w:rFonts w:ascii="Calibri" w:hAnsi="Calibri"/>
                <w:color w:val="000000"/>
                <w:sz w:val="20"/>
              </w:rPr>
            </w:pPr>
          </w:p>
          <w:p w:rsidR="00AF3919" w:rsidRDefault="00487144" w:rsidP="00AF3919">
            <w:pPr>
              <w:spacing w:line="240" w:lineRule="auto"/>
              <w:rPr>
                <w:rFonts w:ascii="Calibri" w:hAnsi="Calibri"/>
                <w:color w:val="000000"/>
                <w:sz w:val="20"/>
              </w:rPr>
            </w:pPr>
            <w:r>
              <w:rPr>
                <w:rFonts w:ascii="Calibri" w:hAnsi="Calibri"/>
                <w:color w:val="000000"/>
                <w:sz w:val="20"/>
              </w:rPr>
              <w:t>Zadania</w:t>
            </w:r>
            <w:r w:rsidR="00AF3919">
              <w:rPr>
                <w:rFonts w:ascii="Calibri" w:hAnsi="Calibri"/>
                <w:color w:val="000000"/>
                <w:sz w:val="20"/>
              </w:rPr>
              <w:t>m</w:t>
            </w:r>
            <w:r>
              <w:rPr>
                <w:rFonts w:ascii="Calibri" w:hAnsi="Calibri"/>
                <w:color w:val="000000"/>
                <w:sz w:val="20"/>
              </w:rPr>
              <w:t>i</w:t>
            </w:r>
            <w:r w:rsidR="00AF3919">
              <w:rPr>
                <w:rFonts w:ascii="Calibri" w:hAnsi="Calibri"/>
                <w:color w:val="000000"/>
                <w:sz w:val="20"/>
              </w:rPr>
              <w:t xml:space="preserve"> uzupełniającym</w:t>
            </w:r>
            <w:r>
              <w:rPr>
                <w:rFonts w:ascii="Calibri" w:hAnsi="Calibri"/>
                <w:color w:val="000000"/>
                <w:sz w:val="20"/>
              </w:rPr>
              <w:t>i będą</w:t>
            </w:r>
            <w:r w:rsidR="00AF3919">
              <w:rPr>
                <w:rFonts w:ascii="Calibri" w:hAnsi="Calibri"/>
                <w:color w:val="000000"/>
                <w:sz w:val="20"/>
              </w:rPr>
              <w:t>:</w:t>
            </w:r>
          </w:p>
          <w:p w:rsidR="009F2099" w:rsidRPr="00487144" w:rsidRDefault="00B738E4" w:rsidP="0062416A">
            <w:pPr>
              <w:numPr>
                <w:ilvl w:val="0"/>
                <w:numId w:val="107"/>
              </w:numPr>
              <w:spacing w:line="240" w:lineRule="auto"/>
              <w:rPr>
                <w:rFonts w:ascii="Calibri" w:hAnsi="Calibri"/>
                <w:color w:val="000000"/>
                <w:sz w:val="20"/>
              </w:rPr>
            </w:pPr>
            <w:r w:rsidRPr="00487144">
              <w:rPr>
                <w:rFonts w:ascii="Calibri" w:hAnsi="Calibri"/>
                <w:b/>
                <w:bCs/>
                <w:color w:val="000000"/>
                <w:sz w:val="20"/>
              </w:rPr>
              <w:t>Renowacja i urządzanie zieleni parkowo – zabytkowej przy ul. Grabskiego;</w:t>
            </w:r>
          </w:p>
          <w:p w:rsidR="009F2099" w:rsidRPr="00487144" w:rsidRDefault="00B738E4" w:rsidP="0062416A">
            <w:pPr>
              <w:numPr>
                <w:ilvl w:val="0"/>
                <w:numId w:val="107"/>
              </w:numPr>
              <w:spacing w:line="240" w:lineRule="auto"/>
              <w:rPr>
                <w:rFonts w:ascii="Calibri" w:hAnsi="Calibri"/>
                <w:color w:val="000000"/>
                <w:sz w:val="20"/>
              </w:rPr>
            </w:pPr>
            <w:r w:rsidRPr="00487144">
              <w:rPr>
                <w:rFonts w:ascii="Calibri" w:hAnsi="Calibri"/>
                <w:b/>
                <w:bCs/>
                <w:color w:val="000000"/>
                <w:sz w:val="20"/>
              </w:rPr>
              <w:t>Aktualizacja inwentaryzacji przyrodniczej miasta – ocena walorów turystyczno-krajoznawczych środowiska przyrodniczego, poprzez aktualizację dokumentacji z 1995 r. ;</w:t>
            </w:r>
          </w:p>
          <w:p w:rsidR="009F2099" w:rsidRPr="00487144" w:rsidRDefault="00B738E4" w:rsidP="0062416A">
            <w:pPr>
              <w:numPr>
                <w:ilvl w:val="0"/>
                <w:numId w:val="107"/>
              </w:numPr>
              <w:spacing w:line="240" w:lineRule="auto"/>
              <w:rPr>
                <w:rFonts w:ascii="Calibri" w:hAnsi="Calibri"/>
                <w:color w:val="000000"/>
                <w:sz w:val="20"/>
              </w:rPr>
            </w:pPr>
            <w:r w:rsidRPr="00487144">
              <w:rPr>
                <w:rFonts w:ascii="Calibri" w:hAnsi="Calibri"/>
                <w:b/>
                <w:bCs/>
                <w:color w:val="000000"/>
                <w:sz w:val="20"/>
              </w:rPr>
              <w:t>Promocja Legnicy jako miasta parków i ogrodów;</w:t>
            </w:r>
          </w:p>
          <w:p w:rsidR="000341F1" w:rsidRDefault="000341F1" w:rsidP="000341F1">
            <w:pPr>
              <w:spacing w:line="240" w:lineRule="auto"/>
              <w:rPr>
                <w:rFonts w:ascii="Calibri" w:hAnsi="Calibri"/>
                <w:color w:val="000000"/>
                <w:sz w:val="20"/>
              </w:rPr>
            </w:pPr>
          </w:p>
          <w:p w:rsidR="00AF3919" w:rsidRPr="004C3789" w:rsidRDefault="000341F1" w:rsidP="0007038B">
            <w:pPr>
              <w:autoSpaceDE w:val="0"/>
              <w:autoSpaceDN w:val="0"/>
              <w:adjustRightInd w:val="0"/>
              <w:spacing w:line="240" w:lineRule="auto"/>
              <w:rPr>
                <w:rFonts w:ascii="Calibri" w:hAnsi="Calibri"/>
                <w:color w:val="000000"/>
                <w:sz w:val="20"/>
              </w:rPr>
            </w:pPr>
            <w:r>
              <w:rPr>
                <w:rFonts w:ascii="Calibri" w:hAnsi="Calibri"/>
                <w:color w:val="000000"/>
                <w:sz w:val="20"/>
              </w:rPr>
              <w:t>Źródłami finansowania, obok budżetu miasta, są: Regionalny Program Operacyjny Województwa Dolnośląskiego oraz Program Operacy</w:t>
            </w:r>
            <w:r w:rsidR="00B66394">
              <w:rPr>
                <w:rFonts w:ascii="Calibri" w:hAnsi="Calibri"/>
                <w:color w:val="000000"/>
                <w:sz w:val="20"/>
              </w:rPr>
              <w:t xml:space="preserve">jny Infrastruktura i Środowisko, a także </w:t>
            </w:r>
            <w:r w:rsidR="00B66394" w:rsidRPr="00B66394">
              <w:rPr>
                <w:rFonts w:ascii="Calibri" w:hAnsi="Calibri"/>
                <w:color w:val="000000"/>
                <w:sz w:val="20"/>
              </w:rPr>
              <w:t xml:space="preserve">Narodowy Fundusz Ochrony </w:t>
            </w:r>
            <w:r w:rsidR="00B66394">
              <w:rPr>
                <w:rFonts w:ascii="Calibri" w:hAnsi="Calibri"/>
                <w:color w:val="000000"/>
                <w:sz w:val="20"/>
              </w:rPr>
              <w:t>Środowiska i </w:t>
            </w:r>
            <w:r w:rsidR="00B66394" w:rsidRPr="00B66394">
              <w:rPr>
                <w:rFonts w:ascii="Calibri" w:hAnsi="Calibri"/>
                <w:color w:val="000000"/>
                <w:sz w:val="20"/>
              </w:rPr>
              <w:t>Gospodarki Wodnej</w:t>
            </w:r>
            <w:r w:rsidR="00B66394">
              <w:rPr>
                <w:rFonts w:ascii="Calibri" w:hAnsi="Calibri"/>
                <w:color w:val="000000"/>
                <w:sz w:val="20"/>
              </w:rPr>
              <w:t xml:space="preserve"> oraz</w:t>
            </w:r>
            <w:r w:rsidR="00B66394" w:rsidRPr="00B66394">
              <w:rPr>
                <w:rFonts w:ascii="Calibri" w:hAnsi="Calibri"/>
                <w:color w:val="000000"/>
                <w:sz w:val="20"/>
              </w:rPr>
              <w:t xml:space="preserve"> Wojewód</w:t>
            </w:r>
            <w:r w:rsidR="00B66394">
              <w:rPr>
                <w:rFonts w:ascii="Calibri" w:hAnsi="Calibri"/>
                <w:color w:val="000000"/>
                <w:sz w:val="20"/>
              </w:rPr>
              <w:t>zki Fundusz Ochrony Środowiska i </w:t>
            </w:r>
            <w:r w:rsidR="00B66394" w:rsidRPr="00B66394">
              <w:rPr>
                <w:rFonts w:ascii="Calibri" w:hAnsi="Calibri"/>
                <w:color w:val="000000"/>
                <w:sz w:val="20"/>
              </w:rPr>
              <w:t>Gospodarki Wodnej</w:t>
            </w:r>
            <w:r w:rsidR="00B66394">
              <w:rPr>
                <w:rFonts w:ascii="Calibri" w:hAnsi="Calibri"/>
                <w:color w:val="000000"/>
                <w:sz w:val="20"/>
              </w:rPr>
              <w:t>.</w:t>
            </w:r>
            <w:r w:rsidR="0007038B">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p>
        </w:tc>
      </w:tr>
      <w:tr w:rsidR="00286C73" w:rsidTr="00AC119E">
        <w:trPr>
          <w:trHeight w:val="113"/>
        </w:trPr>
        <w:tc>
          <w:tcPr>
            <w:tcW w:w="9062" w:type="dxa"/>
            <w:gridSpan w:val="2"/>
            <w:tcBorders>
              <w:left w:val="nil"/>
              <w:right w:val="nil"/>
            </w:tcBorders>
            <w:shd w:val="clear" w:color="auto" w:fill="FFFFFF" w:themeFill="background1"/>
          </w:tcPr>
          <w:p w:rsidR="00286C73" w:rsidRPr="00286C73" w:rsidRDefault="00286C73" w:rsidP="00841C5B">
            <w:pPr>
              <w:spacing w:line="240" w:lineRule="auto"/>
              <w:rPr>
                <w:rFonts w:ascii="Calibri" w:hAnsi="Calibri"/>
                <w:color w:val="000000"/>
                <w:sz w:val="4"/>
              </w:rPr>
            </w:pPr>
          </w:p>
        </w:tc>
      </w:tr>
      <w:tr w:rsidR="00EA76D8" w:rsidRPr="002E3FD4" w:rsidTr="00AC119E">
        <w:trPr>
          <w:trHeight w:val="168"/>
        </w:trPr>
        <w:tc>
          <w:tcPr>
            <w:tcW w:w="9062" w:type="dxa"/>
            <w:gridSpan w:val="2"/>
            <w:tcBorders>
              <w:bottom w:val="single" w:sz="4" w:space="0" w:color="auto"/>
              <w:right w:val="single" w:sz="8" w:space="0" w:color="auto"/>
            </w:tcBorders>
            <w:shd w:val="clear" w:color="auto" w:fill="538135" w:themeFill="accent6" w:themeFillShade="BF"/>
          </w:tcPr>
          <w:p w:rsidR="00EA76D8" w:rsidRPr="00903FF7" w:rsidRDefault="00EA76D8" w:rsidP="00EA76D8">
            <w:pPr>
              <w:jc w:val="center"/>
              <w:rPr>
                <w:rFonts w:ascii="Calibri" w:hAnsi="Calibri"/>
                <w:b/>
                <w:color w:val="000000"/>
                <w:sz w:val="20"/>
              </w:rPr>
            </w:pPr>
            <w:r w:rsidRPr="00903FF7">
              <w:rPr>
                <w:rFonts w:ascii="Calibri" w:hAnsi="Calibri"/>
                <w:b/>
                <w:color w:val="FFFFFF" w:themeColor="background1"/>
                <w:sz w:val="22"/>
              </w:rPr>
              <w:t>Wskaźniki rezultatu dla Celu operacyjnego V.1</w:t>
            </w:r>
          </w:p>
        </w:tc>
      </w:tr>
      <w:tr w:rsidR="00EA76D8" w:rsidRPr="00FE0E55" w:rsidTr="00AC119E">
        <w:trPr>
          <w:trHeight w:val="168"/>
        </w:trPr>
        <w:tc>
          <w:tcPr>
            <w:tcW w:w="9062" w:type="dxa"/>
            <w:gridSpan w:val="2"/>
            <w:tcBorders>
              <w:bottom w:val="single" w:sz="4" w:space="0" w:color="auto"/>
              <w:right w:val="single" w:sz="8" w:space="0" w:color="auto"/>
            </w:tcBorders>
            <w:shd w:val="clear" w:color="auto" w:fill="E2EFD9" w:themeFill="accent6" w:themeFillTint="33"/>
          </w:tcPr>
          <w:p w:rsidR="002E3A5F" w:rsidRPr="002E3A5F" w:rsidRDefault="002E3A5F" w:rsidP="002E3A5F">
            <w:pPr>
              <w:pStyle w:val="Akapitzlist"/>
              <w:numPr>
                <w:ilvl w:val="0"/>
                <w:numId w:val="58"/>
              </w:numPr>
              <w:rPr>
                <w:rFonts w:ascii="Calibri" w:hAnsi="Calibri"/>
                <w:b/>
                <w:color w:val="000000"/>
                <w:sz w:val="20"/>
              </w:rPr>
            </w:pPr>
            <w:r w:rsidRPr="002E3A5F">
              <w:rPr>
                <w:rFonts w:ascii="Calibri" w:hAnsi="Calibri"/>
                <w:b/>
                <w:color w:val="000000"/>
                <w:sz w:val="20"/>
              </w:rPr>
              <w:t>Powierzchnia obszarów  zrewitalizowanych cennych przyrodniczo</w:t>
            </w:r>
            <w:r>
              <w:rPr>
                <w:rFonts w:ascii="Calibri" w:hAnsi="Calibri"/>
                <w:b/>
                <w:color w:val="000000"/>
                <w:sz w:val="20"/>
              </w:rPr>
              <w:t>;</w:t>
            </w:r>
            <w:r w:rsidRPr="002E3A5F">
              <w:rPr>
                <w:rFonts w:ascii="Calibri" w:hAnsi="Calibri"/>
                <w:b/>
                <w:color w:val="000000"/>
                <w:sz w:val="20"/>
              </w:rPr>
              <w:t xml:space="preserve"> </w:t>
            </w:r>
          </w:p>
          <w:p w:rsidR="00903FF7" w:rsidRPr="0004045C" w:rsidRDefault="002E3A5F" w:rsidP="002E3A5F">
            <w:pPr>
              <w:pStyle w:val="Akapitzlist"/>
              <w:numPr>
                <w:ilvl w:val="0"/>
                <w:numId w:val="58"/>
              </w:numPr>
              <w:rPr>
                <w:rFonts w:ascii="Calibri" w:hAnsi="Calibri"/>
                <w:b/>
                <w:color w:val="000000"/>
                <w:sz w:val="20"/>
              </w:rPr>
            </w:pPr>
            <w:r w:rsidRPr="002E3A5F">
              <w:rPr>
                <w:rFonts w:ascii="Calibri" w:hAnsi="Calibri"/>
                <w:b/>
                <w:color w:val="000000"/>
                <w:sz w:val="20"/>
              </w:rPr>
              <w:t>Liczba zorganizowanych imprez na terenie obiektów</w:t>
            </w:r>
            <w:r>
              <w:rPr>
                <w:rFonts w:ascii="Calibri" w:hAnsi="Calibri"/>
                <w:b/>
                <w:color w:val="000000"/>
                <w:sz w:val="20"/>
              </w:rPr>
              <w:t>;</w:t>
            </w:r>
          </w:p>
        </w:tc>
      </w:tr>
      <w:tr w:rsidR="00EA76D8" w:rsidRPr="0006541D" w:rsidTr="00AC119E">
        <w:trPr>
          <w:trHeight w:val="113"/>
        </w:trPr>
        <w:tc>
          <w:tcPr>
            <w:tcW w:w="9062" w:type="dxa"/>
            <w:gridSpan w:val="2"/>
            <w:tcBorders>
              <w:left w:val="nil"/>
              <w:right w:val="nil"/>
            </w:tcBorders>
            <w:shd w:val="clear" w:color="auto" w:fill="FFFFFF" w:themeFill="background1"/>
          </w:tcPr>
          <w:p w:rsidR="00EA76D8" w:rsidRPr="00903FF7" w:rsidRDefault="00EA76D8" w:rsidP="00B73014">
            <w:pPr>
              <w:rPr>
                <w:rFonts w:ascii="Calibri" w:hAnsi="Calibri"/>
                <w:b/>
                <w:color w:val="000000"/>
                <w:sz w:val="2"/>
              </w:rPr>
            </w:pPr>
          </w:p>
        </w:tc>
      </w:tr>
      <w:tr w:rsidR="003401CA" w:rsidTr="00AC119E">
        <w:trPr>
          <w:trHeight w:val="850"/>
        </w:trPr>
        <w:tc>
          <w:tcPr>
            <w:tcW w:w="2552" w:type="dxa"/>
            <w:tcBorders>
              <w:right w:val="single" w:sz="4" w:space="0" w:color="auto"/>
            </w:tcBorders>
            <w:shd w:val="clear" w:color="auto" w:fill="A8D08D" w:themeFill="accent6" w:themeFillTint="99"/>
          </w:tcPr>
          <w:p w:rsidR="003401CA" w:rsidRPr="00A45758" w:rsidRDefault="003401CA" w:rsidP="00841C5B">
            <w:pPr>
              <w:rPr>
                <w:rFonts w:asciiTheme="minorHAnsi" w:hAnsiTheme="minorHAnsi"/>
                <w:sz w:val="22"/>
              </w:rPr>
            </w:pPr>
            <w:r w:rsidRPr="00A45758">
              <w:rPr>
                <w:rFonts w:asciiTheme="minorHAnsi" w:hAnsiTheme="minorHAnsi"/>
                <w:b/>
                <w:bCs/>
                <w:sz w:val="22"/>
              </w:rPr>
              <w:t>Cel o</w:t>
            </w:r>
            <w:r>
              <w:rPr>
                <w:rFonts w:asciiTheme="minorHAnsi" w:hAnsiTheme="minorHAnsi"/>
                <w:b/>
                <w:bCs/>
                <w:sz w:val="22"/>
              </w:rPr>
              <w:t>peracyjny V.2 - Zintegrowanie i </w:t>
            </w:r>
            <w:r w:rsidRPr="00A45758">
              <w:rPr>
                <w:rFonts w:asciiTheme="minorHAnsi" w:hAnsiTheme="minorHAnsi"/>
                <w:b/>
                <w:bCs/>
                <w:sz w:val="22"/>
              </w:rPr>
              <w:t>wzmocnienie systemów przeciwdziałania oraz ograniczania skutków powodzi i innych zjawisk ekstremalnych</w:t>
            </w:r>
          </w:p>
          <w:p w:rsidR="003401CA" w:rsidRPr="00A45758" w:rsidRDefault="003401CA" w:rsidP="00841C5B">
            <w:pPr>
              <w:rPr>
                <w:rFonts w:asciiTheme="minorHAnsi" w:hAnsiTheme="minorHAnsi"/>
                <w:sz w:val="22"/>
              </w:rPr>
            </w:pPr>
          </w:p>
        </w:tc>
        <w:tc>
          <w:tcPr>
            <w:tcW w:w="6510" w:type="dxa"/>
            <w:tcBorders>
              <w:top w:val="single" w:sz="4" w:space="0" w:color="auto"/>
              <w:left w:val="single" w:sz="4" w:space="0" w:color="auto"/>
              <w:right w:val="single" w:sz="4" w:space="0" w:color="auto"/>
            </w:tcBorders>
            <w:shd w:val="clear" w:color="auto" w:fill="E2EFD9" w:themeFill="accent6" w:themeFillTint="33"/>
          </w:tcPr>
          <w:p w:rsidR="003401CA" w:rsidRDefault="003401CA" w:rsidP="003401CA">
            <w:pPr>
              <w:spacing w:line="240" w:lineRule="auto"/>
              <w:rPr>
                <w:rFonts w:ascii="Calibri" w:hAnsi="Calibri"/>
                <w:color w:val="000000"/>
                <w:sz w:val="20"/>
              </w:rPr>
            </w:pPr>
            <w:r>
              <w:rPr>
                <w:rFonts w:ascii="Calibri" w:hAnsi="Calibri"/>
                <w:color w:val="000000"/>
                <w:sz w:val="20"/>
              </w:rPr>
              <w:t xml:space="preserve">W kolejnych latach nie należy zapominać o wzmacnianiu ochrony przed zagrożeniami naturalnymi, a w szczególności przed powodziami. Konieczna jest dalsza </w:t>
            </w:r>
            <w:r w:rsidRPr="00ED2949">
              <w:rPr>
                <w:rFonts w:ascii="Calibri" w:hAnsi="Calibri"/>
                <w:b/>
                <w:color w:val="000000"/>
                <w:sz w:val="20"/>
              </w:rPr>
              <w:t>rozbudowa, utrzymanie i konserwacja urządzeń wodnych</w:t>
            </w:r>
            <w:r>
              <w:rPr>
                <w:rFonts w:ascii="Calibri" w:hAnsi="Calibri"/>
                <w:color w:val="000000"/>
                <w:sz w:val="20"/>
              </w:rPr>
              <w:t>, w</w:t>
            </w:r>
            <w:r w:rsidR="00FE4FBA">
              <w:rPr>
                <w:rFonts w:ascii="Calibri" w:hAnsi="Calibri"/>
                <w:color w:val="000000"/>
                <w:sz w:val="20"/>
              </w:rPr>
              <w:t xml:space="preserve"> tym ochrony przeciwpowodziowej</w:t>
            </w:r>
            <w:r>
              <w:rPr>
                <w:rFonts w:ascii="Calibri" w:hAnsi="Calibri"/>
                <w:color w:val="000000"/>
                <w:sz w:val="20"/>
              </w:rPr>
              <w:t>, ale także</w:t>
            </w:r>
            <w:r w:rsidR="00FE4FBA">
              <w:rPr>
                <w:rFonts w:ascii="Calibri" w:hAnsi="Calibri"/>
                <w:color w:val="000000"/>
                <w:sz w:val="20"/>
              </w:rPr>
              <w:t xml:space="preserve"> </w:t>
            </w:r>
            <w:r w:rsidR="00FE4FBA" w:rsidRPr="00FE4FBA">
              <w:rPr>
                <w:rFonts w:ascii="Calibri" w:hAnsi="Calibri"/>
                <w:b/>
                <w:color w:val="000000"/>
                <w:sz w:val="20"/>
              </w:rPr>
              <w:t>budowa i przebudowa infrastruktury odprowadzającej wody opadowe z terenu miasta</w:t>
            </w:r>
            <w:r w:rsidR="00FE4FBA">
              <w:rPr>
                <w:rFonts w:ascii="Calibri" w:hAnsi="Calibri"/>
                <w:color w:val="000000"/>
                <w:sz w:val="20"/>
              </w:rPr>
              <w:t>.</w:t>
            </w:r>
            <w:r>
              <w:rPr>
                <w:rFonts w:ascii="Calibri" w:hAnsi="Calibri"/>
                <w:color w:val="000000"/>
                <w:sz w:val="20"/>
              </w:rPr>
              <w:t xml:space="preserve"> Należy także dążyć do przyśpieszenia czasu reakcji służb bezpieczeństwa</w:t>
            </w:r>
            <w:r w:rsidR="00FE4FBA">
              <w:rPr>
                <w:rFonts w:ascii="Calibri" w:hAnsi="Calibri"/>
                <w:color w:val="000000"/>
                <w:sz w:val="20"/>
              </w:rPr>
              <w:t xml:space="preserve"> oraz alarmowania ludności o zagrożeniach</w:t>
            </w:r>
            <w:r w:rsidR="00561BB5">
              <w:rPr>
                <w:rFonts w:ascii="Calibri" w:hAnsi="Calibri"/>
                <w:color w:val="000000"/>
                <w:sz w:val="20"/>
              </w:rPr>
              <w:t>,</w:t>
            </w:r>
            <w:r w:rsidR="00FE4FBA">
              <w:rPr>
                <w:rFonts w:ascii="Calibri" w:hAnsi="Calibri"/>
                <w:color w:val="000000"/>
                <w:sz w:val="20"/>
              </w:rPr>
              <w:t xml:space="preserve"> doskonaląc</w:t>
            </w:r>
            <w:r>
              <w:rPr>
                <w:rFonts w:ascii="Calibri" w:hAnsi="Calibri"/>
                <w:color w:val="000000"/>
                <w:sz w:val="20"/>
              </w:rPr>
              <w:t xml:space="preserve"> </w:t>
            </w:r>
            <w:r w:rsidR="00FE4FBA">
              <w:rPr>
                <w:rFonts w:ascii="Calibri" w:hAnsi="Calibri"/>
                <w:b/>
                <w:color w:val="000000"/>
                <w:sz w:val="20"/>
              </w:rPr>
              <w:t>zintegrowany system</w:t>
            </w:r>
            <w:r w:rsidRPr="00ED2949">
              <w:rPr>
                <w:rFonts w:ascii="Calibri" w:hAnsi="Calibri"/>
                <w:b/>
                <w:color w:val="000000"/>
                <w:sz w:val="20"/>
              </w:rPr>
              <w:t xml:space="preserve"> ostrzegania i alarmowania</w:t>
            </w:r>
            <w:r>
              <w:rPr>
                <w:rFonts w:ascii="Calibri" w:hAnsi="Calibri"/>
                <w:color w:val="000000"/>
                <w:sz w:val="20"/>
              </w:rPr>
              <w:t xml:space="preserve"> ludności, a także </w:t>
            </w:r>
            <w:r w:rsidR="00FE4FBA">
              <w:rPr>
                <w:rFonts w:ascii="Calibri" w:hAnsi="Calibri"/>
                <w:color w:val="000000"/>
                <w:sz w:val="20"/>
              </w:rPr>
              <w:t xml:space="preserve">przygotowując </w:t>
            </w:r>
            <w:r w:rsidRPr="00ED2949">
              <w:rPr>
                <w:rFonts w:ascii="Calibri" w:hAnsi="Calibri"/>
                <w:b/>
                <w:color w:val="000000"/>
                <w:sz w:val="20"/>
              </w:rPr>
              <w:t>mobilne zabezpieczenia przeciwpowodziowe</w:t>
            </w:r>
            <w:r>
              <w:rPr>
                <w:rFonts w:ascii="Calibri" w:hAnsi="Calibri"/>
                <w:color w:val="000000"/>
                <w:sz w:val="20"/>
              </w:rPr>
              <w:t xml:space="preserve"> umożliwiające elastyczne reagowanie na występujące zagrożenia powodziowe na terenie miasta.</w:t>
            </w:r>
          </w:p>
          <w:p w:rsidR="003401CA" w:rsidRDefault="003401CA" w:rsidP="003401CA">
            <w:pPr>
              <w:spacing w:line="240" w:lineRule="auto"/>
              <w:rPr>
                <w:rFonts w:ascii="Calibri" w:hAnsi="Calibri"/>
                <w:color w:val="000000"/>
                <w:sz w:val="20"/>
              </w:rPr>
            </w:pPr>
          </w:p>
          <w:p w:rsidR="003401CA" w:rsidRDefault="003401CA" w:rsidP="003401CA">
            <w:pPr>
              <w:spacing w:line="240" w:lineRule="auto"/>
              <w:rPr>
                <w:rFonts w:ascii="Calibri" w:hAnsi="Calibri"/>
                <w:color w:val="000000"/>
                <w:sz w:val="20"/>
              </w:rPr>
            </w:pPr>
            <w:r>
              <w:rPr>
                <w:rFonts w:ascii="Calibri" w:hAnsi="Calibri"/>
                <w:color w:val="000000"/>
                <w:sz w:val="20"/>
              </w:rPr>
              <w:t xml:space="preserve">Wprowadzając nowe rozwiązania i instalacje ochrony przeciwpowodziowej nie należy zapominać o estetyce miasta. Trend zwracania miasta „ku rzece” wpływa na atrakcyjność jego przestrzeni publicznych i zasobów terenów rekreacyjnych. Warto zatem przekształcać, w miarę możliwości, wały przeciwpowodziowe na </w:t>
            </w:r>
            <w:r w:rsidRPr="003401CA">
              <w:rPr>
                <w:rFonts w:ascii="Calibri" w:hAnsi="Calibri"/>
                <w:b/>
                <w:color w:val="000000"/>
                <w:sz w:val="20"/>
              </w:rPr>
              <w:t>zabudowę bulwarową</w:t>
            </w:r>
            <w:r>
              <w:rPr>
                <w:rFonts w:ascii="Calibri" w:hAnsi="Calibri"/>
                <w:color w:val="000000"/>
                <w:sz w:val="20"/>
              </w:rPr>
              <w:t xml:space="preserve"> i przywracać Kaczawę wraz z terenami przybrzeżnymi miastu i jego mieszkańcom.</w:t>
            </w:r>
          </w:p>
          <w:p w:rsidR="00451CC5" w:rsidRDefault="00451CC5" w:rsidP="003401CA">
            <w:pPr>
              <w:spacing w:line="240" w:lineRule="auto"/>
              <w:rPr>
                <w:rFonts w:ascii="Calibri" w:hAnsi="Calibri"/>
                <w:color w:val="000000"/>
                <w:sz w:val="20"/>
              </w:rPr>
            </w:pPr>
          </w:p>
          <w:p w:rsidR="008B2E68" w:rsidRPr="008B2E68" w:rsidRDefault="008B2E68" w:rsidP="008B2E68">
            <w:pPr>
              <w:spacing w:line="240" w:lineRule="auto"/>
              <w:rPr>
                <w:rFonts w:ascii="Calibri" w:hAnsi="Calibri"/>
                <w:color w:val="000000"/>
                <w:sz w:val="20"/>
              </w:rPr>
            </w:pPr>
            <w:r w:rsidRPr="008B2E68">
              <w:rPr>
                <w:rFonts w:ascii="Calibri" w:hAnsi="Calibri"/>
                <w:color w:val="000000"/>
                <w:sz w:val="20"/>
              </w:rPr>
              <w:t>Zadaniami głównymi będą:</w:t>
            </w:r>
          </w:p>
          <w:p w:rsidR="009F2099" w:rsidRPr="008B2E68" w:rsidRDefault="00B738E4" w:rsidP="0062416A">
            <w:pPr>
              <w:numPr>
                <w:ilvl w:val="0"/>
                <w:numId w:val="108"/>
              </w:numPr>
              <w:spacing w:line="240" w:lineRule="auto"/>
              <w:rPr>
                <w:rFonts w:ascii="Calibri" w:hAnsi="Calibri"/>
                <w:color w:val="000000"/>
                <w:sz w:val="20"/>
              </w:rPr>
            </w:pPr>
            <w:r w:rsidRPr="008B2E68">
              <w:rPr>
                <w:rFonts w:ascii="Calibri" w:hAnsi="Calibri"/>
                <w:b/>
                <w:bCs/>
                <w:color w:val="000000"/>
                <w:sz w:val="20"/>
              </w:rPr>
              <w:t>Dążenie do zrealizowania inwestycji na rzekach Kaczawa i Czarna Woda ograniczających zagrożenie powodziowe Legnicy (suchy zbiornik Rzymówka, polder Rzeszotary);</w:t>
            </w:r>
          </w:p>
          <w:p w:rsidR="009F2099" w:rsidRPr="008B2E68" w:rsidRDefault="00B738E4" w:rsidP="0062416A">
            <w:pPr>
              <w:numPr>
                <w:ilvl w:val="0"/>
                <w:numId w:val="108"/>
              </w:numPr>
              <w:spacing w:line="240" w:lineRule="auto"/>
              <w:rPr>
                <w:rFonts w:ascii="Calibri" w:hAnsi="Calibri"/>
                <w:color w:val="000000"/>
                <w:sz w:val="20"/>
              </w:rPr>
            </w:pPr>
            <w:r w:rsidRPr="008B2E68">
              <w:rPr>
                <w:rFonts w:ascii="Calibri" w:hAnsi="Calibri"/>
                <w:b/>
                <w:bCs/>
                <w:color w:val="000000"/>
                <w:sz w:val="20"/>
              </w:rPr>
              <w:lastRenderedPageBreak/>
              <w:t>Modernizacja, utrzymanie i konserwacja urządzeń wodnych, w tym ochrony p/powodziowej na obszarze miasta;</w:t>
            </w:r>
          </w:p>
          <w:p w:rsidR="009F2099" w:rsidRPr="008B2E68" w:rsidRDefault="00B738E4" w:rsidP="0062416A">
            <w:pPr>
              <w:numPr>
                <w:ilvl w:val="0"/>
                <w:numId w:val="108"/>
              </w:numPr>
              <w:spacing w:line="240" w:lineRule="auto"/>
              <w:rPr>
                <w:rFonts w:ascii="Calibri" w:hAnsi="Calibri"/>
                <w:color w:val="000000"/>
                <w:sz w:val="20"/>
              </w:rPr>
            </w:pPr>
            <w:r w:rsidRPr="008B2E68">
              <w:rPr>
                <w:rFonts w:ascii="Calibri" w:hAnsi="Calibri"/>
                <w:b/>
                <w:bCs/>
                <w:color w:val="000000"/>
                <w:sz w:val="20"/>
              </w:rPr>
              <w:t>Budowa lub przebudowa systemu odprowadzającego wody opadowe z wykorzystaniem samoczynnych przepompowni na wylotach kolektorów zbiorczych kanalizacji burzowej, utwardzenie dróg dojazdowych do urządzeń systemu;</w:t>
            </w:r>
          </w:p>
          <w:p w:rsidR="009F2099" w:rsidRPr="008B2E68" w:rsidRDefault="00B738E4" w:rsidP="0062416A">
            <w:pPr>
              <w:numPr>
                <w:ilvl w:val="0"/>
                <w:numId w:val="108"/>
              </w:numPr>
              <w:spacing w:line="240" w:lineRule="auto"/>
              <w:rPr>
                <w:rFonts w:ascii="Calibri" w:hAnsi="Calibri"/>
                <w:color w:val="000000"/>
                <w:sz w:val="20"/>
              </w:rPr>
            </w:pPr>
            <w:r w:rsidRPr="008B2E68">
              <w:rPr>
                <w:rFonts w:ascii="Calibri" w:hAnsi="Calibri"/>
                <w:b/>
                <w:bCs/>
                <w:color w:val="000000"/>
                <w:sz w:val="20"/>
              </w:rPr>
              <w:t>Przywrócenie Kaczawy i terenów przybrzeżnych miastu i jego mieszkańcom - zabudowa bulwarowa</w:t>
            </w:r>
            <w:r w:rsidR="00561BB5">
              <w:rPr>
                <w:rFonts w:ascii="Calibri" w:hAnsi="Calibri"/>
                <w:b/>
                <w:bCs/>
                <w:color w:val="000000"/>
                <w:sz w:val="20"/>
              </w:rPr>
              <w:t xml:space="preserve"> wzdłuż</w:t>
            </w:r>
            <w:r w:rsidRPr="008B2E68">
              <w:rPr>
                <w:rFonts w:ascii="Calibri" w:hAnsi="Calibri"/>
                <w:b/>
                <w:bCs/>
                <w:color w:val="000000"/>
                <w:sz w:val="20"/>
              </w:rPr>
              <w:t xml:space="preserve"> wałów przeciwpowodziowych (od strony ul. Nadbrzeżnej);</w:t>
            </w:r>
          </w:p>
          <w:p w:rsidR="008B2E68" w:rsidRPr="008B2E68" w:rsidRDefault="008B2E68" w:rsidP="008B2E68">
            <w:pPr>
              <w:spacing w:line="240" w:lineRule="auto"/>
              <w:ind w:left="720"/>
              <w:rPr>
                <w:rFonts w:ascii="Calibri" w:hAnsi="Calibri"/>
                <w:color w:val="000000"/>
                <w:sz w:val="20"/>
              </w:rPr>
            </w:pPr>
          </w:p>
          <w:p w:rsidR="008B2E68" w:rsidRPr="008B2E68" w:rsidRDefault="008B2E68" w:rsidP="008B2E68">
            <w:pPr>
              <w:spacing w:line="240" w:lineRule="auto"/>
              <w:rPr>
                <w:rFonts w:ascii="Calibri" w:hAnsi="Calibri"/>
                <w:color w:val="000000"/>
                <w:sz w:val="20"/>
              </w:rPr>
            </w:pPr>
            <w:r w:rsidRPr="008B2E68">
              <w:rPr>
                <w:rFonts w:ascii="Calibri" w:hAnsi="Calibri"/>
                <w:color w:val="000000"/>
                <w:sz w:val="20"/>
              </w:rPr>
              <w:t>Zadaniami uzupełniającymi będą:</w:t>
            </w:r>
          </w:p>
          <w:p w:rsidR="009F2099" w:rsidRPr="008B2E68" w:rsidRDefault="00B738E4" w:rsidP="0062416A">
            <w:pPr>
              <w:numPr>
                <w:ilvl w:val="0"/>
                <w:numId w:val="109"/>
              </w:numPr>
              <w:spacing w:line="240" w:lineRule="auto"/>
              <w:rPr>
                <w:rFonts w:ascii="Calibri" w:hAnsi="Calibri"/>
                <w:color w:val="000000"/>
                <w:sz w:val="20"/>
              </w:rPr>
            </w:pPr>
            <w:r w:rsidRPr="008B2E68">
              <w:rPr>
                <w:rFonts w:ascii="Calibri" w:hAnsi="Calibri"/>
                <w:b/>
                <w:bCs/>
                <w:color w:val="000000"/>
                <w:sz w:val="20"/>
              </w:rPr>
              <w:t>Doskonalenie zintegrowanego systemu ostrzegania i alarmowania ludności o zagrożeniach;</w:t>
            </w:r>
          </w:p>
          <w:p w:rsidR="009F2099" w:rsidRPr="008B2E68" w:rsidRDefault="00B738E4" w:rsidP="0062416A">
            <w:pPr>
              <w:numPr>
                <w:ilvl w:val="0"/>
                <w:numId w:val="109"/>
              </w:numPr>
              <w:spacing w:line="240" w:lineRule="auto"/>
              <w:rPr>
                <w:rFonts w:ascii="Calibri" w:hAnsi="Calibri"/>
                <w:color w:val="000000"/>
                <w:sz w:val="20"/>
              </w:rPr>
            </w:pPr>
            <w:r w:rsidRPr="008B2E68">
              <w:rPr>
                <w:rFonts w:ascii="Calibri" w:hAnsi="Calibri"/>
                <w:b/>
                <w:bCs/>
                <w:color w:val="000000"/>
                <w:sz w:val="20"/>
              </w:rPr>
              <w:t>Promocja miasta przygotowanego do walki z zagrożeniami naturalnymi;</w:t>
            </w:r>
          </w:p>
          <w:p w:rsidR="00F967A4" w:rsidRPr="00F967A4" w:rsidRDefault="00F967A4" w:rsidP="00F967A4">
            <w:pPr>
              <w:pStyle w:val="Akapitzlist"/>
              <w:spacing w:line="240" w:lineRule="auto"/>
              <w:rPr>
                <w:rFonts w:ascii="Calibri" w:hAnsi="Calibri"/>
                <w:color w:val="000000"/>
                <w:sz w:val="20"/>
              </w:rPr>
            </w:pPr>
          </w:p>
          <w:p w:rsidR="000341F1" w:rsidRPr="000341F1" w:rsidRDefault="000341F1" w:rsidP="000341F1">
            <w:pPr>
              <w:spacing w:line="240" w:lineRule="auto"/>
              <w:rPr>
                <w:rFonts w:ascii="Calibri" w:hAnsi="Calibri"/>
                <w:color w:val="000000"/>
                <w:sz w:val="20"/>
              </w:rPr>
            </w:pPr>
            <w:r>
              <w:rPr>
                <w:rFonts w:ascii="Calibri" w:hAnsi="Calibri"/>
                <w:color w:val="000000"/>
                <w:sz w:val="20"/>
              </w:rPr>
              <w:t>Pozabudżetowymi źródłami finansowania działań w zakresie ochrony przeciwpowodziowej i gospodarki wodnej mogą być: Narodowy Fundusz Gospodarki Wodnej i Ochrony Środowiska, Regionalny Program Operacyjny dla Województwa Dolnośląskiego, Prog</w:t>
            </w:r>
            <w:r w:rsidR="00FE4FBA">
              <w:rPr>
                <w:rFonts w:ascii="Calibri" w:hAnsi="Calibri"/>
                <w:color w:val="000000"/>
                <w:sz w:val="20"/>
              </w:rPr>
              <w:t>ram Operacyjny Infrastruktura i </w:t>
            </w:r>
            <w:r>
              <w:rPr>
                <w:rFonts w:ascii="Calibri" w:hAnsi="Calibri"/>
                <w:color w:val="000000"/>
                <w:sz w:val="20"/>
              </w:rPr>
              <w:t>Środowisko.</w:t>
            </w:r>
            <w:r w:rsidR="0007038B">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p>
        </w:tc>
      </w:tr>
      <w:tr w:rsidR="00286C73" w:rsidTr="00AC119E">
        <w:trPr>
          <w:trHeight w:val="113"/>
        </w:trPr>
        <w:tc>
          <w:tcPr>
            <w:tcW w:w="9062" w:type="dxa"/>
            <w:gridSpan w:val="2"/>
            <w:tcBorders>
              <w:left w:val="nil"/>
              <w:right w:val="nil"/>
            </w:tcBorders>
            <w:shd w:val="clear" w:color="auto" w:fill="FFFFFF" w:themeFill="background1"/>
          </w:tcPr>
          <w:p w:rsidR="00286C73" w:rsidRPr="00286C73" w:rsidRDefault="00286C73" w:rsidP="00841C5B">
            <w:pPr>
              <w:spacing w:line="240" w:lineRule="auto"/>
              <w:rPr>
                <w:rFonts w:ascii="Calibri" w:hAnsi="Calibri"/>
                <w:color w:val="000000"/>
                <w:sz w:val="6"/>
              </w:rPr>
            </w:pPr>
          </w:p>
        </w:tc>
      </w:tr>
      <w:tr w:rsidR="00EA76D8" w:rsidRPr="002E3FD4" w:rsidTr="00AC119E">
        <w:trPr>
          <w:trHeight w:val="168"/>
        </w:trPr>
        <w:tc>
          <w:tcPr>
            <w:tcW w:w="9062" w:type="dxa"/>
            <w:gridSpan w:val="2"/>
            <w:tcBorders>
              <w:bottom w:val="single" w:sz="4" w:space="0" w:color="auto"/>
              <w:right w:val="single" w:sz="8" w:space="0" w:color="auto"/>
            </w:tcBorders>
            <w:shd w:val="clear" w:color="auto" w:fill="538135" w:themeFill="accent6" w:themeFillShade="BF"/>
          </w:tcPr>
          <w:p w:rsidR="00EA76D8" w:rsidRPr="00903FF7" w:rsidRDefault="00EA76D8" w:rsidP="00B73014">
            <w:pPr>
              <w:jc w:val="center"/>
              <w:rPr>
                <w:rFonts w:ascii="Calibri" w:hAnsi="Calibri"/>
                <w:b/>
                <w:color w:val="000000"/>
                <w:sz w:val="20"/>
              </w:rPr>
            </w:pPr>
            <w:r w:rsidRPr="00903FF7">
              <w:rPr>
                <w:rFonts w:ascii="Calibri" w:hAnsi="Calibri"/>
                <w:b/>
                <w:color w:val="FFFFFF" w:themeColor="background1"/>
                <w:sz w:val="22"/>
              </w:rPr>
              <w:t>Wskaźniki rezultatu dla Celu operacyjnego V.2</w:t>
            </w:r>
          </w:p>
        </w:tc>
      </w:tr>
      <w:tr w:rsidR="00EA76D8" w:rsidRPr="00FE0E55" w:rsidTr="00AC119E">
        <w:trPr>
          <w:trHeight w:val="168"/>
        </w:trPr>
        <w:tc>
          <w:tcPr>
            <w:tcW w:w="9062" w:type="dxa"/>
            <w:gridSpan w:val="2"/>
            <w:tcBorders>
              <w:bottom w:val="single" w:sz="4" w:space="0" w:color="auto"/>
              <w:right w:val="single" w:sz="8" w:space="0" w:color="auto"/>
            </w:tcBorders>
            <w:shd w:val="clear" w:color="auto" w:fill="E2EFD9" w:themeFill="accent6" w:themeFillTint="33"/>
          </w:tcPr>
          <w:p w:rsidR="002E3A5F" w:rsidRPr="002E3A5F" w:rsidRDefault="002E3A5F" w:rsidP="002E3A5F">
            <w:pPr>
              <w:pStyle w:val="Akapitzlist"/>
              <w:numPr>
                <w:ilvl w:val="0"/>
                <w:numId w:val="70"/>
              </w:numPr>
              <w:rPr>
                <w:rFonts w:ascii="Calibri" w:hAnsi="Calibri"/>
                <w:b/>
                <w:color w:val="000000"/>
                <w:sz w:val="20"/>
              </w:rPr>
            </w:pPr>
            <w:r w:rsidRPr="002E3A5F">
              <w:rPr>
                <w:rFonts w:ascii="Calibri" w:hAnsi="Calibri"/>
                <w:b/>
                <w:color w:val="000000"/>
                <w:sz w:val="20"/>
              </w:rPr>
              <w:t>Długość wybudowanego/przebudowanego systemu odprowadzającego wody opadowe</w:t>
            </w:r>
            <w:r>
              <w:rPr>
                <w:rFonts w:ascii="Calibri" w:hAnsi="Calibri"/>
                <w:b/>
                <w:color w:val="000000"/>
                <w:sz w:val="20"/>
              </w:rPr>
              <w:t>;</w:t>
            </w:r>
            <w:r w:rsidRPr="002E3A5F">
              <w:rPr>
                <w:rFonts w:ascii="Calibri" w:hAnsi="Calibri"/>
                <w:b/>
                <w:color w:val="000000"/>
                <w:sz w:val="20"/>
              </w:rPr>
              <w:t xml:space="preserve">  </w:t>
            </w:r>
          </w:p>
          <w:p w:rsidR="002E3A5F" w:rsidRPr="002E3A5F" w:rsidRDefault="002E3A5F" w:rsidP="002E3A5F">
            <w:pPr>
              <w:pStyle w:val="Akapitzlist"/>
              <w:numPr>
                <w:ilvl w:val="0"/>
                <w:numId w:val="70"/>
              </w:numPr>
              <w:rPr>
                <w:rFonts w:ascii="Calibri" w:hAnsi="Calibri"/>
                <w:b/>
                <w:color w:val="000000"/>
                <w:sz w:val="20"/>
              </w:rPr>
            </w:pPr>
            <w:r w:rsidRPr="002E3A5F">
              <w:rPr>
                <w:rFonts w:ascii="Calibri" w:hAnsi="Calibri"/>
                <w:b/>
                <w:color w:val="000000"/>
                <w:sz w:val="20"/>
              </w:rPr>
              <w:t>Powierzchnia terenu objęta ochroną przeciwpowodziową</w:t>
            </w:r>
            <w:r>
              <w:rPr>
                <w:rFonts w:ascii="Calibri" w:hAnsi="Calibri"/>
                <w:b/>
                <w:color w:val="000000"/>
                <w:sz w:val="20"/>
              </w:rPr>
              <w:t>;</w:t>
            </w:r>
          </w:p>
          <w:p w:rsidR="00903FF7" w:rsidRPr="00903FF7" w:rsidRDefault="002E3A5F" w:rsidP="002E3A5F">
            <w:pPr>
              <w:pStyle w:val="Akapitzlist"/>
              <w:numPr>
                <w:ilvl w:val="0"/>
                <w:numId w:val="70"/>
              </w:numPr>
              <w:rPr>
                <w:rFonts w:ascii="Calibri" w:hAnsi="Calibri"/>
                <w:b/>
                <w:color w:val="000000"/>
                <w:sz w:val="20"/>
              </w:rPr>
            </w:pPr>
            <w:r w:rsidRPr="002E3A5F">
              <w:rPr>
                <w:rFonts w:ascii="Calibri" w:hAnsi="Calibri"/>
                <w:b/>
                <w:color w:val="000000"/>
                <w:sz w:val="20"/>
              </w:rPr>
              <w:t>Liczba osób zabezpieczonych przed powodzią</w:t>
            </w:r>
            <w:r w:rsidR="00903FF7">
              <w:rPr>
                <w:rFonts w:ascii="Calibri" w:hAnsi="Calibri"/>
                <w:b/>
                <w:color w:val="000000"/>
                <w:sz w:val="20"/>
              </w:rPr>
              <w:t>;</w:t>
            </w:r>
          </w:p>
        </w:tc>
      </w:tr>
      <w:tr w:rsidR="00EA76D8" w:rsidRPr="0006541D" w:rsidTr="00AC119E">
        <w:trPr>
          <w:trHeight w:val="113"/>
        </w:trPr>
        <w:tc>
          <w:tcPr>
            <w:tcW w:w="9062" w:type="dxa"/>
            <w:gridSpan w:val="2"/>
            <w:tcBorders>
              <w:left w:val="nil"/>
              <w:right w:val="nil"/>
            </w:tcBorders>
            <w:shd w:val="clear" w:color="auto" w:fill="FFFFFF" w:themeFill="background1"/>
          </w:tcPr>
          <w:p w:rsidR="00EA76D8" w:rsidRPr="0006541D" w:rsidRDefault="00EA76D8" w:rsidP="00B73014">
            <w:pPr>
              <w:rPr>
                <w:rFonts w:ascii="Calibri" w:hAnsi="Calibri"/>
                <w:color w:val="000000"/>
                <w:sz w:val="2"/>
              </w:rPr>
            </w:pPr>
          </w:p>
        </w:tc>
      </w:tr>
      <w:tr w:rsidR="00211A2A" w:rsidTr="00AC119E">
        <w:trPr>
          <w:trHeight w:val="1842"/>
        </w:trPr>
        <w:tc>
          <w:tcPr>
            <w:tcW w:w="2552" w:type="dxa"/>
            <w:tcBorders>
              <w:right w:val="single" w:sz="4" w:space="0" w:color="auto"/>
            </w:tcBorders>
            <w:shd w:val="clear" w:color="auto" w:fill="A8D08D" w:themeFill="accent6" w:themeFillTint="99"/>
          </w:tcPr>
          <w:p w:rsidR="00211A2A" w:rsidRPr="00A45758" w:rsidRDefault="00211A2A" w:rsidP="00211A2A">
            <w:pPr>
              <w:rPr>
                <w:rFonts w:asciiTheme="minorHAnsi" w:hAnsiTheme="minorHAnsi"/>
                <w:sz w:val="22"/>
              </w:rPr>
            </w:pPr>
            <w:r w:rsidRPr="00A45758">
              <w:rPr>
                <w:rFonts w:asciiTheme="minorHAnsi" w:hAnsiTheme="minorHAnsi"/>
                <w:b/>
                <w:bCs/>
                <w:sz w:val="22"/>
              </w:rPr>
              <w:t xml:space="preserve">Cel operacyjny V.3 </w:t>
            </w:r>
            <w:r>
              <w:rPr>
                <w:rFonts w:asciiTheme="minorHAnsi" w:hAnsiTheme="minorHAnsi"/>
                <w:b/>
                <w:bCs/>
                <w:sz w:val="22"/>
              </w:rPr>
              <w:t>–</w:t>
            </w:r>
            <w:r w:rsidRPr="00A45758">
              <w:rPr>
                <w:rFonts w:asciiTheme="minorHAnsi" w:hAnsiTheme="minorHAnsi"/>
                <w:b/>
                <w:bCs/>
                <w:sz w:val="22"/>
              </w:rPr>
              <w:t xml:space="preserve"> Zwiększenie wykorzystania technologii efektywnych energetycznie i rozwiązań służących ogran</w:t>
            </w:r>
            <w:r>
              <w:rPr>
                <w:rFonts w:asciiTheme="minorHAnsi" w:hAnsiTheme="minorHAnsi"/>
                <w:b/>
                <w:bCs/>
                <w:sz w:val="22"/>
              </w:rPr>
              <w:t>iczeniu emisji zanieczyszczeń i </w:t>
            </w:r>
            <w:r w:rsidRPr="00A45758">
              <w:rPr>
                <w:rFonts w:asciiTheme="minorHAnsi" w:hAnsiTheme="minorHAnsi"/>
                <w:b/>
                <w:bCs/>
                <w:sz w:val="22"/>
              </w:rPr>
              <w:t>substancji szkodliwych, w tym CO₂</w:t>
            </w:r>
          </w:p>
        </w:tc>
        <w:tc>
          <w:tcPr>
            <w:tcW w:w="6510" w:type="dxa"/>
            <w:tcBorders>
              <w:top w:val="single" w:sz="4" w:space="0" w:color="auto"/>
              <w:left w:val="single" w:sz="4" w:space="0" w:color="auto"/>
              <w:right w:val="single" w:sz="4" w:space="0" w:color="auto"/>
            </w:tcBorders>
            <w:shd w:val="clear" w:color="auto" w:fill="E2EFD9" w:themeFill="accent6" w:themeFillTint="33"/>
          </w:tcPr>
          <w:p w:rsidR="00211A2A" w:rsidRDefault="00211A2A" w:rsidP="00211A2A">
            <w:pPr>
              <w:spacing w:line="240" w:lineRule="auto"/>
              <w:rPr>
                <w:rFonts w:ascii="Calibri" w:hAnsi="Calibri"/>
                <w:b/>
                <w:color w:val="000000"/>
                <w:sz w:val="20"/>
              </w:rPr>
            </w:pPr>
            <w:r w:rsidRPr="00211A2A">
              <w:rPr>
                <w:rFonts w:ascii="Calibri" w:hAnsi="Calibri"/>
                <w:color w:val="000000"/>
                <w:sz w:val="20"/>
              </w:rPr>
              <w:t>Legnica</w:t>
            </w:r>
            <w:r w:rsidR="00561BB5">
              <w:rPr>
                <w:rFonts w:ascii="Calibri" w:hAnsi="Calibri"/>
                <w:color w:val="000000"/>
                <w:sz w:val="20"/>
              </w:rPr>
              <w:t>,</w:t>
            </w:r>
            <w:r w:rsidRPr="00211A2A">
              <w:rPr>
                <w:rFonts w:ascii="Calibri" w:hAnsi="Calibri"/>
                <w:color w:val="000000"/>
                <w:sz w:val="20"/>
              </w:rPr>
              <w:t xml:space="preserve"> podobnie jak i inne miasta w Po</w:t>
            </w:r>
            <w:r>
              <w:rPr>
                <w:rFonts w:ascii="Calibri" w:hAnsi="Calibri"/>
                <w:color w:val="000000"/>
                <w:sz w:val="20"/>
              </w:rPr>
              <w:t>lsce musi sprostać problemowi i </w:t>
            </w:r>
            <w:r w:rsidRPr="00211A2A">
              <w:rPr>
                <w:rFonts w:ascii="Calibri" w:hAnsi="Calibri"/>
                <w:color w:val="000000"/>
                <w:sz w:val="20"/>
              </w:rPr>
              <w:t>zagrożeniu jakim jest emisja zanieczyszczeń powietrza, a zwłaszcza zjawisko tzw. „niskiej emisji”. Przyjęty w 2014 r.</w:t>
            </w:r>
            <w:r w:rsidRPr="00BF74F1">
              <w:rPr>
                <w:rFonts w:ascii="Calibri" w:hAnsi="Calibri"/>
                <w:b/>
                <w:color w:val="000000"/>
                <w:sz w:val="20"/>
              </w:rPr>
              <w:t xml:space="preserve"> </w:t>
            </w:r>
            <w:r w:rsidRPr="00BF74F1">
              <w:rPr>
                <w:rFonts w:ascii="Calibri" w:hAnsi="Calibri"/>
                <w:b/>
                <w:i/>
                <w:color w:val="000000"/>
                <w:sz w:val="20"/>
              </w:rPr>
              <w:t>Program ograniczenia niskiej emisji dla miasta Legnicy</w:t>
            </w:r>
            <w:r>
              <w:rPr>
                <w:rFonts w:ascii="Calibri" w:hAnsi="Calibri"/>
                <w:color w:val="000000"/>
                <w:sz w:val="20"/>
              </w:rPr>
              <w:t xml:space="preserve"> wyznacza kierunki i zadania</w:t>
            </w:r>
            <w:r w:rsidR="00561BB5">
              <w:rPr>
                <w:rFonts w:ascii="Calibri" w:hAnsi="Calibri"/>
                <w:color w:val="000000"/>
                <w:sz w:val="20"/>
              </w:rPr>
              <w:t>,</w:t>
            </w:r>
            <w:r>
              <w:rPr>
                <w:rFonts w:ascii="Calibri" w:hAnsi="Calibri"/>
                <w:color w:val="000000"/>
                <w:sz w:val="20"/>
              </w:rPr>
              <w:t xml:space="preserve"> jakie należy podjąć, aby ograniczyć emisję zanieczyszczeń powietrza w mieście. Jego realizacja będzie ukierunkowana przede wszystkim na wymian</w:t>
            </w:r>
            <w:r w:rsidR="00561BB5">
              <w:rPr>
                <w:rFonts w:ascii="Calibri" w:hAnsi="Calibri"/>
                <w:color w:val="000000"/>
                <w:sz w:val="20"/>
              </w:rPr>
              <w:t>ę</w:t>
            </w:r>
            <w:r>
              <w:rPr>
                <w:rFonts w:ascii="Calibri" w:hAnsi="Calibri"/>
                <w:color w:val="000000"/>
                <w:sz w:val="20"/>
              </w:rPr>
              <w:t xml:space="preserve"> instalacji wentylacyjnych i grzewczych oraz modernizacji i optymalizacji źródeł ciepła w zależności od możliwości technicznych oraz finansowych. Realizacja </w:t>
            </w:r>
            <w:r w:rsidRPr="00211A2A">
              <w:rPr>
                <w:rFonts w:ascii="Calibri" w:hAnsi="Calibri"/>
                <w:i/>
                <w:color w:val="000000"/>
                <w:sz w:val="20"/>
              </w:rPr>
              <w:t xml:space="preserve">Programu </w:t>
            </w:r>
            <w:r>
              <w:rPr>
                <w:rFonts w:ascii="Calibri" w:hAnsi="Calibri"/>
                <w:color w:val="000000"/>
                <w:sz w:val="20"/>
              </w:rPr>
              <w:t xml:space="preserve">powinna zostać wsparta w kolejnych latach </w:t>
            </w:r>
            <w:r w:rsidRPr="00BF74F1">
              <w:rPr>
                <w:rFonts w:ascii="Calibri" w:hAnsi="Calibri"/>
                <w:b/>
                <w:color w:val="000000"/>
                <w:sz w:val="20"/>
              </w:rPr>
              <w:t>termomodernizacją obiektów użyteczności publicznej</w:t>
            </w:r>
            <w:r>
              <w:rPr>
                <w:rFonts w:ascii="Calibri" w:hAnsi="Calibri"/>
                <w:b/>
                <w:color w:val="000000"/>
                <w:sz w:val="20"/>
              </w:rPr>
              <w:t>, wprowadzaniem rozwiązań energooszczędnych,</w:t>
            </w:r>
            <w:r w:rsidR="001078CE">
              <w:rPr>
                <w:rFonts w:ascii="Calibri" w:hAnsi="Calibri"/>
                <w:b/>
                <w:color w:val="000000"/>
                <w:sz w:val="20"/>
              </w:rPr>
              <w:t xml:space="preserve"> rozwojem komunikacji publicznej przyjaznej środowisku,</w:t>
            </w:r>
            <w:r>
              <w:rPr>
                <w:rFonts w:ascii="Calibri" w:hAnsi="Calibri"/>
                <w:b/>
                <w:color w:val="000000"/>
                <w:sz w:val="20"/>
              </w:rPr>
              <w:t xml:space="preserve"> </w:t>
            </w:r>
            <w:r w:rsidRPr="00211A2A">
              <w:rPr>
                <w:rFonts w:ascii="Calibri" w:hAnsi="Calibri"/>
                <w:color w:val="000000"/>
                <w:sz w:val="20"/>
              </w:rPr>
              <w:t>a także</w:t>
            </w:r>
            <w:r>
              <w:rPr>
                <w:rFonts w:ascii="Calibri" w:hAnsi="Calibri"/>
                <w:b/>
                <w:color w:val="000000"/>
                <w:sz w:val="20"/>
              </w:rPr>
              <w:t xml:space="preserve"> rozbudową ścieżek rowerowych i promocją alternatywnych środków transportu.</w:t>
            </w:r>
          </w:p>
          <w:p w:rsidR="00451CC5" w:rsidRDefault="00451CC5" w:rsidP="00211A2A">
            <w:pPr>
              <w:spacing w:line="240" w:lineRule="auto"/>
              <w:rPr>
                <w:rFonts w:ascii="Calibri" w:hAnsi="Calibri"/>
                <w:b/>
                <w:color w:val="000000"/>
                <w:sz w:val="20"/>
              </w:rPr>
            </w:pPr>
          </w:p>
          <w:p w:rsidR="008B2E68" w:rsidRPr="008B2E68" w:rsidRDefault="008B2E68" w:rsidP="008B2E68">
            <w:pPr>
              <w:spacing w:line="240" w:lineRule="auto"/>
              <w:rPr>
                <w:rFonts w:ascii="Calibri" w:hAnsi="Calibri"/>
                <w:color w:val="000000"/>
                <w:sz w:val="20"/>
              </w:rPr>
            </w:pPr>
            <w:r w:rsidRPr="008B2E68">
              <w:rPr>
                <w:rFonts w:ascii="Calibri" w:hAnsi="Calibri"/>
                <w:color w:val="000000"/>
                <w:sz w:val="20"/>
              </w:rPr>
              <w:t>Zadaniami głównymi będą:</w:t>
            </w:r>
          </w:p>
          <w:p w:rsidR="009F2099" w:rsidRPr="008B2E68" w:rsidRDefault="00B738E4" w:rsidP="0062416A">
            <w:pPr>
              <w:numPr>
                <w:ilvl w:val="0"/>
                <w:numId w:val="110"/>
              </w:numPr>
              <w:spacing w:line="240" w:lineRule="auto"/>
              <w:rPr>
                <w:rFonts w:ascii="Calibri" w:hAnsi="Calibri"/>
                <w:color w:val="000000"/>
                <w:sz w:val="20"/>
              </w:rPr>
            </w:pPr>
            <w:r w:rsidRPr="008B2E68">
              <w:rPr>
                <w:rFonts w:ascii="Calibri" w:hAnsi="Calibri"/>
                <w:b/>
                <w:bCs/>
                <w:color w:val="000000"/>
                <w:sz w:val="20"/>
              </w:rPr>
              <w:t>Realizacja Programu ograniczenia niskiej emisji dla miasta Legnicy;</w:t>
            </w:r>
          </w:p>
          <w:p w:rsidR="009F2099" w:rsidRPr="008B2E68" w:rsidRDefault="00B738E4" w:rsidP="0062416A">
            <w:pPr>
              <w:numPr>
                <w:ilvl w:val="0"/>
                <w:numId w:val="110"/>
              </w:numPr>
              <w:spacing w:line="240" w:lineRule="auto"/>
              <w:rPr>
                <w:rFonts w:ascii="Calibri" w:hAnsi="Calibri"/>
                <w:color w:val="000000"/>
                <w:sz w:val="20"/>
              </w:rPr>
            </w:pPr>
            <w:r w:rsidRPr="008B2E68">
              <w:rPr>
                <w:rFonts w:ascii="Calibri" w:hAnsi="Calibri"/>
                <w:b/>
                <w:bCs/>
                <w:color w:val="000000"/>
                <w:sz w:val="20"/>
              </w:rPr>
              <w:t>Termomodernizacja obiektów użyteczności publicznej;</w:t>
            </w:r>
          </w:p>
          <w:p w:rsidR="009F2099" w:rsidRPr="008B2E68" w:rsidRDefault="00B738E4" w:rsidP="0062416A">
            <w:pPr>
              <w:numPr>
                <w:ilvl w:val="0"/>
                <w:numId w:val="110"/>
              </w:numPr>
              <w:spacing w:line="240" w:lineRule="auto"/>
              <w:rPr>
                <w:rFonts w:ascii="Calibri" w:hAnsi="Calibri"/>
                <w:color w:val="000000"/>
                <w:sz w:val="20"/>
              </w:rPr>
            </w:pPr>
            <w:r w:rsidRPr="008B2E68">
              <w:rPr>
                <w:rFonts w:ascii="Calibri" w:hAnsi="Calibri"/>
                <w:b/>
                <w:bCs/>
                <w:color w:val="000000"/>
                <w:sz w:val="20"/>
              </w:rPr>
              <w:t>Budowa ścieżek rowerowych i promocja korzystania z roweru, jako środka lokomocji;</w:t>
            </w:r>
          </w:p>
          <w:p w:rsidR="004A0B17" w:rsidRPr="004A0B17" w:rsidRDefault="00B738E4" w:rsidP="0062416A">
            <w:pPr>
              <w:numPr>
                <w:ilvl w:val="0"/>
                <w:numId w:val="110"/>
              </w:numPr>
              <w:spacing w:line="240" w:lineRule="auto"/>
              <w:rPr>
                <w:rFonts w:ascii="Calibri" w:hAnsi="Calibri"/>
                <w:color w:val="000000"/>
                <w:sz w:val="20"/>
              </w:rPr>
            </w:pPr>
            <w:r w:rsidRPr="008B2E68">
              <w:rPr>
                <w:rFonts w:ascii="Calibri" w:hAnsi="Calibri"/>
                <w:b/>
                <w:bCs/>
                <w:color w:val="000000"/>
                <w:sz w:val="20"/>
              </w:rPr>
              <w:t>Kontynuacja wymiany taboru autobusowego MPK na autobusy z napędem ekologicznym;</w:t>
            </w:r>
          </w:p>
          <w:p w:rsidR="001A12B7" w:rsidRPr="001A12B7" w:rsidRDefault="001A12B7" w:rsidP="001A12B7">
            <w:pPr>
              <w:spacing w:line="240" w:lineRule="auto"/>
              <w:rPr>
                <w:rFonts w:ascii="Calibri" w:hAnsi="Calibri"/>
                <w:color w:val="000000"/>
                <w:sz w:val="20"/>
              </w:rPr>
            </w:pPr>
          </w:p>
          <w:p w:rsidR="008B2E68" w:rsidRPr="008B2E68" w:rsidRDefault="008B2E68" w:rsidP="008B2E68">
            <w:pPr>
              <w:spacing w:line="240" w:lineRule="auto"/>
              <w:rPr>
                <w:rFonts w:ascii="Calibri" w:hAnsi="Calibri"/>
                <w:color w:val="000000"/>
                <w:sz w:val="20"/>
              </w:rPr>
            </w:pPr>
            <w:r w:rsidRPr="008B2E68">
              <w:rPr>
                <w:rFonts w:ascii="Calibri" w:hAnsi="Calibri"/>
                <w:color w:val="000000"/>
                <w:sz w:val="20"/>
              </w:rPr>
              <w:t>Zadaniami uzupełniającymi będą:</w:t>
            </w:r>
          </w:p>
          <w:p w:rsidR="009F2099" w:rsidRPr="008B2E68" w:rsidRDefault="00B738E4" w:rsidP="0062416A">
            <w:pPr>
              <w:numPr>
                <w:ilvl w:val="0"/>
                <w:numId w:val="111"/>
              </w:numPr>
              <w:spacing w:line="240" w:lineRule="auto"/>
              <w:rPr>
                <w:rFonts w:ascii="Calibri" w:hAnsi="Calibri"/>
                <w:color w:val="000000"/>
                <w:sz w:val="20"/>
              </w:rPr>
            </w:pPr>
            <w:r w:rsidRPr="008B2E68">
              <w:rPr>
                <w:rFonts w:ascii="Calibri" w:hAnsi="Calibri"/>
                <w:b/>
                <w:bCs/>
                <w:color w:val="000000"/>
                <w:sz w:val="20"/>
              </w:rPr>
              <w:t>Opracowanie studium komunikacyjnego;</w:t>
            </w:r>
          </w:p>
          <w:p w:rsidR="009F2099" w:rsidRPr="008B2E68" w:rsidRDefault="00B738E4" w:rsidP="0062416A">
            <w:pPr>
              <w:numPr>
                <w:ilvl w:val="0"/>
                <w:numId w:val="111"/>
              </w:numPr>
              <w:spacing w:line="240" w:lineRule="auto"/>
              <w:rPr>
                <w:rFonts w:ascii="Calibri" w:hAnsi="Calibri"/>
                <w:color w:val="000000"/>
                <w:sz w:val="20"/>
              </w:rPr>
            </w:pPr>
            <w:r w:rsidRPr="008B2E68">
              <w:rPr>
                <w:rFonts w:ascii="Calibri" w:hAnsi="Calibri"/>
                <w:b/>
                <w:bCs/>
                <w:color w:val="000000"/>
                <w:sz w:val="20"/>
              </w:rPr>
              <w:t>Wykorzystanie istniejących linii kolejowych do wzbogacenia oferty komunikacyjnej miasta;</w:t>
            </w:r>
          </w:p>
          <w:p w:rsidR="009F2099" w:rsidRPr="008B2E68" w:rsidRDefault="00B738E4" w:rsidP="0062416A">
            <w:pPr>
              <w:numPr>
                <w:ilvl w:val="0"/>
                <w:numId w:val="111"/>
              </w:numPr>
              <w:spacing w:line="240" w:lineRule="auto"/>
              <w:rPr>
                <w:rFonts w:ascii="Calibri" w:hAnsi="Calibri"/>
                <w:color w:val="000000"/>
                <w:sz w:val="20"/>
              </w:rPr>
            </w:pPr>
            <w:r w:rsidRPr="008B2E68">
              <w:rPr>
                <w:rFonts w:ascii="Calibri" w:hAnsi="Calibri"/>
                <w:b/>
                <w:bCs/>
                <w:color w:val="000000"/>
                <w:sz w:val="20"/>
              </w:rPr>
              <w:t xml:space="preserve">Kontynuacja działań w zakresie rozwiązań energooszczędnych </w:t>
            </w:r>
            <w:r w:rsidRPr="008B2E68">
              <w:rPr>
                <w:rFonts w:ascii="Calibri" w:hAnsi="Calibri"/>
                <w:b/>
                <w:bCs/>
                <w:color w:val="000000"/>
                <w:sz w:val="20"/>
              </w:rPr>
              <w:lastRenderedPageBreak/>
              <w:t>w bazie oświatowej – termomodernizacje, przebudowa, wymiana instalacji elektrycznych, centralnego ogrzewania, budowa kolektorów słonecznych;</w:t>
            </w:r>
          </w:p>
          <w:p w:rsidR="009F2099" w:rsidRPr="008B2E68" w:rsidRDefault="00B738E4" w:rsidP="0062416A">
            <w:pPr>
              <w:numPr>
                <w:ilvl w:val="0"/>
                <w:numId w:val="111"/>
              </w:numPr>
              <w:spacing w:line="240" w:lineRule="auto"/>
              <w:rPr>
                <w:rFonts w:ascii="Calibri" w:hAnsi="Calibri"/>
                <w:color w:val="000000"/>
                <w:sz w:val="20"/>
              </w:rPr>
            </w:pPr>
            <w:r w:rsidRPr="008B2E68">
              <w:rPr>
                <w:rFonts w:ascii="Calibri" w:hAnsi="Calibri"/>
                <w:b/>
                <w:bCs/>
                <w:color w:val="000000"/>
                <w:sz w:val="20"/>
              </w:rPr>
              <w:t>Działania na rzecz odnawialnych źródeł energii;</w:t>
            </w:r>
          </w:p>
          <w:p w:rsidR="009F2099" w:rsidRPr="008B2E68" w:rsidRDefault="00B738E4" w:rsidP="0062416A">
            <w:pPr>
              <w:numPr>
                <w:ilvl w:val="0"/>
                <w:numId w:val="111"/>
              </w:numPr>
              <w:spacing w:line="240" w:lineRule="auto"/>
              <w:rPr>
                <w:rFonts w:ascii="Calibri" w:hAnsi="Calibri"/>
                <w:color w:val="000000"/>
                <w:sz w:val="20"/>
              </w:rPr>
            </w:pPr>
            <w:r w:rsidRPr="008B2E68">
              <w:rPr>
                <w:rFonts w:ascii="Calibri" w:hAnsi="Calibri"/>
                <w:b/>
                <w:bCs/>
                <w:color w:val="000000"/>
                <w:sz w:val="20"/>
              </w:rPr>
              <w:t>Promocja zdrowego miasta;</w:t>
            </w:r>
          </w:p>
          <w:p w:rsidR="000341F1" w:rsidRDefault="000341F1" w:rsidP="000341F1">
            <w:pPr>
              <w:spacing w:line="240" w:lineRule="auto"/>
              <w:rPr>
                <w:rFonts w:ascii="Calibri" w:hAnsi="Calibri"/>
                <w:color w:val="000000"/>
                <w:sz w:val="20"/>
              </w:rPr>
            </w:pPr>
          </w:p>
          <w:p w:rsidR="000341F1" w:rsidRPr="000341F1" w:rsidRDefault="000341F1" w:rsidP="000341F1">
            <w:pPr>
              <w:spacing w:line="240" w:lineRule="auto"/>
              <w:rPr>
                <w:rFonts w:ascii="Calibri" w:hAnsi="Calibri"/>
                <w:color w:val="000000"/>
                <w:sz w:val="20"/>
              </w:rPr>
            </w:pPr>
            <w:r>
              <w:rPr>
                <w:rFonts w:ascii="Calibri" w:hAnsi="Calibri"/>
                <w:color w:val="000000"/>
                <w:sz w:val="20"/>
              </w:rPr>
              <w:t>Oprócz środków budżetu miasta, głównym źr</w:t>
            </w:r>
            <w:r w:rsidR="001078CE">
              <w:rPr>
                <w:rFonts w:ascii="Calibri" w:hAnsi="Calibri"/>
                <w:color w:val="000000"/>
                <w:sz w:val="20"/>
              </w:rPr>
              <w:t>ódłem finansowania inwestycji w </w:t>
            </w:r>
            <w:r>
              <w:rPr>
                <w:rFonts w:ascii="Calibri" w:hAnsi="Calibri"/>
                <w:color w:val="000000"/>
                <w:sz w:val="20"/>
              </w:rPr>
              <w:t>zakresie gospodarki niskoemisyjnej będą Program Operac</w:t>
            </w:r>
            <w:r w:rsidR="001078CE">
              <w:rPr>
                <w:rFonts w:ascii="Calibri" w:hAnsi="Calibri"/>
                <w:color w:val="000000"/>
                <w:sz w:val="20"/>
              </w:rPr>
              <w:t>yjny Infrastruktura i </w:t>
            </w:r>
            <w:r>
              <w:rPr>
                <w:rFonts w:ascii="Calibri" w:hAnsi="Calibri"/>
                <w:color w:val="000000"/>
                <w:sz w:val="20"/>
              </w:rPr>
              <w:t>Środowisko oraz Regionalny Program Operacyjny dla Województwa Dolnośląsk</w:t>
            </w:r>
            <w:r w:rsidR="0017098E">
              <w:rPr>
                <w:rFonts w:ascii="Calibri" w:hAnsi="Calibri"/>
                <w:color w:val="000000"/>
                <w:sz w:val="20"/>
              </w:rPr>
              <w:t>i</w:t>
            </w:r>
            <w:r w:rsidR="00E12E12">
              <w:rPr>
                <w:rFonts w:ascii="Calibri" w:hAnsi="Calibri"/>
                <w:color w:val="000000"/>
                <w:sz w:val="20"/>
              </w:rPr>
              <w:t>ego, a także Narodowy Fundusz Ochrony Środowiska i Gospodarki Wodnej.</w:t>
            </w:r>
            <w:r w:rsidR="0007038B">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p>
        </w:tc>
      </w:tr>
      <w:tr w:rsidR="00286C73" w:rsidRPr="00286C73" w:rsidTr="00AC119E">
        <w:trPr>
          <w:trHeight w:val="113"/>
        </w:trPr>
        <w:tc>
          <w:tcPr>
            <w:tcW w:w="9062" w:type="dxa"/>
            <w:gridSpan w:val="2"/>
            <w:tcBorders>
              <w:left w:val="nil"/>
              <w:right w:val="nil"/>
            </w:tcBorders>
            <w:shd w:val="clear" w:color="auto" w:fill="FFFFFF" w:themeFill="background1"/>
          </w:tcPr>
          <w:p w:rsidR="00286C73" w:rsidRPr="00286C73" w:rsidRDefault="00286C73" w:rsidP="00841C5B">
            <w:pPr>
              <w:spacing w:line="240" w:lineRule="auto"/>
              <w:rPr>
                <w:rFonts w:ascii="Calibri" w:hAnsi="Calibri"/>
                <w:color w:val="000000"/>
                <w:sz w:val="6"/>
              </w:rPr>
            </w:pPr>
          </w:p>
        </w:tc>
      </w:tr>
      <w:tr w:rsidR="00EA76D8" w:rsidRPr="002E3FD4" w:rsidTr="00AC119E">
        <w:trPr>
          <w:trHeight w:val="168"/>
        </w:trPr>
        <w:tc>
          <w:tcPr>
            <w:tcW w:w="9062" w:type="dxa"/>
            <w:gridSpan w:val="2"/>
            <w:tcBorders>
              <w:bottom w:val="single" w:sz="4" w:space="0" w:color="auto"/>
              <w:right w:val="single" w:sz="8" w:space="0" w:color="auto"/>
            </w:tcBorders>
            <w:shd w:val="clear" w:color="auto" w:fill="538135" w:themeFill="accent6" w:themeFillShade="BF"/>
          </w:tcPr>
          <w:p w:rsidR="00EA76D8" w:rsidRPr="00903FF7" w:rsidRDefault="00EA76D8" w:rsidP="00B73014">
            <w:pPr>
              <w:jc w:val="center"/>
              <w:rPr>
                <w:rFonts w:ascii="Calibri" w:hAnsi="Calibri"/>
                <w:b/>
                <w:color w:val="000000"/>
                <w:sz w:val="20"/>
              </w:rPr>
            </w:pPr>
            <w:r w:rsidRPr="00903FF7">
              <w:rPr>
                <w:rFonts w:ascii="Calibri" w:hAnsi="Calibri"/>
                <w:b/>
                <w:color w:val="FFFFFF" w:themeColor="background1"/>
                <w:sz w:val="22"/>
              </w:rPr>
              <w:t>Wskaźniki rezultatu dla Celu operacyjnego V.3</w:t>
            </w:r>
          </w:p>
        </w:tc>
      </w:tr>
      <w:tr w:rsidR="00EA76D8" w:rsidRPr="00FE0E55" w:rsidTr="00AC119E">
        <w:trPr>
          <w:trHeight w:val="168"/>
        </w:trPr>
        <w:tc>
          <w:tcPr>
            <w:tcW w:w="9062" w:type="dxa"/>
            <w:gridSpan w:val="2"/>
            <w:tcBorders>
              <w:bottom w:val="single" w:sz="4" w:space="0" w:color="auto"/>
              <w:right w:val="single" w:sz="8" w:space="0" w:color="auto"/>
            </w:tcBorders>
            <w:shd w:val="clear" w:color="auto" w:fill="E2EFD9" w:themeFill="accent6" w:themeFillTint="33"/>
          </w:tcPr>
          <w:p w:rsidR="00EC2FA1" w:rsidRPr="00EC2FA1" w:rsidRDefault="00EC2FA1" w:rsidP="00EC2FA1">
            <w:pPr>
              <w:pStyle w:val="Akapitzlist"/>
              <w:numPr>
                <w:ilvl w:val="0"/>
                <w:numId w:val="69"/>
              </w:numPr>
              <w:rPr>
                <w:rFonts w:ascii="Calibri" w:hAnsi="Calibri"/>
                <w:b/>
                <w:color w:val="000000"/>
                <w:sz w:val="20"/>
              </w:rPr>
            </w:pPr>
            <w:r w:rsidRPr="00EC2FA1">
              <w:rPr>
                <w:rFonts w:ascii="Calibri" w:hAnsi="Calibri"/>
                <w:b/>
                <w:color w:val="000000"/>
                <w:sz w:val="20"/>
              </w:rPr>
              <w:t>Ograniczenie emisji zanieczyszczeń pyłowych PM10</w:t>
            </w:r>
            <w:r>
              <w:rPr>
                <w:rFonts w:ascii="Calibri" w:hAnsi="Calibri"/>
                <w:b/>
                <w:color w:val="000000"/>
                <w:sz w:val="20"/>
              </w:rPr>
              <w:t>;</w:t>
            </w:r>
          </w:p>
          <w:p w:rsidR="00EC2FA1" w:rsidRPr="00EC2FA1" w:rsidRDefault="00EC2FA1" w:rsidP="00EC2FA1">
            <w:pPr>
              <w:pStyle w:val="Akapitzlist"/>
              <w:numPr>
                <w:ilvl w:val="0"/>
                <w:numId w:val="69"/>
              </w:numPr>
              <w:rPr>
                <w:rFonts w:ascii="Calibri" w:hAnsi="Calibri"/>
                <w:b/>
                <w:color w:val="000000"/>
                <w:sz w:val="20"/>
              </w:rPr>
            </w:pPr>
            <w:r w:rsidRPr="00EC2FA1">
              <w:rPr>
                <w:rFonts w:ascii="Calibri" w:hAnsi="Calibri"/>
                <w:b/>
                <w:color w:val="000000"/>
                <w:sz w:val="20"/>
              </w:rPr>
              <w:t>Ograniczenie emisji zanieczyszczeń pyłowych PM2,5</w:t>
            </w:r>
            <w:r>
              <w:rPr>
                <w:rFonts w:ascii="Calibri" w:hAnsi="Calibri"/>
                <w:b/>
                <w:color w:val="000000"/>
                <w:sz w:val="20"/>
              </w:rPr>
              <w:t>;</w:t>
            </w:r>
          </w:p>
          <w:p w:rsidR="00EC2FA1" w:rsidRPr="00EC2FA1" w:rsidRDefault="00EC2FA1" w:rsidP="00EC2FA1">
            <w:pPr>
              <w:pStyle w:val="Akapitzlist"/>
              <w:numPr>
                <w:ilvl w:val="0"/>
                <w:numId w:val="69"/>
              </w:numPr>
              <w:rPr>
                <w:rFonts w:ascii="Calibri" w:hAnsi="Calibri"/>
                <w:b/>
                <w:color w:val="000000"/>
                <w:sz w:val="20"/>
              </w:rPr>
            </w:pPr>
            <w:r w:rsidRPr="00EC2FA1">
              <w:rPr>
                <w:rFonts w:ascii="Calibri" w:hAnsi="Calibri"/>
                <w:b/>
                <w:color w:val="000000"/>
                <w:sz w:val="20"/>
              </w:rPr>
              <w:t>Ograniczenie emisji dwutlenku węgla</w:t>
            </w:r>
            <w:r>
              <w:rPr>
                <w:rFonts w:ascii="Calibri" w:hAnsi="Calibri"/>
                <w:b/>
                <w:color w:val="000000"/>
                <w:sz w:val="20"/>
              </w:rPr>
              <w:t>;</w:t>
            </w:r>
          </w:p>
          <w:p w:rsidR="00D8107E" w:rsidRPr="00D8107E" w:rsidRDefault="00EC2FA1" w:rsidP="00EC2FA1">
            <w:pPr>
              <w:pStyle w:val="Akapitzlist"/>
              <w:numPr>
                <w:ilvl w:val="0"/>
                <w:numId w:val="69"/>
              </w:numPr>
              <w:rPr>
                <w:rFonts w:ascii="Calibri" w:hAnsi="Calibri"/>
                <w:b/>
                <w:color w:val="000000"/>
                <w:sz w:val="20"/>
              </w:rPr>
            </w:pPr>
            <w:r w:rsidRPr="00EC2FA1">
              <w:rPr>
                <w:rFonts w:ascii="Calibri" w:hAnsi="Calibri"/>
                <w:b/>
                <w:color w:val="000000"/>
                <w:sz w:val="20"/>
              </w:rPr>
              <w:t>Liczba przyłączonych obiektów do sieci WPEC</w:t>
            </w:r>
            <w:r>
              <w:rPr>
                <w:rFonts w:ascii="Calibri" w:hAnsi="Calibri"/>
                <w:b/>
                <w:color w:val="000000"/>
                <w:sz w:val="20"/>
              </w:rPr>
              <w:t>;</w:t>
            </w:r>
          </w:p>
        </w:tc>
      </w:tr>
      <w:tr w:rsidR="00EA76D8" w:rsidRPr="0006541D" w:rsidTr="00AC119E">
        <w:trPr>
          <w:trHeight w:val="113"/>
        </w:trPr>
        <w:tc>
          <w:tcPr>
            <w:tcW w:w="9062" w:type="dxa"/>
            <w:gridSpan w:val="2"/>
            <w:tcBorders>
              <w:left w:val="nil"/>
              <w:right w:val="nil"/>
            </w:tcBorders>
            <w:shd w:val="clear" w:color="auto" w:fill="FFFFFF" w:themeFill="background1"/>
          </w:tcPr>
          <w:p w:rsidR="00EA76D8" w:rsidRPr="0006541D" w:rsidRDefault="00EA76D8" w:rsidP="00B73014">
            <w:pPr>
              <w:rPr>
                <w:rFonts w:ascii="Calibri" w:hAnsi="Calibri"/>
                <w:color w:val="000000"/>
                <w:sz w:val="2"/>
              </w:rPr>
            </w:pPr>
          </w:p>
        </w:tc>
      </w:tr>
      <w:tr w:rsidR="00276E6F" w:rsidTr="00AC119E">
        <w:trPr>
          <w:trHeight w:val="1275"/>
        </w:trPr>
        <w:tc>
          <w:tcPr>
            <w:tcW w:w="2552" w:type="dxa"/>
            <w:tcBorders>
              <w:right w:val="single" w:sz="4" w:space="0" w:color="auto"/>
            </w:tcBorders>
            <w:shd w:val="clear" w:color="auto" w:fill="A8D08D" w:themeFill="accent6" w:themeFillTint="99"/>
          </w:tcPr>
          <w:p w:rsidR="00276E6F" w:rsidRPr="00A45758" w:rsidRDefault="00276E6F" w:rsidP="00841C5B">
            <w:pPr>
              <w:rPr>
                <w:rFonts w:asciiTheme="minorHAnsi" w:hAnsiTheme="minorHAnsi"/>
                <w:sz w:val="22"/>
              </w:rPr>
            </w:pPr>
            <w:r w:rsidRPr="00A45758">
              <w:rPr>
                <w:rFonts w:asciiTheme="minorHAnsi" w:hAnsiTheme="minorHAnsi"/>
                <w:b/>
                <w:bCs/>
                <w:sz w:val="22"/>
              </w:rPr>
              <w:t>Cel operacyjny V.4 - Kształtowanie świadomości ekologicznej mieszkańców</w:t>
            </w:r>
          </w:p>
        </w:tc>
        <w:tc>
          <w:tcPr>
            <w:tcW w:w="6510" w:type="dxa"/>
            <w:tcBorders>
              <w:top w:val="single" w:sz="4" w:space="0" w:color="auto"/>
              <w:left w:val="single" w:sz="4" w:space="0" w:color="auto"/>
              <w:right w:val="single" w:sz="4" w:space="0" w:color="auto"/>
            </w:tcBorders>
            <w:shd w:val="clear" w:color="auto" w:fill="E2EFD9" w:themeFill="accent6" w:themeFillTint="33"/>
          </w:tcPr>
          <w:p w:rsidR="00276E6F" w:rsidRDefault="00276E6F" w:rsidP="00920C79">
            <w:pPr>
              <w:spacing w:line="240" w:lineRule="auto"/>
              <w:rPr>
                <w:rFonts w:ascii="Calibri" w:hAnsi="Calibri"/>
                <w:color w:val="000000"/>
                <w:sz w:val="20"/>
              </w:rPr>
            </w:pPr>
            <w:r>
              <w:rPr>
                <w:rFonts w:ascii="Calibri" w:hAnsi="Calibri"/>
                <w:color w:val="000000"/>
                <w:sz w:val="20"/>
              </w:rPr>
              <w:t xml:space="preserve">Zadania realizowane w ramach tego celu </w:t>
            </w:r>
            <w:r w:rsidR="00920C79">
              <w:rPr>
                <w:rFonts w:ascii="Calibri" w:hAnsi="Calibri"/>
                <w:color w:val="000000"/>
                <w:sz w:val="20"/>
              </w:rPr>
              <w:t>będą</w:t>
            </w:r>
            <w:r>
              <w:rPr>
                <w:rFonts w:ascii="Calibri" w:hAnsi="Calibri"/>
                <w:color w:val="000000"/>
                <w:sz w:val="20"/>
              </w:rPr>
              <w:t xml:space="preserve"> koncentrować się na </w:t>
            </w:r>
            <w:r w:rsidRPr="00AE5D7A">
              <w:rPr>
                <w:rFonts w:ascii="Calibri" w:hAnsi="Calibri"/>
                <w:b/>
                <w:color w:val="000000"/>
                <w:sz w:val="20"/>
              </w:rPr>
              <w:t>wspieraniu wszelkich inicjatyw i działań z zakresu edukacji ekologicznej</w:t>
            </w:r>
            <w:r w:rsidRPr="004C3789">
              <w:rPr>
                <w:rFonts w:ascii="Calibri" w:hAnsi="Calibri"/>
                <w:color w:val="000000"/>
                <w:sz w:val="20"/>
              </w:rPr>
              <w:t>, podejmowanych przez szkoły, organizacje pozarządowe i instytucje kultury (konkursy, festiwale, olimpiady, itp.)</w:t>
            </w:r>
            <w:r>
              <w:rPr>
                <w:rFonts w:ascii="Calibri" w:hAnsi="Calibri"/>
                <w:color w:val="000000"/>
                <w:sz w:val="20"/>
              </w:rPr>
              <w:t xml:space="preserve"> skierowanych zarówno do dzieci i młodzieży</w:t>
            </w:r>
            <w:r w:rsidR="00561BB5">
              <w:rPr>
                <w:rFonts w:ascii="Calibri" w:hAnsi="Calibri"/>
                <w:color w:val="000000"/>
                <w:sz w:val="20"/>
              </w:rPr>
              <w:t>,</w:t>
            </w:r>
            <w:r>
              <w:rPr>
                <w:rFonts w:ascii="Calibri" w:hAnsi="Calibri"/>
                <w:color w:val="000000"/>
                <w:sz w:val="20"/>
              </w:rPr>
              <w:t xml:space="preserve"> jak i starszych mieszkańców miasta. Uświadamianie ekologiczne społeczeństwa jest bardzo istotne z punktu widzenia trwałości oddziaływania i skuteczności wdrażanych projektów i inwestycji ekologicznych. Społeczne poczucie współodpowiedzialności za środowisko i wygląd estetyczny mias</w:t>
            </w:r>
            <w:r w:rsidR="00920C79">
              <w:rPr>
                <w:rFonts w:ascii="Calibri" w:hAnsi="Calibri"/>
                <w:color w:val="000000"/>
                <w:sz w:val="20"/>
              </w:rPr>
              <w:t>ta w </w:t>
            </w:r>
            <w:r w:rsidR="009E0A9B">
              <w:rPr>
                <w:rFonts w:ascii="Calibri" w:hAnsi="Calibri"/>
                <w:color w:val="000000"/>
                <w:sz w:val="20"/>
              </w:rPr>
              <w:t>sposób bezpośredni przełoży</w:t>
            </w:r>
            <w:r>
              <w:rPr>
                <w:rFonts w:ascii="Calibri" w:hAnsi="Calibri"/>
                <w:color w:val="000000"/>
                <w:sz w:val="20"/>
              </w:rPr>
              <w:t xml:space="preserve"> się na jakość środowiska w przestrzeni publicznej Legnicy.</w:t>
            </w:r>
          </w:p>
          <w:p w:rsidR="00451CC5" w:rsidRDefault="00451CC5" w:rsidP="00920C79">
            <w:pPr>
              <w:spacing w:line="240" w:lineRule="auto"/>
              <w:rPr>
                <w:rFonts w:ascii="Calibri" w:hAnsi="Calibri"/>
                <w:color w:val="000000"/>
                <w:sz w:val="20"/>
              </w:rPr>
            </w:pPr>
          </w:p>
          <w:p w:rsidR="008B2E68" w:rsidRPr="008B2E68" w:rsidRDefault="008B2E68" w:rsidP="008B2E68">
            <w:pPr>
              <w:rPr>
                <w:rFonts w:ascii="Calibri" w:hAnsi="Calibri"/>
                <w:color w:val="000000"/>
                <w:sz w:val="20"/>
              </w:rPr>
            </w:pPr>
            <w:r w:rsidRPr="008B2E68">
              <w:rPr>
                <w:rFonts w:ascii="Calibri" w:hAnsi="Calibri"/>
                <w:color w:val="000000"/>
                <w:sz w:val="20"/>
              </w:rPr>
              <w:t>Zadaniami głównymi będą:</w:t>
            </w:r>
          </w:p>
          <w:p w:rsidR="009F2099" w:rsidRPr="008B2E68" w:rsidRDefault="00B738E4" w:rsidP="0062416A">
            <w:pPr>
              <w:pStyle w:val="Akapitzlist"/>
              <w:numPr>
                <w:ilvl w:val="0"/>
                <w:numId w:val="112"/>
              </w:numPr>
              <w:rPr>
                <w:rFonts w:ascii="Calibri" w:hAnsi="Calibri"/>
                <w:color w:val="000000"/>
                <w:sz w:val="20"/>
              </w:rPr>
            </w:pPr>
            <w:r w:rsidRPr="008B2E68">
              <w:rPr>
                <w:rFonts w:ascii="Calibri" w:hAnsi="Calibri"/>
                <w:b/>
                <w:bCs/>
                <w:color w:val="000000"/>
                <w:sz w:val="20"/>
              </w:rPr>
              <w:t>Wspieranie inicjatyw i działań z zakresu edukacji ekologicznej, podejmowanych przez szkoły, organizacje pozarządowe i instytucje kultury (konkursy, festiwale, olimpiady, itp.);</w:t>
            </w:r>
          </w:p>
          <w:p w:rsidR="009F2099" w:rsidRPr="008B2E68" w:rsidRDefault="00B738E4" w:rsidP="0062416A">
            <w:pPr>
              <w:pStyle w:val="Akapitzlist"/>
              <w:numPr>
                <w:ilvl w:val="0"/>
                <w:numId w:val="112"/>
              </w:numPr>
              <w:rPr>
                <w:rFonts w:ascii="Calibri" w:hAnsi="Calibri"/>
                <w:color w:val="000000"/>
                <w:sz w:val="20"/>
              </w:rPr>
            </w:pPr>
            <w:r w:rsidRPr="008B2E68">
              <w:rPr>
                <w:rFonts w:ascii="Calibri" w:hAnsi="Calibri"/>
                <w:b/>
                <w:bCs/>
                <w:color w:val="000000"/>
                <w:sz w:val="20"/>
              </w:rPr>
              <w:t>Kampania edukacyjna ukierunkowana na wskazanie korzyści zdrowotnych i społecznych  z eliminacji niskiej emisji;</w:t>
            </w:r>
          </w:p>
          <w:p w:rsidR="009F2099" w:rsidRPr="008B2E68" w:rsidRDefault="00B738E4" w:rsidP="0062416A">
            <w:pPr>
              <w:pStyle w:val="Akapitzlist"/>
              <w:numPr>
                <w:ilvl w:val="0"/>
                <w:numId w:val="112"/>
              </w:numPr>
              <w:rPr>
                <w:rFonts w:ascii="Calibri" w:hAnsi="Calibri"/>
                <w:color w:val="000000"/>
                <w:sz w:val="20"/>
              </w:rPr>
            </w:pPr>
            <w:r w:rsidRPr="008B2E68">
              <w:rPr>
                <w:rFonts w:ascii="Calibri" w:hAnsi="Calibri"/>
                <w:b/>
                <w:bCs/>
                <w:color w:val="000000"/>
                <w:sz w:val="20"/>
              </w:rPr>
              <w:t>Promocja miasta, które ekologią stoi;</w:t>
            </w:r>
          </w:p>
          <w:p w:rsidR="000341F1" w:rsidRDefault="000341F1" w:rsidP="000341F1">
            <w:pPr>
              <w:pStyle w:val="Akapitzlist"/>
              <w:spacing w:line="240" w:lineRule="auto"/>
              <w:rPr>
                <w:rFonts w:ascii="Calibri" w:hAnsi="Calibri"/>
                <w:color w:val="000000"/>
                <w:sz w:val="20"/>
              </w:rPr>
            </w:pPr>
          </w:p>
          <w:p w:rsidR="000341F1" w:rsidRPr="000341F1" w:rsidRDefault="000341F1" w:rsidP="000341F1">
            <w:pPr>
              <w:spacing w:line="240" w:lineRule="auto"/>
              <w:rPr>
                <w:rFonts w:ascii="Calibri" w:hAnsi="Calibri"/>
                <w:color w:val="000000"/>
                <w:sz w:val="20"/>
              </w:rPr>
            </w:pPr>
            <w:r>
              <w:rPr>
                <w:rFonts w:ascii="Calibri" w:hAnsi="Calibri"/>
                <w:color w:val="000000"/>
                <w:sz w:val="20"/>
              </w:rPr>
              <w:t xml:space="preserve">Źródłami finansowania będą: budżet miasta i możliwe do uzyskania środki zewnętrzne. </w:t>
            </w:r>
          </w:p>
        </w:tc>
      </w:tr>
      <w:tr w:rsidR="00286C73" w:rsidTr="00AC119E">
        <w:trPr>
          <w:trHeight w:val="113"/>
        </w:trPr>
        <w:tc>
          <w:tcPr>
            <w:tcW w:w="9062" w:type="dxa"/>
            <w:gridSpan w:val="2"/>
            <w:tcBorders>
              <w:left w:val="nil"/>
              <w:right w:val="nil"/>
            </w:tcBorders>
            <w:shd w:val="clear" w:color="auto" w:fill="FFFFFF" w:themeFill="background1"/>
          </w:tcPr>
          <w:p w:rsidR="00286C73" w:rsidRPr="00286C73" w:rsidRDefault="00286C73" w:rsidP="00841C5B">
            <w:pPr>
              <w:spacing w:line="240" w:lineRule="auto"/>
              <w:rPr>
                <w:rFonts w:ascii="Calibri" w:hAnsi="Calibri"/>
                <w:color w:val="000000"/>
                <w:sz w:val="2"/>
              </w:rPr>
            </w:pPr>
          </w:p>
        </w:tc>
      </w:tr>
      <w:tr w:rsidR="00EA76D8" w:rsidRPr="002E3FD4" w:rsidTr="00AC119E">
        <w:trPr>
          <w:trHeight w:val="168"/>
        </w:trPr>
        <w:tc>
          <w:tcPr>
            <w:tcW w:w="9062" w:type="dxa"/>
            <w:gridSpan w:val="2"/>
            <w:tcBorders>
              <w:bottom w:val="single" w:sz="4" w:space="0" w:color="auto"/>
              <w:right w:val="single" w:sz="8" w:space="0" w:color="auto"/>
            </w:tcBorders>
            <w:shd w:val="clear" w:color="auto" w:fill="538135" w:themeFill="accent6" w:themeFillShade="BF"/>
          </w:tcPr>
          <w:p w:rsidR="00EA76D8" w:rsidRPr="00903FF7" w:rsidRDefault="00EA76D8" w:rsidP="00B73014">
            <w:pPr>
              <w:jc w:val="center"/>
              <w:rPr>
                <w:rFonts w:ascii="Calibri" w:hAnsi="Calibri"/>
                <w:b/>
                <w:color w:val="000000"/>
                <w:sz w:val="20"/>
              </w:rPr>
            </w:pPr>
            <w:r w:rsidRPr="00903FF7">
              <w:rPr>
                <w:rFonts w:ascii="Calibri" w:hAnsi="Calibri"/>
                <w:b/>
                <w:color w:val="FFFFFF" w:themeColor="background1"/>
                <w:sz w:val="22"/>
              </w:rPr>
              <w:t>Wskaźniki rezultatu dla Celu operacyjnego V.4</w:t>
            </w:r>
          </w:p>
        </w:tc>
      </w:tr>
      <w:tr w:rsidR="00EA76D8" w:rsidRPr="00FE0E55" w:rsidTr="00AC119E">
        <w:trPr>
          <w:trHeight w:val="168"/>
        </w:trPr>
        <w:tc>
          <w:tcPr>
            <w:tcW w:w="9062" w:type="dxa"/>
            <w:gridSpan w:val="2"/>
            <w:tcBorders>
              <w:bottom w:val="single" w:sz="4" w:space="0" w:color="auto"/>
              <w:right w:val="single" w:sz="8" w:space="0" w:color="auto"/>
            </w:tcBorders>
            <w:shd w:val="clear" w:color="auto" w:fill="E2EFD9" w:themeFill="accent6" w:themeFillTint="33"/>
          </w:tcPr>
          <w:p w:rsidR="002E3A5F" w:rsidRPr="002E3A5F" w:rsidRDefault="002E3A5F" w:rsidP="002E3A5F">
            <w:pPr>
              <w:pStyle w:val="Akapitzlist"/>
              <w:numPr>
                <w:ilvl w:val="0"/>
                <w:numId w:val="71"/>
              </w:numPr>
              <w:rPr>
                <w:rFonts w:ascii="Calibri" w:hAnsi="Calibri"/>
                <w:b/>
                <w:color w:val="000000"/>
                <w:sz w:val="20"/>
              </w:rPr>
            </w:pPr>
            <w:r w:rsidRPr="002E3A5F">
              <w:rPr>
                <w:rFonts w:ascii="Calibri" w:hAnsi="Calibri"/>
                <w:b/>
                <w:color w:val="000000"/>
                <w:sz w:val="20"/>
              </w:rPr>
              <w:t>Liczba osób uczestniczących w organizowanych kampaniach edukacji ekologicznej</w:t>
            </w:r>
            <w:r>
              <w:rPr>
                <w:rFonts w:ascii="Calibri" w:hAnsi="Calibri"/>
                <w:b/>
                <w:color w:val="000000"/>
                <w:sz w:val="20"/>
              </w:rPr>
              <w:t>;</w:t>
            </w:r>
          </w:p>
          <w:p w:rsidR="00EA76D8" w:rsidRPr="00903FF7" w:rsidRDefault="002E3A5F" w:rsidP="002E3A5F">
            <w:pPr>
              <w:pStyle w:val="Akapitzlist"/>
              <w:numPr>
                <w:ilvl w:val="0"/>
                <w:numId w:val="71"/>
              </w:numPr>
              <w:rPr>
                <w:rFonts w:ascii="Calibri" w:hAnsi="Calibri"/>
                <w:b/>
                <w:color w:val="000000"/>
                <w:sz w:val="20"/>
              </w:rPr>
            </w:pPr>
            <w:r w:rsidRPr="002E3A5F">
              <w:rPr>
                <w:rFonts w:ascii="Calibri" w:hAnsi="Calibri"/>
                <w:b/>
                <w:color w:val="000000"/>
                <w:sz w:val="20"/>
              </w:rPr>
              <w:t>Liczba realizowanych projektów</w:t>
            </w:r>
            <w:r>
              <w:rPr>
                <w:rFonts w:ascii="Calibri" w:hAnsi="Calibri"/>
                <w:b/>
                <w:color w:val="000000"/>
                <w:sz w:val="20"/>
              </w:rPr>
              <w:t>;</w:t>
            </w:r>
          </w:p>
        </w:tc>
      </w:tr>
      <w:tr w:rsidR="00EA76D8" w:rsidRPr="0006541D" w:rsidTr="00AC119E">
        <w:trPr>
          <w:trHeight w:val="113"/>
        </w:trPr>
        <w:tc>
          <w:tcPr>
            <w:tcW w:w="9062" w:type="dxa"/>
            <w:gridSpan w:val="2"/>
            <w:tcBorders>
              <w:left w:val="nil"/>
              <w:right w:val="nil"/>
            </w:tcBorders>
            <w:shd w:val="clear" w:color="auto" w:fill="FFFFFF" w:themeFill="background1"/>
          </w:tcPr>
          <w:p w:rsidR="00EA76D8" w:rsidRPr="0006541D" w:rsidRDefault="00EA76D8" w:rsidP="00B73014">
            <w:pPr>
              <w:rPr>
                <w:rFonts w:ascii="Calibri" w:hAnsi="Calibri"/>
                <w:color w:val="000000"/>
                <w:sz w:val="2"/>
              </w:rPr>
            </w:pPr>
          </w:p>
        </w:tc>
      </w:tr>
    </w:tbl>
    <w:p w:rsidR="004A0B17" w:rsidRDefault="004A0B17">
      <w:r>
        <w:br w:type="page"/>
      </w:r>
    </w:p>
    <w:tbl>
      <w:tblPr>
        <w:tblStyle w:val="Tabela-Siatka"/>
        <w:tblW w:w="9062" w:type="dxa"/>
        <w:tblInd w:w="-5" w:type="dxa"/>
        <w:tblLook w:val="04A0" w:firstRow="1" w:lastRow="0" w:firstColumn="1" w:lastColumn="0" w:noHBand="0" w:noVBand="1"/>
      </w:tblPr>
      <w:tblGrid>
        <w:gridCol w:w="2552"/>
        <w:gridCol w:w="6510"/>
      </w:tblGrid>
      <w:tr w:rsidR="00276E6F" w:rsidTr="00EE553A">
        <w:trPr>
          <w:trHeight w:val="1244"/>
        </w:trPr>
        <w:tc>
          <w:tcPr>
            <w:tcW w:w="2552" w:type="dxa"/>
            <w:tcBorders>
              <w:right w:val="single" w:sz="4" w:space="0" w:color="auto"/>
            </w:tcBorders>
            <w:shd w:val="clear" w:color="auto" w:fill="A8D08D" w:themeFill="accent6" w:themeFillTint="99"/>
          </w:tcPr>
          <w:p w:rsidR="00276E6F" w:rsidRPr="00A45758" w:rsidRDefault="00276E6F" w:rsidP="00841C5B">
            <w:pPr>
              <w:rPr>
                <w:rFonts w:asciiTheme="minorHAnsi" w:hAnsiTheme="minorHAnsi"/>
                <w:sz w:val="22"/>
              </w:rPr>
            </w:pPr>
            <w:r w:rsidRPr="00A45758">
              <w:rPr>
                <w:rFonts w:asciiTheme="minorHAnsi" w:hAnsiTheme="minorHAnsi"/>
                <w:b/>
                <w:bCs/>
                <w:sz w:val="22"/>
              </w:rPr>
              <w:lastRenderedPageBreak/>
              <w:t>Cel operacyjny V.5 - Rozwój infrastruktury dla gospodarki odpadami</w:t>
            </w:r>
          </w:p>
          <w:p w:rsidR="00276E6F" w:rsidRPr="00A45758" w:rsidRDefault="00276E6F" w:rsidP="00841C5B">
            <w:pPr>
              <w:rPr>
                <w:rFonts w:asciiTheme="minorHAnsi" w:hAnsiTheme="minorHAnsi"/>
                <w:sz w:val="22"/>
              </w:rPr>
            </w:pPr>
          </w:p>
        </w:tc>
        <w:tc>
          <w:tcPr>
            <w:tcW w:w="6510" w:type="dxa"/>
            <w:tcBorders>
              <w:top w:val="single" w:sz="4" w:space="0" w:color="auto"/>
              <w:left w:val="single" w:sz="4" w:space="0" w:color="auto"/>
              <w:right w:val="single" w:sz="4" w:space="0" w:color="auto"/>
            </w:tcBorders>
            <w:shd w:val="clear" w:color="auto" w:fill="E2EFD9" w:themeFill="accent6" w:themeFillTint="33"/>
            <w:vAlign w:val="bottom"/>
          </w:tcPr>
          <w:p w:rsidR="00276E6F" w:rsidRDefault="00276E6F" w:rsidP="00920C79">
            <w:pPr>
              <w:spacing w:line="240" w:lineRule="auto"/>
              <w:rPr>
                <w:rFonts w:ascii="Calibri" w:hAnsi="Calibri"/>
                <w:color w:val="000000"/>
                <w:sz w:val="20"/>
              </w:rPr>
            </w:pPr>
            <w:r>
              <w:rPr>
                <w:rFonts w:ascii="Calibri" w:hAnsi="Calibri"/>
                <w:color w:val="000000"/>
                <w:sz w:val="20"/>
              </w:rPr>
              <w:t>Cel operacyjny V.5 koncentruje się na</w:t>
            </w:r>
            <w:r w:rsidR="00FC5423">
              <w:rPr>
                <w:rFonts w:ascii="Calibri" w:hAnsi="Calibri"/>
                <w:color w:val="000000"/>
                <w:sz w:val="20"/>
              </w:rPr>
              <w:t xml:space="preserve"> dalszej</w:t>
            </w:r>
            <w:r>
              <w:rPr>
                <w:rFonts w:ascii="Calibri" w:hAnsi="Calibri"/>
                <w:color w:val="000000"/>
                <w:sz w:val="20"/>
              </w:rPr>
              <w:t xml:space="preserve"> </w:t>
            </w:r>
            <w:r w:rsidRPr="00AE5D7A">
              <w:rPr>
                <w:rFonts w:ascii="Calibri" w:hAnsi="Calibri"/>
                <w:b/>
                <w:color w:val="000000"/>
                <w:sz w:val="20"/>
              </w:rPr>
              <w:t>rozbudowie gminnego systemu gospodarowania odpadami komunalnymi</w:t>
            </w:r>
            <w:r>
              <w:rPr>
                <w:rFonts w:ascii="Calibri" w:hAnsi="Calibri"/>
                <w:color w:val="000000"/>
                <w:sz w:val="20"/>
              </w:rPr>
              <w:t xml:space="preserve">, a w szczególności </w:t>
            </w:r>
            <w:r w:rsidRPr="00AE5D7A">
              <w:rPr>
                <w:rFonts w:ascii="Calibri" w:hAnsi="Calibri"/>
                <w:b/>
                <w:color w:val="000000"/>
                <w:sz w:val="20"/>
              </w:rPr>
              <w:t>rozbudowie Regionalnej Instalacji Przetwarzania Odpadów Komunalnych</w:t>
            </w:r>
            <w:r w:rsidR="00FC5423" w:rsidRPr="00AE5D7A">
              <w:rPr>
                <w:rFonts w:ascii="Calibri" w:hAnsi="Calibri"/>
                <w:b/>
                <w:color w:val="000000"/>
                <w:sz w:val="20"/>
              </w:rPr>
              <w:t>.</w:t>
            </w:r>
            <w:r w:rsidR="00920C79">
              <w:rPr>
                <w:rFonts w:ascii="Calibri" w:hAnsi="Calibri"/>
                <w:color w:val="000000"/>
                <w:sz w:val="20"/>
              </w:rPr>
              <w:t xml:space="preserve"> Mimo</w:t>
            </w:r>
            <w:r w:rsidR="00FC5423">
              <w:rPr>
                <w:rFonts w:ascii="Calibri" w:hAnsi="Calibri"/>
                <w:color w:val="000000"/>
                <w:sz w:val="20"/>
              </w:rPr>
              <w:t xml:space="preserve"> li</w:t>
            </w:r>
            <w:r>
              <w:rPr>
                <w:rFonts w:ascii="Calibri" w:hAnsi="Calibri"/>
                <w:color w:val="000000"/>
                <w:sz w:val="20"/>
              </w:rPr>
              <w:t>cz</w:t>
            </w:r>
            <w:r w:rsidR="00FC5423">
              <w:rPr>
                <w:rFonts w:ascii="Calibri" w:hAnsi="Calibri"/>
                <w:color w:val="000000"/>
                <w:sz w:val="20"/>
              </w:rPr>
              <w:t>n</w:t>
            </w:r>
            <w:r w:rsidR="00920C79">
              <w:rPr>
                <w:rFonts w:ascii="Calibri" w:hAnsi="Calibri"/>
                <w:color w:val="000000"/>
                <w:sz w:val="20"/>
              </w:rPr>
              <w:t xml:space="preserve">ych inwestycji już wdrożonych </w:t>
            </w:r>
            <w:r>
              <w:rPr>
                <w:rFonts w:ascii="Calibri" w:hAnsi="Calibri"/>
                <w:color w:val="000000"/>
                <w:sz w:val="20"/>
              </w:rPr>
              <w:t xml:space="preserve">w tym zakresie potrzeby wciąż są znaczące. </w:t>
            </w:r>
            <w:r w:rsidR="00FC5423">
              <w:rPr>
                <w:rFonts w:ascii="Calibri" w:hAnsi="Calibri"/>
                <w:color w:val="000000"/>
                <w:sz w:val="20"/>
              </w:rPr>
              <w:t xml:space="preserve">Nie bez znaczenia jest także fakt, iż </w:t>
            </w:r>
            <w:r>
              <w:rPr>
                <w:rFonts w:ascii="Calibri" w:hAnsi="Calibri"/>
                <w:color w:val="000000"/>
                <w:sz w:val="20"/>
              </w:rPr>
              <w:t>RIPOK, świadczący swe usługi także na rzecz innych samorządów Dolnego Śląska przy odpowiednim doinwesto</w:t>
            </w:r>
            <w:r w:rsidR="00FC5423">
              <w:rPr>
                <w:rFonts w:ascii="Calibri" w:hAnsi="Calibri"/>
                <w:color w:val="000000"/>
                <w:sz w:val="20"/>
              </w:rPr>
              <w:t>waniu, może stać się instytucją</w:t>
            </w:r>
            <w:r>
              <w:rPr>
                <w:rFonts w:ascii="Calibri" w:hAnsi="Calibri"/>
                <w:color w:val="000000"/>
                <w:sz w:val="20"/>
              </w:rPr>
              <w:t xml:space="preserve"> nie tylko</w:t>
            </w:r>
            <w:r w:rsidR="00F93898">
              <w:rPr>
                <w:rFonts w:ascii="Calibri" w:hAnsi="Calibri"/>
                <w:color w:val="000000"/>
                <w:sz w:val="20"/>
              </w:rPr>
              <w:t xml:space="preserve"> wysoce</w:t>
            </w:r>
            <w:r>
              <w:rPr>
                <w:rFonts w:ascii="Calibri" w:hAnsi="Calibri"/>
                <w:color w:val="000000"/>
                <w:sz w:val="20"/>
              </w:rPr>
              <w:t xml:space="preserve"> efektywną środowiskowo, ale także ekonomicznie. </w:t>
            </w:r>
          </w:p>
          <w:p w:rsidR="00451CC5" w:rsidRDefault="00451CC5" w:rsidP="00920C79">
            <w:pPr>
              <w:spacing w:line="240" w:lineRule="auto"/>
              <w:rPr>
                <w:rFonts w:ascii="Calibri" w:hAnsi="Calibri"/>
                <w:color w:val="000000"/>
                <w:sz w:val="20"/>
              </w:rPr>
            </w:pPr>
          </w:p>
          <w:p w:rsidR="008B2E68" w:rsidRPr="008B2E68" w:rsidRDefault="008B2E68" w:rsidP="008B2E68">
            <w:pPr>
              <w:spacing w:line="240" w:lineRule="auto"/>
              <w:rPr>
                <w:rFonts w:ascii="Calibri" w:hAnsi="Calibri"/>
                <w:color w:val="000000"/>
                <w:sz w:val="20"/>
              </w:rPr>
            </w:pPr>
            <w:r w:rsidRPr="008B2E68">
              <w:rPr>
                <w:rFonts w:ascii="Calibri" w:hAnsi="Calibri"/>
                <w:color w:val="000000"/>
                <w:sz w:val="20"/>
              </w:rPr>
              <w:t>Zadaniami głównymi będą:</w:t>
            </w:r>
          </w:p>
          <w:p w:rsidR="009F2099" w:rsidRPr="008B2E68" w:rsidRDefault="00B738E4" w:rsidP="0062416A">
            <w:pPr>
              <w:numPr>
                <w:ilvl w:val="0"/>
                <w:numId w:val="113"/>
              </w:numPr>
              <w:spacing w:line="240" w:lineRule="auto"/>
              <w:rPr>
                <w:rFonts w:ascii="Calibri" w:hAnsi="Calibri"/>
                <w:color w:val="000000"/>
                <w:sz w:val="20"/>
              </w:rPr>
            </w:pPr>
            <w:r w:rsidRPr="008B2E68">
              <w:rPr>
                <w:rFonts w:ascii="Calibri" w:hAnsi="Calibri"/>
                <w:b/>
                <w:bCs/>
                <w:color w:val="000000"/>
                <w:sz w:val="20"/>
              </w:rPr>
              <w:t>Zwiększenie efektywności systemu gospodarowania odpadami komunalnymi;</w:t>
            </w:r>
          </w:p>
          <w:p w:rsidR="009F2099" w:rsidRPr="008B2E68" w:rsidRDefault="00B738E4" w:rsidP="0062416A">
            <w:pPr>
              <w:numPr>
                <w:ilvl w:val="0"/>
                <w:numId w:val="113"/>
              </w:numPr>
              <w:spacing w:line="240" w:lineRule="auto"/>
              <w:rPr>
                <w:rFonts w:ascii="Calibri" w:hAnsi="Calibri"/>
                <w:color w:val="000000"/>
                <w:sz w:val="20"/>
              </w:rPr>
            </w:pPr>
            <w:r w:rsidRPr="008B2E68">
              <w:rPr>
                <w:rFonts w:ascii="Calibri" w:hAnsi="Calibri"/>
                <w:b/>
                <w:bCs/>
                <w:color w:val="000000"/>
                <w:sz w:val="20"/>
              </w:rPr>
              <w:t>Rozbudowa Regionalnej Instalacji Przetwarzania Odpadów Komunalnych;</w:t>
            </w:r>
          </w:p>
          <w:p w:rsidR="009F2099" w:rsidRPr="008B2E68" w:rsidRDefault="00B738E4" w:rsidP="0062416A">
            <w:pPr>
              <w:numPr>
                <w:ilvl w:val="0"/>
                <w:numId w:val="113"/>
              </w:numPr>
              <w:spacing w:line="240" w:lineRule="auto"/>
              <w:rPr>
                <w:rFonts w:ascii="Calibri" w:hAnsi="Calibri"/>
                <w:color w:val="000000"/>
                <w:sz w:val="20"/>
              </w:rPr>
            </w:pPr>
            <w:r w:rsidRPr="008B2E68">
              <w:rPr>
                <w:rFonts w:ascii="Calibri" w:hAnsi="Calibri"/>
                <w:b/>
                <w:bCs/>
                <w:color w:val="000000"/>
                <w:sz w:val="20"/>
              </w:rPr>
              <w:t>Promocja Legnicy jako czystego miasta;</w:t>
            </w:r>
          </w:p>
          <w:p w:rsidR="000341F1" w:rsidRDefault="000341F1" w:rsidP="000341F1">
            <w:pPr>
              <w:spacing w:line="240" w:lineRule="auto"/>
              <w:rPr>
                <w:rFonts w:ascii="Calibri" w:hAnsi="Calibri"/>
                <w:color w:val="000000"/>
                <w:sz w:val="20"/>
              </w:rPr>
            </w:pPr>
          </w:p>
          <w:p w:rsidR="000341F1" w:rsidRPr="000341F1" w:rsidRDefault="000341F1" w:rsidP="0007038B">
            <w:pPr>
              <w:spacing w:line="240" w:lineRule="auto"/>
              <w:rPr>
                <w:rFonts w:ascii="Calibri" w:hAnsi="Calibri"/>
                <w:color w:val="000000"/>
                <w:sz w:val="20"/>
              </w:rPr>
            </w:pPr>
            <w:r>
              <w:rPr>
                <w:rFonts w:ascii="Calibri" w:hAnsi="Calibri"/>
                <w:color w:val="000000"/>
                <w:sz w:val="20"/>
              </w:rPr>
              <w:t>Głównym źródłem finansowania inwestycji w rozbudowę gospodarki odpadami komunalnymi, obok miejskiego budżetu</w:t>
            </w:r>
            <w:r w:rsidR="0007038B">
              <w:rPr>
                <w:rFonts w:ascii="Calibri" w:hAnsi="Calibri"/>
                <w:color w:val="000000"/>
                <w:sz w:val="20"/>
              </w:rPr>
              <w:t xml:space="preserve"> i środków LPGiK Sp. z o.o.</w:t>
            </w:r>
            <w:r>
              <w:rPr>
                <w:rFonts w:ascii="Calibri" w:hAnsi="Calibri"/>
                <w:color w:val="000000"/>
                <w:sz w:val="20"/>
              </w:rPr>
              <w:t xml:space="preserve">, będą środki </w:t>
            </w:r>
            <w:r w:rsidR="00D82BDC">
              <w:rPr>
                <w:rFonts w:ascii="Calibri" w:hAnsi="Calibri"/>
                <w:color w:val="000000"/>
                <w:sz w:val="20"/>
              </w:rPr>
              <w:t>unijne pochodzące z Regionalnego Programu Operacyjnego dla Województwa Dolnośląskiego oraz Programu Operacyjnego Infrastruktura i Środowisko.</w:t>
            </w:r>
            <w:r w:rsidR="0020449F">
              <w:rPr>
                <w:rFonts w:ascii="Calibri" w:hAnsi="Calibri"/>
                <w:color w:val="000000"/>
                <w:sz w:val="20"/>
              </w:rPr>
              <w:t xml:space="preserve"> </w:t>
            </w:r>
            <w:r w:rsidR="0007038B" w:rsidRPr="00B40E3D">
              <w:rPr>
                <w:rFonts w:ascii="Calibri" w:hAnsi="Calibri" w:cs="Calibri"/>
                <w:color w:val="000000" w:themeColor="text1"/>
                <w:sz w:val="20"/>
              </w:rPr>
              <w:t>Osie priorytetowe w poszczególnych Programach zostaną określone po zatwierdzeniu ich „Uszczegółowień”.</w:t>
            </w:r>
          </w:p>
        </w:tc>
      </w:tr>
      <w:tr w:rsidR="00EA76D8" w:rsidRPr="002E3FD4" w:rsidTr="00EE553A">
        <w:trPr>
          <w:trHeight w:val="113"/>
        </w:trPr>
        <w:tc>
          <w:tcPr>
            <w:tcW w:w="9062" w:type="dxa"/>
            <w:gridSpan w:val="2"/>
            <w:tcBorders>
              <w:left w:val="nil"/>
              <w:bottom w:val="single" w:sz="4" w:space="0" w:color="auto"/>
              <w:right w:val="nil"/>
            </w:tcBorders>
            <w:shd w:val="clear" w:color="auto" w:fill="FFFFFF" w:themeFill="background1"/>
          </w:tcPr>
          <w:p w:rsidR="00EA76D8" w:rsidRPr="00EA76D8" w:rsidRDefault="00EA76D8" w:rsidP="00B73014">
            <w:pPr>
              <w:jc w:val="center"/>
              <w:rPr>
                <w:rFonts w:ascii="Calibri" w:hAnsi="Calibri"/>
                <w:b/>
                <w:color w:val="FFFFFF" w:themeColor="background1"/>
                <w:sz w:val="4"/>
              </w:rPr>
            </w:pPr>
          </w:p>
        </w:tc>
      </w:tr>
      <w:tr w:rsidR="00EA76D8" w:rsidRPr="002E3FD4" w:rsidTr="00EE553A">
        <w:trPr>
          <w:trHeight w:val="168"/>
        </w:trPr>
        <w:tc>
          <w:tcPr>
            <w:tcW w:w="9062" w:type="dxa"/>
            <w:gridSpan w:val="2"/>
            <w:tcBorders>
              <w:bottom w:val="single" w:sz="4" w:space="0" w:color="auto"/>
              <w:right w:val="single" w:sz="8" w:space="0" w:color="auto"/>
            </w:tcBorders>
            <w:shd w:val="clear" w:color="auto" w:fill="538135" w:themeFill="accent6" w:themeFillShade="BF"/>
          </w:tcPr>
          <w:p w:rsidR="00EA76D8" w:rsidRPr="00903FF7" w:rsidRDefault="00EA76D8" w:rsidP="00B73014">
            <w:pPr>
              <w:jc w:val="center"/>
              <w:rPr>
                <w:rFonts w:ascii="Calibri" w:hAnsi="Calibri"/>
                <w:b/>
                <w:color w:val="000000"/>
                <w:sz w:val="20"/>
              </w:rPr>
            </w:pPr>
            <w:r w:rsidRPr="00903FF7">
              <w:rPr>
                <w:rFonts w:ascii="Calibri" w:hAnsi="Calibri"/>
                <w:b/>
                <w:color w:val="FFFFFF" w:themeColor="background1"/>
                <w:sz w:val="22"/>
              </w:rPr>
              <w:t>Wskaźniki rezultatu dla Celu operacyjnego V.5</w:t>
            </w:r>
          </w:p>
        </w:tc>
      </w:tr>
      <w:tr w:rsidR="00EA76D8" w:rsidRPr="00FE0E55" w:rsidTr="00EE553A">
        <w:trPr>
          <w:trHeight w:val="168"/>
        </w:trPr>
        <w:tc>
          <w:tcPr>
            <w:tcW w:w="9062" w:type="dxa"/>
            <w:gridSpan w:val="2"/>
            <w:tcBorders>
              <w:bottom w:val="single" w:sz="4" w:space="0" w:color="auto"/>
              <w:right w:val="single" w:sz="8" w:space="0" w:color="auto"/>
            </w:tcBorders>
            <w:shd w:val="clear" w:color="auto" w:fill="E2EFD9" w:themeFill="accent6" w:themeFillTint="33"/>
          </w:tcPr>
          <w:p w:rsidR="00EE553A" w:rsidRPr="00EE553A" w:rsidRDefault="00EE553A" w:rsidP="00EE553A">
            <w:pPr>
              <w:pStyle w:val="Akapitzlist"/>
              <w:numPr>
                <w:ilvl w:val="0"/>
                <w:numId w:val="68"/>
              </w:numPr>
              <w:rPr>
                <w:rFonts w:ascii="Calibri" w:hAnsi="Calibri"/>
                <w:b/>
                <w:color w:val="000000"/>
                <w:sz w:val="20"/>
              </w:rPr>
            </w:pPr>
            <w:r w:rsidRPr="00EE553A">
              <w:rPr>
                <w:rFonts w:ascii="Calibri" w:hAnsi="Calibri"/>
                <w:b/>
                <w:color w:val="000000"/>
                <w:sz w:val="20"/>
              </w:rPr>
              <w:t>Ilość odpadów surowcowych zebranych i wysegregowanych ze strumienia odpadów komunalnych</w:t>
            </w:r>
            <w:r>
              <w:rPr>
                <w:rFonts w:ascii="Calibri" w:hAnsi="Calibri"/>
                <w:b/>
                <w:color w:val="000000"/>
                <w:sz w:val="20"/>
              </w:rPr>
              <w:t>;</w:t>
            </w:r>
          </w:p>
          <w:p w:rsidR="00EE553A" w:rsidRPr="00EE553A" w:rsidRDefault="00EE553A" w:rsidP="00EE553A">
            <w:pPr>
              <w:pStyle w:val="Akapitzlist"/>
              <w:numPr>
                <w:ilvl w:val="0"/>
                <w:numId w:val="68"/>
              </w:numPr>
              <w:rPr>
                <w:rFonts w:ascii="Calibri" w:hAnsi="Calibri"/>
                <w:b/>
                <w:color w:val="000000"/>
                <w:sz w:val="20"/>
              </w:rPr>
            </w:pPr>
            <w:r w:rsidRPr="00EE553A">
              <w:rPr>
                <w:rFonts w:ascii="Calibri" w:hAnsi="Calibri"/>
                <w:b/>
                <w:color w:val="000000"/>
                <w:sz w:val="20"/>
              </w:rPr>
              <w:t>Liczba osób deklarujących selektywną zbiórkę odpadów</w:t>
            </w:r>
            <w:r>
              <w:rPr>
                <w:rFonts w:ascii="Calibri" w:hAnsi="Calibri"/>
                <w:b/>
                <w:color w:val="000000"/>
                <w:sz w:val="20"/>
              </w:rPr>
              <w:t>;</w:t>
            </w:r>
          </w:p>
          <w:p w:rsidR="004A393C" w:rsidRPr="00903FF7" w:rsidRDefault="00EE553A" w:rsidP="00EE553A">
            <w:pPr>
              <w:pStyle w:val="Akapitzlist"/>
              <w:numPr>
                <w:ilvl w:val="0"/>
                <w:numId w:val="68"/>
              </w:numPr>
              <w:rPr>
                <w:rFonts w:ascii="Calibri" w:hAnsi="Calibri"/>
                <w:color w:val="000000"/>
                <w:sz w:val="20"/>
              </w:rPr>
            </w:pPr>
            <w:r w:rsidRPr="00EE553A">
              <w:rPr>
                <w:rFonts w:ascii="Calibri" w:hAnsi="Calibri"/>
                <w:b/>
                <w:color w:val="000000"/>
                <w:sz w:val="20"/>
              </w:rPr>
              <w:t>Liczba obiektów infrastruktury dla gospodarki odpadami</w:t>
            </w:r>
            <w:r w:rsidR="00903FF7" w:rsidRPr="00903FF7">
              <w:rPr>
                <w:rFonts w:ascii="Calibri" w:hAnsi="Calibri"/>
                <w:b/>
                <w:color w:val="000000"/>
                <w:sz w:val="20"/>
              </w:rPr>
              <w:t>;</w:t>
            </w:r>
          </w:p>
        </w:tc>
      </w:tr>
    </w:tbl>
    <w:p w:rsidR="00B30EBE" w:rsidRDefault="00B30EBE" w:rsidP="00EF2853">
      <w:pPr>
        <w:rPr>
          <w:rFonts w:asciiTheme="minorHAnsi" w:hAnsiTheme="minorHAnsi"/>
        </w:rPr>
        <w:sectPr w:rsidR="00B30EBE" w:rsidSect="002F52E4">
          <w:pgSz w:w="11906" w:h="16838"/>
          <w:pgMar w:top="1417" w:right="1417" w:bottom="1843" w:left="1417" w:header="708" w:footer="708" w:gutter="0"/>
          <w:cols w:space="708"/>
          <w:docGrid w:linePitch="360"/>
        </w:sectPr>
      </w:pPr>
    </w:p>
    <w:p w:rsidR="00B30EBE" w:rsidRDefault="00B30EBE" w:rsidP="00B30EBE">
      <w:pPr>
        <w:keepNext/>
        <w:keepLines/>
        <w:spacing w:before="240"/>
        <w:jc w:val="left"/>
        <w:outlineLvl w:val="0"/>
        <w:rPr>
          <w:rFonts w:asciiTheme="majorHAnsi" w:eastAsiaTheme="majorEastAsia" w:hAnsiTheme="majorHAnsi" w:cstheme="majorBidi"/>
          <w:i/>
          <w:color w:val="2E74B5" w:themeColor="accent1" w:themeShade="BF"/>
          <w:sz w:val="32"/>
          <w:szCs w:val="32"/>
        </w:rPr>
      </w:pPr>
      <w:bookmarkStart w:id="79" w:name="_Toc399756356"/>
      <w:r w:rsidRPr="00B30EBE">
        <w:rPr>
          <w:rFonts w:asciiTheme="majorHAnsi" w:eastAsiaTheme="majorEastAsia" w:hAnsiTheme="majorHAnsi" w:cstheme="majorBidi"/>
          <w:color w:val="2E74B5" w:themeColor="accent1" w:themeShade="BF"/>
          <w:sz w:val="32"/>
          <w:szCs w:val="32"/>
        </w:rPr>
        <w:lastRenderedPageBreak/>
        <w:t xml:space="preserve">Zasady wdrażania </w:t>
      </w:r>
      <w:r w:rsidR="009B1741">
        <w:rPr>
          <w:rFonts w:asciiTheme="majorHAnsi" w:eastAsiaTheme="majorEastAsia" w:hAnsiTheme="majorHAnsi" w:cstheme="majorBidi"/>
          <w:color w:val="2E74B5" w:themeColor="accent1" w:themeShade="BF"/>
          <w:sz w:val="32"/>
          <w:szCs w:val="32"/>
        </w:rPr>
        <w:t xml:space="preserve">postanowień </w:t>
      </w:r>
      <w:r w:rsidRPr="009B1741">
        <w:rPr>
          <w:rFonts w:asciiTheme="majorHAnsi" w:eastAsiaTheme="majorEastAsia" w:hAnsiTheme="majorHAnsi" w:cstheme="majorBidi"/>
          <w:i/>
          <w:color w:val="2E74B5" w:themeColor="accent1" w:themeShade="BF"/>
          <w:sz w:val="32"/>
          <w:szCs w:val="32"/>
        </w:rPr>
        <w:t>Strategii</w:t>
      </w:r>
      <w:r w:rsidR="009B1741">
        <w:rPr>
          <w:rFonts w:asciiTheme="majorHAnsi" w:eastAsiaTheme="majorEastAsia" w:hAnsiTheme="majorHAnsi" w:cstheme="majorBidi"/>
          <w:i/>
          <w:color w:val="2E74B5" w:themeColor="accent1" w:themeShade="BF"/>
          <w:sz w:val="32"/>
          <w:szCs w:val="32"/>
        </w:rPr>
        <w:t xml:space="preserve"> rozwoju Miasta Legnicy na lata 2015-2020 PLUS</w:t>
      </w:r>
      <w:bookmarkEnd w:id="79"/>
    </w:p>
    <w:p w:rsidR="00B30EBE" w:rsidRDefault="001A1529"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bookmarkStart w:id="80" w:name="_Toc399756357"/>
      <w:r>
        <w:rPr>
          <w:rFonts w:asciiTheme="majorHAnsi" w:eastAsiaTheme="majorEastAsia" w:hAnsiTheme="majorHAnsi" w:cstheme="majorBidi"/>
          <w:color w:val="2E74B5" w:themeColor="accent1" w:themeShade="BF"/>
          <w:sz w:val="26"/>
          <w:szCs w:val="26"/>
        </w:rPr>
        <w:br/>
      </w:r>
      <w:r w:rsidR="00B30EBE" w:rsidRPr="00B30EBE">
        <w:rPr>
          <w:rFonts w:asciiTheme="majorHAnsi" w:eastAsiaTheme="majorEastAsia" w:hAnsiTheme="majorHAnsi" w:cstheme="majorBidi"/>
          <w:color w:val="2E74B5" w:themeColor="accent1" w:themeShade="BF"/>
          <w:sz w:val="26"/>
          <w:szCs w:val="26"/>
        </w:rPr>
        <w:t>Wdrażanie</w:t>
      </w:r>
      <w:bookmarkEnd w:id="80"/>
      <w:r w:rsidR="00B30EBE" w:rsidRPr="00B30EBE">
        <w:rPr>
          <w:rFonts w:asciiTheme="majorHAnsi" w:eastAsiaTheme="majorEastAsia" w:hAnsiTheme="majorHAnsi" w:cstheme="majorBidi"/>
          <w:color w:val="2E74B5" w:themeColor="accent1" w:themeShade="BF"/>
          <w:sz w:val="26"/>
          <w:szCs w:val="26"/>
        </w:rPr>
        <w:t xml:space="preserve"> </w:t>
      </w:r>
    </w:p>
    <w:p w:rsidR="009B1741" w:rsidRPr="00B30EBE" w:rsidRDefault="009B1741"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A961FB">
      <w:pPr>
        <w:spacing w:after="160"/>
        <w:rPr>
          <w:rFonts w:asciiTheme="minorHAnsi" w:hAnsiTheme="minorHAnsi"/>
          <w:sz w:val="22"/>
        </w:rPr>
      </w:pPr>
      <w:r w:rsidRPr="00B30EBE">
        <w:rPr>
          <w:rFonts w:asciiTheme="minorHAnsi" w:hAnsiTheme="minorHAnsi"/>
          <w:i/>
          <w:sz w:val="22"/>
        </w:rPr>
        <w:t xml:space="preserve">Strategia rozwoju Miasta Legnicy na lata 2015-2020 PLUS </w:t>
      </w:r>
      <w:r w:rsidRPr="00B30EBE">
        <w:rPr>
          <w:rFonts w:asciiTheme="minorHAnsi" w:hAnsiTheme="minorHAnsi"/>
          <w:sz w:val="22"/>
        </w:rPr>
        <w:t xml:space="preserve">stanowi dokument wskazujący kierunki rozwoju Legnicy w średniookresowej perspektywie czasowej. Zadania główne, a także zadania uzupełniające określone w dokumencie </w:t>
      </w:r>
      <w:r w:rsidRPr="00B30EBE">
        <w:rPr>
          <w:rFonts w:asciiTheme="minorHAnsi" w:hAnsiTheme="minorHAnsi"/>
          <w:i/>
          <w:sz w:val="22"/>
        </w:rPr>
        <w:t>Strategii</w:t>
      </w:r>
      <w:r w:rsidRPr="00B30EBE">
        <w:rPr>
          <w:rFonts w:asciiTheme="minorHAnsi" w:hAnsiTheme="minorHAnsi"/>
          <w:sz w:val="22"/>
        </w:rPr>
        <w:t xml:space="preserve"> służą realizacji poszczególnych celów operacyjnych, a także mają urealnić proces strategiczny służący osiągnięciu stopnia rozwoju zgodnego z obrazem Miasta ujętego w wizji Legnicy. Prawidłowe zarządzanie procesem strategicznym powinno wykazywać wysoki stopień elastyczności, dostosowany do bieżących uwarunkowań wewnętrznych, możliwości budżetowych, jak i dynamicznie zmieniającej się sytuacji politycznej, gospodarczej i społecznej w otoczeniu miasta. Władze miasta, na podstawie informacji zwrotnych z dotychczasowych działań, danych o sytuacji wewnętrznej, jak i analizy trendów zachodzących w otoczeniu, sterują procesem strategicznym, dostosowując go do bieżących wyzwań i potrzeb rozwojowych, tak aby zapewnić jego najwyższą efektywność.</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Organem odpowiedzialnym za proces wdrażania zapisów dokumentu </w:t>
      </w:r>
      <w:r w:rsidRPr="00B30EBE">
        <w:rPr>
          <w:rFonts w:asciiTheme="minorHAnsi" w:hAnsiTheme="minorHAnsi"/>
          <w:i/>
          <w:sz w:val="22"/>
        </w:rPr>
        <w:t xml:space="preserve">Strategii rozwoju Miasta Legnicy na lata 2015-2020 PLUS </w:t>
      </w:r>
      <w:r w:rsidRPr="00B30EBE">
        <w:rPr>
          <w:rFonts w:asciiTheme="minorHAnsi" w:hAnsiTheme="minorHAnsi"/>
          <w:sz w:val="22"/>
        </w:rPr>
        <w:t xml:space="preserve">jest </w:t>
      </w:r>
      <w:r w:rsidRPr="00B30EBE">
        <w:rPr>
          <w:rFonts w:asciiTheme="minorHAnsi" w:hAnsiTheme="minorHAnsi"/>
          <w:b/>
          <w:sz w:val="22"/>
        </w:rPr>
        <w:t>Zespół Zarządzający Strategią,</w:t>
      </w:r>
      <w:r w:rsidRPr="00B30EBE">
        <w:rPr>
          <w:rFonts w:asciiTheme="minorHAnsi" w:hAnsiTheme="minorHAnsi"/>
          <w:sz w:val="22"/>
        </w:rPr>
        <w:t xml:space="preserve"> który zgodnie z zarządzaniem </w:t>
      </w:r>
      <w:r w:rsidRPr="00B30EBE">
        <w:rPr>
          <w:rFonts w:asciiTheme="minorHAnsi" w:hAnsiTheme="minorHAnsi" w:cs="TimesNewRomanPSMT"/>
          <w:sz w:val="22"/>
        </w:rPr>
        <w:t>Nr 313/PM/2013</w:t>
      </w:r>
      <w:r w:rsidRPr="00B30EBE">
        <w:rPr>
          <w:rFonts w:ascii="TimesNewRomanPSMT" w:hAnsi="TimesNewRomanPSMT" w:cs="TimesNewRomanPSMT"/>
          <w:sz w:val="22"/>
        </w:rPr>
        <w:t xml:space="preserve"> </w:t>
      </w:r>
      <w:r w:rsidRPr="00B30EBE">
        <w:rPr>
          <w:rFonts w:asciiTheme="minorHAnsi" w:hAnsiTheme="minorHAnsi"/>
          <w:sz w:val="22"/>
        </w:rPr>
        <w:t xml:space="preserve">Prezydenta Miasta Legnicy tworzą: Zastępcy Prezydenta Miasta, Sekretarz Miasta, Skarbnik Miasta oraz dyrektorzy i kierownicy Wydziałów Urzędu Miasta oraz Rzecznik Prasowy Miasta.   Skład Zespołu gwarantuje spójność i integrację zarządzania strategicznego z prowadzoną polityką zagospodarowania przestrzennego oraz wieloletnim planowaniem finansowym Miasta. </w:t>
      </w:r>
    </w:p>
    <w:p w:rsidR="00B30EBE" w:rsidRPr="00B30EBE" w:rsidRDefault="00B30EBE" w:rsidP="00A961FB">
      <w:pPr>
        <w:spacing w:after="160"/>
        <w:rPr>
          <w:rFonts w:asciiTheme="minorHAnsi" w:hAnsiTheme="minorHAnsi"/>
          <w:sz w:val="22"/>
        </w:rPr>
      </w:pPr>
      <w:r w:rsidRPr="00B30EBE">
        <w:rPr>
          <w:rFonts w:asciiTheme="minorHAnsi" w:hAnsiTheme="minorHAnsi"/>
          <w:sz w:val="22"/>
        </w:rPr>
        <w:t>Zespół Zarządzający Strategią minimum dwa razy w roku zbiera się na posiedzeniu kolegium, celem złożenia sprawozdania z monitoringu, oceny dotychczasowych działań i na tej podstawie dostosowania podejmowanych działań do zmieniającej się sytuacji w mieście i jego otoczeniu. Podstawową funkcją Zespołu Zarządzającego jest akceptacja i rekomendacja projektów inwestycyjnych realizowanych w ramach działań strategicznych w najbliższym okresie 1 roku budżetowego.</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Projekty inwestycji lub działań o charakterze nieinwestycyjnym są sporządzane, a następnie przedkładane Zespołowi Zarządzającemu Strategią, przez poszczególne wydziały merytoryczne Urzędu Miasta, spółki komunalne oraz jednostki organizacyjne miasta. Propozycje projektów inwestycyjnych muszą być zgodne z zadaniami określonymi w zapisach </w:t>
      </w:r>
      <w:r w:rsidRPr="00B30EBE">
        <w:rPr>
          <w:rFonts w:asciiTheme="minorHAnsi" w:hAnsiTheme="minorHAnsi"/>
          <w:i/>
          <w:sz w:val="22"/>
        </w:rPr>
        <w:t xml:space="preserve">Strategii </w:t>
      </w:r>
      <w:r w:rsidRPr="00B30EBE">
        <w:rPr>
          <w:rFonts w:asciiTheme="minorHAnsi" w:hAnsiTheme="minorHAnsi"/>
          <w:sz w:val="22"/>
        </w:rPr>
        <w:t>lub wpisywać się w cele strategiczne i cele operacyjne w niej zawarte. Formularz projektu powinien zawierać informacje o:</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podmiocie/ wydziale odpowiedzialnym za realizację i wdrażanie zadania;</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miejscu i harmonogramie inwestycji;</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opisie charakteru zadania, ewentualnie stopniu zaawansowania prac (przy kontynuacji wcześniejszych etapów inwestycji);</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kosztach finansowych;</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lastRenderedPageBreak/>
        <w:t>możliwościach aplikowania o środki zewnętrzne na realizację inwestycji lub kwocie otrzymanego dofinansowania zewnętrznego;</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oczekiwanych rezultatach społecznych i gospodarczych płynących z realizacji zadania, jak i oddziaływania na środowisko;</w:t>
      </w:r>
    </w:p>
    <w:p w:rsidR="00B30EBE" w:rsidRPr="00B30EBE" w:rsidRDefault="00B30EBE" w:rsidP="0062416A">
      <w:pPr>
        <w:numPr>
          <w:ilvl w:val="0"/>
          <w:numId w:val="115"/>
        </w:numPr>
        <w:spacing w:after="160"/>
        <w:contextualSpacing/>
        <w:jc w:val="left"/>
        <w:rPr>
          <w:rFonts w:asciiTheme="minorHAnsi" w:hAnsiTheme="minorHAnsi"/>
          <w:sz w:val="22"/>
        </w:rPr>
      </w:pPr>
      <w:r w:rsidRPr="00B30EBE">
        <w:rPr>
          <w:rFonts w:asciiTheme="minorHAnsi" w:hAnsiTheme="minorHAnsi"/>
          <w:sz w:val="22"/>
        </w:rPr>
        <w:t>planie finansowym wraz ze wskazaniem możliwych źródeł finansowania;</w:t>
      </w:r>
    </w:p>
    <w:p w:rsidR="00B30EBE" w:rsidRPr="00B30EBE" w:rsidRDefault="00B30EBE" w:rsidP="00A961FB">
      <w:pPr>
        <w:spacing w:after="160"/>
        <w:rPr>
          <w:rFonts w:asciiTheme="minorHAnsi" w:hAnsiTheme="minorHAnsi"/>
          <w:sz w:val="22"/>
        </w:rPr>
      </w:pPr>
      <w:r w:rsidRPr="00B30EBE">
        <w:rPr>
          <w:rFonts w:asciiTheme="minorHAnsi" w:hAnsiTheme="minorHAnsi"/>
          <w:sz w:val="22"/>
        </w:rPr>
        <w:t>Zgłaszane projekty podlegają merytorycznej ocenie uwzględniającej przede wszystkim możliwości budżetowe miasta, powiązanie projektu z celami określonymi w</w:t>
      </w:r>
      <w:r w:rsidRPr="00B30EBE">
        <w:rPr>
          <w:rFonts w:asciiTheme="minorHAnsi" w:hAnsiTheme="minorHAnsi"/>
          <w:i/>
          <w:sz w:val="22"/>
        </w:rPr>
        <w:t xml:space="preserve"> Strategii</w:t>
      </w:r>
      <w:r w:rsidRPr="00B30EBE">
        <w:rPr>
          <w:rFonts w:asciiTheme="minorHAnsi" w:hAnsiTheme="minorHAnsi"/>
          <w:sz w:val="22"/>
        </w:rPr>
        <w:t>, wpływ realizacji zadania na rozwój społeczno-gospodarczy miasta oraz na jakość życia mieszkańców. Po dokonanej weryfikacji, projekty zostają zhierarchizowane według wagi i wpływu na zrównoważony rozwój miasta, a następnie wpisane na listę projektów rekomendowanych przez Zespół Zarządzający Strategią.</w:t>
      </w:r>
    </w:p>
    <w:p w:rsidR="00B30EBE" w:rsidRPr="00B30EBE" w:rsidRDefault="00B30EBE" w:rsidP="00A961FB">
      <w:pPr>
        <w:spacing w:after="160"/>
        <w:rPr>
          <w:rFonts w:asciiTheme="minorHAnsi" w:hAnsiTheme="minorHAnsi"/>
          <w:sz w:val="22"/>
        </w:rPr>
      </w:pPr>
      <w:r w:rsidRPr="00B30EBE">
        <w:rPr>
          <w:rFonts w:asciiTheme="minorHAnsi" w:hAnsiTheme="minorHAnsi"/>
          <w:sz w:val="22"/>
        </w:rPr>
        <w:t>Lista projektów zaaprobowanych przez Zespół Zarządzający Strategią zostaje przedłożona do akceptacji Prezydentowi Miasta Legnicy, który ponownie weryfikuje ich zasadność i zgodność ze strategiczną polityką Miasta, a następnie przedstawia je Radzie Miasta. Rada Miasta poprzez podjęcie uchwały przeznacza niezbędne środki na sfinansowanie inwestycji</w:t>
      </w:r>
      <w:r w:rsidR="003B2DD6">
        <w:rPr>
          <w:rFonts w:asciiTheme="minorHAnsi" w:hAnsiTheme="minorHAnsi"/>
          <w:sz w:val="22"/>
        </w:rPr>
        <w:t>.</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Koordynatorem realizacji Strategii jest Wydział Rozwoju Miasta, który na bieżąco zbiera niezbędne dane i informacje o poczynionych inwestycjach, opracowuje raporty i prezentacje z monitoringu Strategii, a także wspiera inne wydziały merytoryczne w tworzeniu programów operacyjnych spójnych z zapisami Strategii Miasta. </w:t>
      </w:r>
    </w:p>
    <w:p w:rsidR="00B30EBE" w:rsidRDefault="00A961FB" w:rsidP="00A961FB">
      <w:pPr>
        <w:pStyle w:val="Nagwek2"/>
      </w:pPr>
      <w:bookmarkStart w:id="81" w:name="_Toc399756358"/>
      <w:r>
        <w:t>Strategia, a  programy operacyjne</w:t>
      </w:r>
      <w:r w:rsidR="00B30EBE" w:rsidRPr="00B30EBE">
        <w:t xml:space="preserve"> i </w:t>
      </w:r>
      <w:r>
        <w:t>sektorowe</w:t>
      </w:r>
      <w:bookmarkEnd w:id="81"/>
    </w:p>
    <w:p w:rsidR="009B1741" w:rsidRPr="009B1741" w:rsidRDefault="009B1741" w:rsidP="009B1741"/>
    <w:p w:rsidR="00B30EBE" w:rsidRPr="00B30EBE" w:rsidRDefault="00B30EBE" w:rsidP="00A961FB">
      <w:pPr>
        <w:spacing w:after="160"/>
        <w:rPr>
          <w:rFonts w:asciiTheme="minorHAnsi" w:hAnsiTheme="minorHAnsi"/>
          <w:sz w:val="22"/>
        </w:rPr>
      </w:pPr>
      <w:r w:rsidRPr="00B30EBE">
        <w:rPr>
          <w:rFonts w:asciiTheme="minorHAnsi" w:hAnsiTheme="minorHAnsi"/>
          <w:sz w:val="22"/>
        </w:rPr>
        <w:t>Strategia rozwoju stanowi dokument nadrzędny w procesie planistyczno-strategicznym miasta. Zadania w niej określone będą konkretyzować się w zapisach programów operacyjnych i sektorowych, opracowywanych przez poszczególne wydziały i komórki merytoryczne Urzędu Miasta, takie jak m.in. Lokalne Programy Rewitalizacji, Studium Komunikacyjne, Program gospodarczy, czy Plan energetyczny. Poszczególne wydziały merytoryczne Urzędu Miasta, opracowując programy sektorowe i operacyjne, zobligowane są do zachowania spójności tych dokumentów z dokumentem Strategii, w szczególności w zakresie komplementarności celów i zadań z tymi wskazanymi w Strategii Miasta. Spójność programów operacyjnych z dokumentem nadrzędnym jakim jest Strategia rozwoju, warunkuje bowiem zachowanie logiki i prawidłowości prowadzonego procesu zarządzania strategicznego w mieście.</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Szczegółowy zakres i charakter planowanych zadań, wynikających z dokumentów planistycznych, powinien być następnie określany za pomocą sporządzanych studiów wykonalności, zawierających niezbędne informacje o uwarunkowaniach ekonomicznych, społecznych, przestrzennych, technologicznych i instytucjonalnych planowanych inwestycji.  </w:t>
      </w:r>
    </w:p>
    <w:p w:rsid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bookmarkStart w:id="82" w:name="_Toc399756359"/>
      <w:r w:rsidRPr="00B30EBE">
        <w:rPr>
          <w:rFonts w:asciiTheme="majorHAnsi" w:eastAsiaTheme="majorEastAsia" w:hAnsiTheme="majorHAnsi" w:cstheme="majorBidi"/>
          <w:color w:val="2E74B5" w:themeColor="accent1" w:themeShade="BF"/>
          <w:sz w:val="26"/>
          <w:szCs w:val="26"/>
        </w:rPr>
        <w:t xml:space="preserve">Udział społeczeństwa </w:t>
      </w:r>
      <w:r w:rsidR="00104C40">
        <w:rPr>
          <w:rFonts w:asciiTheme="majorHAnsi" w:eastAsiaTheme="majorEastAsia" w:hAnsiTheme="majorHAnsi" w:cstheme="majorBidi"/>
          <w:color w:val="2E74B5" w:themeColor="accent1" w:themeShade="BF"/>
          <w:sz w:val="26"/>
          <w:szCs w:val="26"/>
        </w:rPr>
        <w:t>w procesie strategicznym</w:t>
      </w:r>
      <w:bookmarkEnd w:id="82"/>
    </w:p>
    <w:p w:rsidR="00104C40" w:rsidRDefault="00104C40"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7A21FF" w:rsidRDefault="00B30EBE" w:rsidP="00B30EBE">
      <w:pPr>
        <w:spacing w:after="160"/>
        <w:rPr>
          <w:rFonts w:asciiTheme="minorHAnsi" w:hAnsiTheme="minorHAnsi"/>
          <w:sz w:val="22"/>
        </w:rPr>
      </w:pPr>
      <w:r w:rsidRPr="00B30EBE">
        <w:rPr>
          <w:rFonts w:asciiTheme="minorHAnsi" w:hAnsiTheme="minorHAnsi"/>
          <w:sz w:val="22"/>
        </w:rPr>
        <w:t xml:space="preserve">U podstaw prac nad Strategią oraz formułowania jej zapisów leżała koncepcja podejścia partycypacyjnego, czego wyrazem były warsztaty strategiczne prowadzone przy udziale szeroko rozumianych interesariuszy oraz konsultacje z mieszkańcami. Podejście partycypacyjne zakłada planowanie oraz realizację programu rozwoju lokalnego przy szerokim udziale i zaangażowaniu społeczności lokalnej oraz kształtowaniu wspólnoty miejskiej. Warunkiem koniecznym dla </w:t>
      </w:r>
    </w:p>
    <w:p w:rsidR="00B30EBE" w:rsidRPr="00B30EBE" w:rsidRDefault="00B30EBE" w:rsidP="00B30EBE">
      <w:pPr>
        <w:spacing w:after="160"/>
        <w:rPr>
          <w:rFonts w:asciiTheme="minorHAnsi" w:hAnsiTheme="minorHAnsi"/>
          <w:sz w:val="22"/>
        </w:rPr>
      </w:pPr>
      <w:r w:rsidRPr="00B30EBE">
        <w:rPr>
          <w:rFonts w:asciiTheme="minorHAnsi" w:hAnsiTheme="minorHAnsi"/>
          <w:sz w:val="22"/>
        </w:rPr>
        <w:lastRenderedPageBreak/>
        <w:t xml:space="preserve">prawidłowego przebiegu tego procesu jest transparentność, informowanie opinii publicznej o osiąganych rezultatach oraz bieżących działaniach.  </w:t>
      </w:r>
    </w:p>
    <w:p w:rsidR="00B30EBE" w:rsidRPr="00B30EBE" w:rsidRDefault="00B30EBE" w:rsidP="00B30EBE">
      <w:pPr>
        <w:spacing w:after="160"/>
        <w:rPr>
          <w:rFonts w:asciiTheme="minorHAnsi" w:hAnsiTheme="minorHAnsi"/>
          <w:sz w:val="22"/>
        </w:rPr>
      </w:pPr>
      <w:r w:rsidRPr="00B30EBE">
        <w:rPr>
          <w:rFonts w:asciiTheme="minorHAnsi" w:hAnsiTheme="minorHAnsi"/>
          <w:sz w:val="22"/>
        </w:rPr>
        <w:t xml:space="preserve">Nadzór społeczny nad  prawidłową realizacją Strategii pełni </w:t>
      </w:r>
      <w:r w:rsidRPr="00B30EBE">
        <w:rPr>
          <w:rFonts w:asciiTheme="minorHAnsi" w:hAnsiTheme="minorHAnsi"/>
          <w:b/>
          <w:sz w:val="22"/>
        </w:rPr>
        <w:t>Komitet Sterujący</w:t>
      </w:r>
      <w:r w:rsidRPr="00B30EBE">
        <w:rPr>
          <w:rFonts w:asciiTheme="minorHAnsi" w:hAnsiTheme="minorHAnsi"/>
          <w:sz w:val="22"/>
        </w:rPr>
        <w:t xml:space="preserve">, którego członkami są lokalni liderzy opinii, będący przedstawicielami organizacji społecznych i pozarządowych, instytucji publicznych, przedsiębiorstw, jednostek naukowo-dydaktycznych, instytucji otoczenia biznesu, itp. Przewiduje się, iż minimum raz na trzy lata zostanie zorganizowane spotkanie Komitetu Sterującego, na którym przedstawiciele Zespołu Zarządzającego przedstawią sprawozdanie z monitoringu Strategii, tj. dotychczasowy przebieg wdrażania zapisów Strategii, stopień zaawansowania realizowanych inwestycji oraz dalsze plany inwestycyjne Miasta służące osiągnięciu zamierzonych celów operacyjnych i strategicznych. Przygotowanie materiałów oraz organizacja spotkania leży po stronie Wydziału Rozwoju Miasta, przy czynnym udziale i pomocy pozostałych wydziałów merytorycznych. Wnioski i uwagi zgłaszane podczas spotkań ze strony członków Komitetu Sterującego będą protokołowane i  rozpatrywane na kolejnym kolegium Zespołu Zarządzającego. </w:t>
      </w:r>
    </w:p>
    <w:p w:rsidR="00B30EBE" w:rsidRPr="00B30EBE" w:rsidRDefault="00B30EBE" w:rsidP="00B30EBE">
      <w:pPr>
        <w:spacing w:after="160"/>
        <w:rPr>
          <w:rFonts w:asciiTheme="minorHAnsi" w:hAnsiTheme="minorHAnsi"/>
          <w:sz w:val="22"/>
        </w:rPr>
      </w:pPr>
      <w:r w:rsidRPr="00B30EBE">
        <w:rPr>
          <w:rFonts w:asciiTheme="minorHAnsi" w:hAnsiTheme="minorHAnsi"/>
          <w:sz w:val="22"/>
        </w:rPr>
        <w:t>Komitet Sterujący stanowi także merytoryczny organ doradczy, szczególnie istotny w procesie aktualizacji Strategii. Opierając się na wiedzy i doświadczeniu członków, Komitet ma wspierać Urząd Miasta w diagnozowaniu obecnej sytuacji w mieście, wskazywaniu kierunków dalszego rozwoju, a także określaniu najbardziej istotnych wyzwań i problemów  w sferze społecznej, gospodarczej i środowiskowej.</w:t>
      </w:r>
    </w:p>
    <w:p w:rsidR="00B30EBE" w:rsidRPr="00B30EBE" w:rsidRDefault="003B2DD6" w:rsidP="00B30EBE">
      <w:pPr>
        <w:spacing w:after="160"/>
        <w:rPr>
          <w:rFonts w:asciiTheme="minorHAnsi" w:hAnsiTheme="minorHAnsi"/>
          <w:sz w:val="22"/>
        </w:rPr>
      </w:pPr>
      <w:r w:rsidRPr="003B2DD6">
        <w:rPr>
          <w:rFonts w:asciiTheme="minorHAnsi" w:hAnsiTheme="minorHAnsi"/>
          <w:sz w:val="22"/>
        </w:rPr>
        <w:t>Partycypacja publiczna oznacza jednoznaczne wskazanie współodpowiedzialności mieszkańców (zarówno młodzieży jak i seniorów, niepełnosprawnych, bizne</w:t>
      </w:r>
      <w:r>
        <w:rPr>
          <w:rFonts w:asciiTheme="minorHAnsi" w:hAnsiTheme="minorHAnsi"/>
          <w:sz w:val="22"/>
        </w:rPr>
        <w:t>su, organizacji pozarządowych i </w:t>
      </w:r>
      <w:r w:rsidRPr="003B2DD6">
        <w:rPr>
          <w:rFonts w:asciiTheme="minorHAnsi" w:hAnsiTheme="minorHAnsi"/>
          <w:sz w:val="22"/>
        </w:rPr>
        <w:t xml:space="preserve">stowarzyszeń itp.) </w:t>
      </w:r>
      <w:r w:rsidRPr="006A7B68">
        <w:rPr>
          <w:rFonts w:asciiTheme="minorHAnsi" w:hAnsiTheme="minorHAnsi"/>
          <w:color w:val="00B0F0"/>
          <w:sz w:val="22"/>
        </w:rPr>
        <w:t xml:space="preserve"> </w:t>
      </w:r>
      <w:r w:rsidRPr="000F2184">
        <w:rPr>
          <w:rFonts w:asciiTheme="minorHAnsi" w:hAnsiTheme="minorHAnsi"/>
          <w:color w:val="000000" w:themeColor="text1"/>
          <w:sz w:val="22"/>
        </w:rPr>
        <w:t>za zrównoważony rozwój miasta</w:t>
      </w:r>
      <w:r w:rsidRPr="00280C94">
        <w:rPr>
          <w:rFonts w:asciiTheme="minorHAnsi" w:hAnsiTheme="minorHAnsi"/>
          <w:color w:val="FF0000"/>
          <w:sz w:val="22"/>
        </w:rPr>
        <w:t>.</w:t>
      </w:r>
      <w:r w:rsidRPr="006A7B68">
        <w:rPr>
          <w:rFonts w:asciiTheme="minorHAnsi" w:hAnsiTheme="minorHAnsi"/>
          <w:color w:val="00B0F0"/>
          <w:sz w:val="22"/>
        </w:rPr>
        <w:t xml:space="preserve"> </w:t>
      </w:r>
      <w:r w:rsidR="00B30EBE" w:rsidRPr="00B30EBE">
        <w:rPr>
          <w:rFonts w:asciiTheme="minorHAnsi" w:hAnsiTheme="minorHAnsi"/>
          <w:sz w:val="22"/>
        </w:rPr>
        <w:t xml:space="preserve">Władze Miasta z uwagi na posiadany </w:t>
      </w:r>
      <w:r w:rsidR="00A961FB">
        <w:rPr>
          <w:rFonts w:asciiTheme="minorHAnsi" w:hAnsiTheme="minorHAnsi"/>
          <w:sz w:val="22"/>
        </w:rPr>
        <w:t>mandat społeczny, kompetencje i </w:t>
      </w:r>
      <w:r w:rsidR="00B30EBE" w:rsidRPr="00B30EBE">
        <w:rPr>
          <w:rFonts w:asciiTheme="minorHAnsi" w:hAnsiTheme="minorHAnsi"/>
          <w:sz w:val="22"/>
        </w:rPr>
        <w:t xml:space="preserve">możliwości sterują procesem strategicznym, jednak jego realizacja powinna wykraczać poza administrację samorządową. Partnerstwo strategiczne pomiędzy różnymi podmiotami działającymi w mieście, mieszkańcami oraz administracją państwową i samorządową, powinno koncentrować się zarówno na współpracy przy wdrażaniu postanowień Strategii jak i </w:t>
      </w:r>
      <w:r w:rsidR="00A961FB">
        <w:rPr>
          <w:rFonts w:asciiTheme="minorHAnsi" w:hAnsiTheme="minorHAnsi"/>
          <w:sz w:val="22"/>
        </w:rPr>
        <w:t>harmonizowaniu inicjatyw i </w:t>
      </w:r>
      <w:r w:rsidR="00B30EBE" w:rsidRPr="00B30EBE">
        <w:rPr>
          <w:rFonts w:asciiTheme="minorHAnsi" w:hAnsiTheme="minorHAnsi"/>
          <w:sz w:val="22"/>
        </w:rPr>
        <w:t xml:space="preserve">przedsięwzięć podejmowanych przez poszczególnych „lokalnych aktorów” z zadaniami i celami w niej określonymi. </w:t>
      </w:r>
    </w:p>
    <w:p w:rsidR="00B30EBE" w:rsidRPr="00B30EBE" w:rsidRDefault="00B30EBE" w:rsidP="00B30EBE">
      <w:pPr>
        <w:spacing w:after="160"/>
        <w:rPr>
          <w:rFonts w:asciiTheme="minorHAnsi" w:hAnsiTheme="minorHAnsi"/>
          <w:sz w:val="22"/>
        </w:rPr>
      </w:pPr>
      <w:r w:rsidRPr="00B30EBE">
        <w:rPr>
          <w:rFonts w:asciiTheme="minorHAnsi" w:hAnsiTheme="minorHAnsi"/>
          <w:sz w:val="22"/>
        </w:rPr>
        <w:t xml:space="preserve">Część działań wskazanych w ramach </w:t>
      </w:r>
      <w:r w:rsidRPr="00B30EBE">
        <w:rPr>
          <w:rFonts w:asciiTheme="minorHAnsi" w:hAnsiTheme="minorHAnsi"/>
          <w:i/>
          <w:sz w:val="22"/>
        </w:rPr>
        <w:t>Strategii</w:t>
      </w:r>
      <w:r w:rsidRPr="00B30EBE">
        <w:rPr>
          <w:rFonts w:asciiTheme="minorHAnsi" w:hAnsiTheme="minorHAnsi"/>
          <w:sz w:val="22"/>
        </w:rPr>
        <w:t xml:space="preserve"> wiąże się z okresowymi uciążliwościami dla mieszkańców, dlatego też niezwykle istotne jest bieżące informowanie opinii publicznej o realizowanych działaniach oraz próba zbudowania społecznego poparcia dla podejmowanych inicjatyw. Coroczne raporty z monitoringu Strategii powinny być upubliczniane na stronie internetowej Miasta, a informacje o szczególnie istotnych przedsięwzięciach przekazywane za pomocą lokalnych mediów. </w:t>
      </w:r>
      <w:r w:rsidR="000D6A1A">
        <w:rPr>
          <w:rFonts w:asciiTheme="minorHAnsi" w:hAnsiTheme="minorHAnsi"/>
          <w:sz w:val="22"/>
        </w:rPr>
        <w:t xml:space="preserve">Istotnym kanałem komunikacji o postępach w realizacji programu strategicznego </w:t>
      </w:r>
      <w:r w:rsidR="001A1529">
        <w:rPr>
          <w:rFonts w:asciiTheme="minorHAnsi" w:hAnsiTheme="minorHAnsi"/>
          <w:sz w:val="22"/>
        </w:rPr>
        <w:t>są</w:t>
      </w:r>
      <w:r w:rsidR="000D6A1A">
        <w:rPr>
          <w:rFonts w:asciiTheme="minorHAnsi" w:hAnsiTheme="minorHAnsi"/>
          <w:sz w:val="22"/>
        </w:rPr>
        <w:t xml:space="preserve"> także spotkania Prezydenta Miasta Legnicy z mieszkańcami poszczególnych dzielnic, do których wstępem mogłoby być krótkie sprawozdanie z realizowanych inwestycji o charakterze ogólnomiejskim, wpisują</w:t>
      </w:r>
      <w:r w:rsidR="001A1529">
        <w:rPr>
          <w:rFonts w:asciiTheme="minorHAnsi" w:hAnsiTheme="minorHAnsi"/>
          <w:sz w:val="22"/>
        </w:rPr>
        <w:t>cych</w:t>
      </w:r>
      <w:r w:rsidR="000D6A1A">
        <w:rPr>
          <w:rFonts w:asciiTheme="minorHAnsi" w:hAnsiTheme="minorHAnsi"/>
          <w:sz w:val="22"/>
        </w:rPr>
        <w:t xml:space="preserve"> się w cele określone w </w:t>
      </w:r>
      <w:r w:rsidR="000D6A1A" w:rsidRPr="000D6A1A">
        <w:rPr>
          <w:rFonts w:asciiTheme="minorHAnsi" w:hAnsiTheme="minorHAnsi"/>
          <w:i/>
          <w:sz w:val="22"/>
        </w:rPr>
        <w:t>Strategii rozwoju Miasta.</w:t>
      </w:r>
    </w:p>
    <w:p w:rsidR="00B30EBE" w:rsidRDefault="00B30EBE" w:rsidP="00B30EBE">
      <w:pPr>
        <w:spacing w:after="160"/>
        <w:rPr>
          <w:rFonts w:asciiTheme="minorHAnsi" w:hAnsiTheme="minorHAnsi"/>
          <w:sz w:val="22"/>
        </w:rPr>
      </w:pPr>
      <w:r w:rsidRPr="00B30EBE">
        <w:rPr>
          <w:rFonts w:asciiTheme="minorHAnsi" w:hAnsiTheme="minorHAnsi"/>
          <w:sz w:val="22"/>
        </w:rPr>
        <w:br w:type="page"/>
      </w:r>
    </w:p>
    <w:p w:rsidR="00B30EBE" w:rsidRPr="00B30EBE" w:rsidRDefault="00B30EBE" w:rsidP="00B30EBE">
      <w:pPr>
        <w:spacing w:after="160"/>
        <w:rPr>
          <w:rFonts w:asciiTheme="minorHAnsi" w:hAnsiTheme="minorHAnsi"/>
          <w:b/>
          <w:sz w:val="20"/>
        </w:rPr>
      </w:pPr>
      <w:r w:rsidRPr="00B30EBE">
        <w:rPr>
          <w:rFonts w:asciiTheme="minorHAnsi" w:hAnsiTheme="minorHAnsi"/>
          <w:b/>
          <w:sz w:val="20"/>
        </w:rPr>
        <w:lastRenderedPageBreak/>
        <w:t>Schemat zarządzania procesem strategicznym</w:t>
      </w: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08416" behindDoc="0" locked="0" layoutInCell="1" allowOverlap="1" wp14:anchorId="6B7B8739" wp14:editId="7CFF9768">
                <wp:simplePos x="0" y="0"/>
                <wp:positionH relativeFrom="column">
                  <wp:posOffset>5015230</wp:posOffset>
                </wp:positionH>
                <wp:positionV relativeFrom="paragraph">
                  <wp:posOffset>74930</wp:posOffset>
                </wp:positionV>
                <wp:extent cx="1407160" cy="3333750"/>
                <wp:effectExtent l="0" t="0" r="21590" b="19050"/>
                <wp:wrapNone/>
                <wp:docPr id="138" name="Pole tekstowe 138"/>
                <wp:cNvGraphicFramePr/>
                <a:graphic xmlns:a="http://schemas.openxmlformats.org/drawingml/2006/main">
                  <a:graphicData uri="http://schemas.microsoft.com/office/word/2010/wordprocessingShape">
                    <wps:wsp>
                      <wps:cNvSpPr txBox="1"/>
                      <wps:spPr>
                        <a:xfrm>
                          <a:off x="0" y="0"/>
                          <a:ext cx="1407160" cy="3333750"/>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sidRPr="00A961FB">
                              <w:rPr>
                                <w:rFonts w:asciiTheme="minorHAnsi" w:hAnsiTheme="minorHAnsi"/>
                                <w:b/>
                              </w:rPr>
                              <w:t>Wydział Rozwoju Miasta</w:t>
                            </w:r>
                          </w:p>
                          <w:p w:rsidR="00A469F2" w:rsidRPr="00A961FB" w:rsidRDefault="00A469F2"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Koordynuje bieżące prace nad wdrażaniem Strategii;</w:t>
                            </w:r>
                          </w:p>
                          <w:p w:rsidR="00A469F2" w:rsidRPr="00A961FB" w:rsidRDefault="00A469F2"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Zbiera informacje i dane niezbędne do opracowania raportu z monitoringu i ewaluacji Strategii;</w:t>
                            </w:r>
                          </w:p>
                          <w:p w:rsidR="00A469F2" w:rsidRPr="00A961FB" w:rsidRDefault="00A469F2"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Składa sprawozdania przed Zespołem Zarządzającym Strategią,  a także na wniosek Prezydenta lub innych wydziałów udziela informacji i danych  o bieżących działaniach realizowanych w ramach Strategii rozwoju Miasta;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38" o:spid="_x0000_s1072" type="#_x0000_t202" style="position:absolute;left:0;text-align:left;margin-left:394.9pt;margin-top:5.9pt;width:110.8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jLYwIAANIEAAAOAAAAZHJzL2Uyb0RvYy54bWysVE1vGjEQvVfqf7B8LwuEkASxRJSIqhJK&#10;kJIqZ+P1wipej2sbdumv77P5SJr0VHUPZsYz82b8ZobxbVtrtlPOV2Ry3ut0OVNGUlGZdc5/PM2/&#10;XHPmgzCF0GRUzvfK89vJ50/jxo5UnzakC+UYQIwfNTbnmxDsKMu83Kha+A5ZZWAsydUiQHXrrHCi&#10;AXqts363O8wacoV1JJX3uL07GPkk4ZelkuGhLL0KTOcctYV0unSu4plNxmK0dsJuKnksQ/xDFbWo&#10;DJKeoe5EEGzrqg9QdSUdeSpDR1KdUVlWUqU34DW97rvXPG6EVektIMfbM03+/8HK+93SsapA7y7Q&#10;KiNqNGlJWrGgXnygRrFoAE2N9SN4P1r4h/YrtQg53Xtcxte3pavjL97FYAfh+zPJqg1MxqBB96o3&#10;hEnCdoHv6jK1IXsNt86Hb4pqFoWcO3QxkSt2Cx9QClxPLjGbJ10V80rrpOz9TDu2E2g45qSghjMt&#10;fMBlzufpi1UD4o8wbViT8+EFavkAGXOdMVdayJePCMDTJkaqNHTHOiNnB26iFNpVm6ju35yIW1Gx&#10;B5+ODoPprZxXyLZAwUvhMIngCdsVHnCUmlAiHSXONuR+/e0++mNAYOWswWTn3P/cCqfAw3eD0bnp&#10;DQZxFZIyuLzqQ3FvLau3FrOtZwQue9hjK5MY/YM+iaWj+hlLOI1ZYRJGInfOw0mchcO+YYmlmk6T&#10;E4bfirAwj1ZG6EhcZPmpfRbOHtseMDH3dNoBMXrX/YNvjDQ03QYqqzQakegDq2hyVLA4qd3HJY+b&#10;+VZPXq9/RZPfAAAA//8DAFBLAwQUAAYACAAAACEAWYTJbN8AAAALAQAADwAAAGRycy9kb3ducmV2&#10;LnhtbEyPzU7DMBCE70i8g7VI3KgTfkoa4lQIiSNCBA705trbxBCvo9hNQ5+e7QlOo9WMZr6t1rPv&#10;xYRjdIEU5IsMBJIJ1lGr4OP9+aoAEZMmq/tAqOAHI6zr87NKlzYc6A2nJrWCSyiWWkGX0lBKGU2H&#10;XsdFGJDY24XR68Tn2Eo76gOX+15eZ9lSeu2IFzo94FOH5rvZewWWPgOZjXs5OmqMWx1fiy8zKXV5&#10;MT8+gEg4p78wnPAZHWpm2oY92Sh6BffFitETGznrKZDl+S2IrYK7m2UBsq7k/x/qXwAAAP//AwBQ&#10;SwECLQAUAAYACAAAACEAtoM4kv4AAADhAQAAEwAAAAAAAAAAAAAAAAAAAAAAW0NvbnRlbnRfVHlw&#10;ZXNdLnhtbFBLAQItABQABgAIAAAAIQA4/SH/1gAAAJQBAAALAAAAAAAAAAAAAAAAAC8BAABfcmVs&#10;cy8ucmVsc1BLAQItABQABgAIAAAAIQAbH4jLYwIAANIEAAAOAAAAAAAAAAAAAAAAAC4CAABkcnMv&#10;ZTJvRG9jLnhtbFBLAQItABQABgAIAAAAIQBZhMls3wAAAAsBAAAPAAAAAAAAAAAAAAAAAL0EAABk&#10;cnMvZG93bnJldi54bWxQSwUGAAAAAAQABADzAAAAyQUAAAAA&#10;" fillcolor="window" strokeweight=".5pt">
                <v:textbox>
                  <w:txbxContent>
                    <w:p w:rsidR="00960314" w:rsidRPr="00A961FB" w:rsidRDefault="00960314" w:rsidP="00B30EBE">
                      <w:pPr>
                        <w:spacing w:line="240" w:lineRule="auto"/>
                        <w:jc w:val="center"/>
                        <w:rPr>
                          <w:rFonts w:asciiTheme="minorHAnsi" w:hAnsiTheme="minorHAnsi"/>
                          <w:b/>
                        </w:rPr>
                      </w:pPr>
                      <w:r w:rsidRPr="00A961FB">
                        <w:rPr>
                          <w:rFonts w:asciiTheme="minorHAnsi" w:hAnsiTheme="minorHAnsi"/>
                          <w:b/>
                        </w:rPr>
                        <w:t>Wydział Rozwoju Miasta</w:t>
                      </w:r>
                    </w:p>
                    <w:p w:rsidR="00960314" w:rsidRPr="00A961FB" w:rsidRDefault="00960314"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Koordynuje bieżące prace nad wdrażaniem Strategii;</w:t>
                      </w:r>
                    </w:p>
                    <w:p w:rsidR="00960314" w:rsidRPr="00A961FB" w:rsidRDefault="00960314"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Zbiera informacje i dane niezbędne do opracowania raportu z monitoringu i ewaluacji Strategii;</w:t>
                      </w:r>
                    </w:p>
                    <w:p w:rsidR="00960314" w:rsidRPr="00A961FB" w:rsidRDefault="00960314" w:rsidP="0062416A">
                      <w:pPr>
                        <w:pStyle w:val="Akapitzlist"/>
                        <w:numPr>
                          <w:ilvl w:val="0"/>
                          <w:numId w:val="118"/>
                        </w:numPr>
                        <w:spacing w:after="160" w:line="240" w:lineRule="auto"/>
                        <w:ind w:left="284"/>
                        <w:jc w:val="left"/>
                        <w:rPr>
                          <w:rFonts w:asciiTheme="minorHAnsi" w:hAnsiTheme="minorHAnsi"/>
                          <w:sz w:val="18"/>
                        </w:rPr>
                      </w:pPr>
                      <w:r w:rsidRPr="00A961FB">
                        <w:rPr>
                          <w:rFonts w:asciiTheme="minorHAnsi" w:hAnsiTheme="minorHAnsi"/>
                          <w:sz w:val="18"/>
                        </w:rPr>
                        <w:t>Składa sprawozdania przed Zespołem Zarządzającym Strategią,  a także na wniosek Prezydenta lub innych wydziałów udziela informacji i danych  o bieżących działaniach realizowanych w ramach Strategii rozwoju Miasta;</w:t>
                      </w:r>
                    </w:p>
                  </w:txbxContent>
                </v:textbox>
              </v:shape>
            </w:pict>
          </mc:Fallback>
        </mc:AlternateContent>
      </w:r>
      <w:r w:rsidRPr="00B30EBE">
        <w:rPr>
          <w:rFonts w:asciiTheme="minorHAnsi" w:hAnsiTheme="minorHAnsi"/>
          <w:noProof/>
          <w:sz w:val="22"/>
          <w:lang w:eastAsia="pl-PL"/>
        </w:rPr>
        <mc:AlternateContent>
          <mc:Choice Requires="wps">
            <w:drawing>
              <wp:anchor distT="0" distB="0" distL="114300" distR="114300" simplePos="0" relativeHeight="251713536" behindDoc="0" locked="0" layoutInCell="1" allowOverlap="1" wp14:anchorId="74605ACD" wp14:editId="2F886B93">
                <wp:simplePos x="0" y="0"/>
                <wp:positionH relativeFrom="column">
                  <wp:posOffset>4819650</wp:posOffset>
                </wp:positionH>
                <wp:positionV relativeFrom="paragraph">
                  <wp:posOffset>212090</wp:posOffset>
                </wp:positionV>
                <wp:extent cx="200025" cy="484505"/>
                <wp:effectExtent l="19050" t="38100" r="28575" b="48895"/>
                <wp:wrapNone/>
                <wp:docPr id="139" name="Strzałka w prawo 139"/>
                <wp:cNvGraphicFramePr/>
                <a:graphic xmlns:a="http://schemas.openxmlformats.org/drawingml/2006/main">
                  <a:graphicData uri="http://schemas.microsoft.com/office/word/2010/wordprocessingShape">
                    <wps:wsp>
                      <wps:cNvSpPr/>
                      <wps:spPr>
                        <a:xfrm flipH="1">
                          <a:off x="0" y="0"/>
                          <a:ext cx="20002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załka w prawo 139" o:spid="_x0000_s1026" type="#_x0000_t13" style="position:absolute;margin-left:379.5pt;margin-top:16.7pt;width:15.75pt;height:38.15pt;flip:x;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kgIAAC0FAAAOAAAAZHJzL2Uyb0RvYy54bWysVE1PGzEQvVfqf7B8L7tJkwIRCQpEtJUQ&#10;IIWK88TrzVr1V8dONnDkv/V/dezd8FVOVS+WxzN+43nzxienO6PZVmJQzk754KDkTFrhKmXXU/7j&#10;9uLTEWchgq1AOyun/F4Gfjr7+OGk9RM5dI3TlURGIDZMWj/lTYx+UhRBNNJAOHBeWnLWDg1EMnFd&#10;VAgtoRtdDMvyS9E6rDw6IUOg00Xn5LOMX9dSxOu6DjIyPeX0tphXzOsqrcXsBCZrBN8o0T8D/uEV&#10;BpSlpE9QC4jANqj+gjJKoAuujgfCmcLVtRIy10DVDMo31Swb8DLXQuQE/0RT+H+w4mp7g0xV1LvP&#10;x5xZMNSkZcQH+P34E1jLPDHqWHISVa0PE7qx9DfYW4G2qe5djYbVWvlvhJSZoNrYLhN9/0S03EUm&#10;6JA6Vw7HnAlyjY5G43Kc0IsOJsF5DPGrdIbSB+oZqnUT54iuzdCwvQyxu7APTJeC06q6UFpnA9er&#10;c41sC9T58dnx2WKf41WYtqylFw8PS1KHAFJgrSHS1njiJNg1Z6DXJG0RMed+dTu8kyQnb6CSfWoq&#10;NcuMquvDc6WvcFIVCwhNdyW7OmUaFWk8tDJTfpSA9kjapjQyC7znIvWm60barVx1T41F1yk+eHGh&#10;KMklhHgDSBKncmls4zUttXbEget3nDUOH947T/GkPPJy1tLIED+/NoCSM/3dkiaPB6NRmrFsjMaH&#10;QzLwpWf10mM35txRbwb0QXiRtyk+6v22RmfuaLrnKSu5wArK3XWiN85jN8r0Pwg5n+cwmisP8dIu&#10;vdhLMdF7u7sD9L2eIgnxyu3HCyZvBNXFJoatm2+iq1VW2zOv1MFk0EzmXvb/Rxr6l3aOev7lZn8A&#10;AAD//wMAUEsDBBQABgAIAAAAIQDX36a23wAAAAoBAAAPAAAAZHJzL2Rvd25yZXYueG1sTI/BTsMw&#10;EETvSPyDtUjcqA0lpAlxKgRUQuqJglRxc+MliYjXke2m4e9ZTnBc7dPMm2o9u0FMGGLvScP1QoFA&#10;arztqdXw/ra5WoGIyZA1gyfU8I0R1vX5WWVK60/0itMutYJDKJZGQ5fSWEoZmw6diQs/IvHv0wdn&#10;Ep+hlTaYE4e7Qd4odSed6YkbOjPiY4fN1+7oNKis2b8EazbzVj4XU/+UccuH1pcX88M9iIRz+oPh&#10;V5/VoWangz+SjWLQkGcFb0kalstbEAzkhcpAHJhURQ6yruT/CfUPAAAA//8DAFBLAQItABQABgAI&#10;AAAAIQC2gziS/gAAAOEBAAATAAAAAAAAAAAAAAAAAAAAAABbQ29udGVudF9UeXBlc10ueG1sUEsB&#10;Ai0AFAAGAAgAAAAhADj9If/WAAAAlAEAAAsAAAAAAAAAAAAAAAAALwEAAF9yZWxzLy5yZWxzUEsB&#10;Ai0AFAAGAAgAAAAhAFH5/8CSAgAALQUAAA4AAAAAAAAAAAAAAAAALgIAAGRycy9lMm9Eb2MueG1s&#10;UEsBAi0AFAAGAAgAAAAhANffprbfAAAACgEAAA8AAAAAAAAAAAAAAAAA7AQAAGRycy9kb3ducmV2&#10;LnhtbFBLBQYAAAAABAAEAPMAAAD4BQAAAAA=&#10;" adj="10800" fillcolor="#5b9bd5" strokecolor="#41719c" strokeweight="1pt"/>
            </w:pict>
          </mc:Fallback>
        </mc:AlternateContent>
      </w:r>
      <w:r w:rsidRPr="00B30EBE">
        <w:rPr>
          <w:rFonts w:asciiTheme="minorHAnsi" w:hAnsiTheme="minorHAnsi"/>
          <w:noProof/>
          <w:sz w:val="22"/>
          <w:lang w:eastAsia="pl-PL"/>
        </w:rPr>
        <mc:AlternateContent>
          <mc:Choice Requires="wps">
            <w:drawing>
              <wp:anchor distT="0" distB="0" distL="114300" distR="114300" simplePos="0" relativeHeight="251702272" behindDoc="0" locked="0" layoutInCell="1" allowOverlap="1" wp14:anchorId="1F93BF0B" wp14:editId="0214DE45">
                <wp:simplePos x="0" y="0"/>
                <wp:positionH relativeFrom="column">
                  <wp:posOffset>1643380</wp:posOffset>
                </wp:positionH>
                <wp:positionV relativeFrom="paragraph">
                  <wp:posOffset>78105</wp:posOffset>
                </wp:positionV>
                <wp:extent cx="3152775" cy="1790700"/>
                <wp:effectExtent l="0" t="0" r="28575" b="19050"/>
                <wp:wrapNone/>
                <wp:docPr id="140" name="Pole tekstowe 140"/>
                <wp:cNvGraphicFramePr/>
                <a:graphic xmlns:a="http://schemas.openxmlformats.org/drawingml/2006/main">
                  <a:graphicData uri="http://schemas.microsoft.com/office/word/2010/wordprocessingShape">
                    <wps:wsp>
                      <wps:cNvSpPr txBox="1"/>
                      <wps:spPr>
                        <a:xfrm>
                          <a:off x="0" y="0"/>
                          <a:ext cx="3152775" cy="1790700"/>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sidRPr="00A961FB">
                              <w:rPr>
                                <w:rFonts w:asciiTheme="minorHAnsi" w:hAnsiTheme="minorHAnsi"/>
                                <w:b/>
                              </w:rPr>
                              <w:t>Wydziały merytoryczne Urzędu Miasta, jednostki organizacyjne, spółki komunalne</w:t>
                            </w:r>
                          </w:p>
                          <w:p w:rsidR="00A469F2" w:rsidRPr="00A961FB" w:rsidRDefault="00A469F2"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Przedstawiają propozycje projektów inwestycyjnych i działań nieinwestycyjnych pod obrady Zespołu Zarządzającego Strategią;</w:t>
                            </w:r>
                          </w:p>
                          <w:p w:rsidR="00A469F2" w:rsidRPr="00A961FB" w:rsidRDefault="00A469F2"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Odpowiadają za wdrażanie zadań określonych w Strategii i przekazywanie danych o postępach w ich realizacji Wydziałowi Rozwoju Miasta;</w:t>
                            </w:r>
                          </w:p>
                          <w:p w:rsidR="00A469F2" w:rsidRPr="00A961FB" w:rsidRDefault="00A469F2"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Tworzą programy operacyjne i sektorowe precyzujące zapisy Strategii;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0" o:spid="_x0000_s1073" type="#_x0000_t202" style="position:absolute;left:0;text-align:left;margin-left:129.4pt;margin-top:6.15pt;width:248.25pt;height:1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ZhZQIAANIEAAAOAAAAZHJzL2Uyb0RvYy54bWysVNtuGjEQfa/Uf7D8XnYhEBqUJaJEVJVQ&#10;Eimp8my83rCK1+Pahl369T02l9z6VJUH47n4zMyZmb286hrNtsr5mkzB+72cM2UklbV5KvjPh8WX&#10;r5z5IEwpNBlV8J3y/Gr6+dNlaydqQGvSpXIMIMZPWlvwdQh2kmVerlUjfI+sMjBW5BoRILqnrHSi&#10;BXqjs0Gen2ctudI6ksp7aK/3Rj5N+FWlZLitKq8C0wVHbiGdLp2reGbTSzF5csKua3lIQ/xDFo2o&#10;DYKeoK5FEGzj6g9QTS0deapCT1KTUVXVUqUaUE0/f1fN/VpYlWoBOd6eaPL/D1bebO8cq0v0bgh+&#10;jGjQpDvSigX17AO1ikUDaGqtn8D73sI/dN+ow5Oj3kMZq+8q18R/1MVgB+DuRLLqApNQnvVHg/F4&#10;xJmErT++yMd5ws9enlvnw3dFDYuXgjt0MZErtksfkApcjy4xmiddl4ta6yTs/Fw7thVoOOakpJYz&#10;LXyAsuCL9ItZA+LNM21YW/Dzs1GeIr2xxVgnzJUW8vkjAvC0ifFVGrpDnpGzPTfxFrpVl6g+OxG6&#10;onIHPh3tB9NbuagRbYmE74TDJIJCbFe4xVFpQop0uHG2Jvf7b/rojwGBlbMWk11w/2sjnAIPPwxG&#10;56I/jK0OSRiOxgMI7rVl9dpiNs2cwGUfe2xlukb/oI/XylHziCWcxagwCSMRu+DheJ2H/b5hiaWa&#10;zZITht+KsDT3VkboSFxk+aF7FM4e2h4wMTd03AExedf9vW98aWi2CVTVaTQi0XtW0eQoYHFSuw9L&#10;HjfztZy8Xj5F0z8AAAD//wMAUEsDBBQABgAIAAAAIQCP9NtK3QAAAAoBAAAPAAAAZHJzL2Rvd25y&#10;ZXYueG1sTI/BTsMwDIbvSLxDZCRuLKWj0JWmE0LiiBCFA9yyxLSBxqmarCt7eswJbra+X78/19vF&#10;D2LGKbpACi5XGQgkE6yjTsHry8NFCSImTVYPgVDBN0bYNqcnta5sONAzzm3qBJdQrLSCPqWxkjKa&#10;Hr2OqzAiMfsIk9eJ16mTdtIHLveDzLPsWnrtiC/0esT7Hs1Xu/cKLL0FMu/u8eioNW5zfCo/zazU&#10;+dlydwsi4ZL+wvCrz+rQsNMu7MlGMSjIi5LVE4N8DYIDN0XBw47J5moNsqnl/xeaHwAAAP//AwBQ&#10;SwECLQAUAAYACAAAACEAtoM4kv4AAADhAQAAEwAAAAAAAAAAAAAAAAAAAAAAW0NvbnRlbnRfVHlw&#10;ZXNdLnhtbFBLAQItABQABgAIAAAAIQA4/SH/1gAAAJQBAAALAAAAAAAAAAAAAAAAAC8BAABfcmVs&#10;cy8ucmVsc1BLAQItABQABgAIAAAAIQD4UxZhZQIAANIEAAAOAAAAAAAAAAAAAAAAAC4CAABkcnMv&#10;ZTJvRG9jLnhtbFBLAQItABQABgAIAAAAIQCP9NtK3QAAAAoBAAAPAAAAAAAAAAAAAAAAAL8EAABk&#10;cnMvZG93bnJldi54bWxQSwUGAAAAAAQABADzAAAAyQUAAAAA&#10;" fillcolor="window" strokeweight=".5pt">
                <v:textbox>
                  <w:txbxContent>
                    <w:p w:rsidR="00960314" w:rsidRPr="00A961FB" w:rsidRDefault="00960314" w:rsidP="00B30EBE">
                      <w:pPr>
                        <w:spacing w:line="240" w:lineRule="auto"/>
                        <w:jc w:val="center"/>
                        <w:rPr>
                          <w:rFonts w:asciiTheme="minorHAnsi" w:hAnsiTheme="minorHAnsi"/>
                          <w:b/>
                        </w:rPr>
                      </w:pPr>
                      <w:r w:rsidRPr="00A961FB">
                        <w:rPr>
                          <w:rFonts w:asciiTheme="minorHAnsi" w:hAnsiTheme="minorHAnsi"/>
                          <w:b/>
                        </w:rPr>
                        <w:t>Wydziały merytoryczne Urzędu Miasta, jednostki organizacyjne, spółki komunalne</w:t>
                      </w:r>
                    </w:p>
                    <w:p w:rsidR="00960314" w:rsidRPr="00A961FB" w:rsidRDefault="00960314"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 xml:space="preserve">Przedstawiają propozycje projektów inwestycyjnych i działań </w:t>
                      </w:r>
                      <w:proofErr w:type="spellStart"/>
                      <w:r w:rsidRPr="00A961FB">
                        <w:rPr>
                          <w:rFonts w:asciiTheme="minorHAnsi" w:hAnsiTheme="minorHAnsi"/>
                          <w:sz w:val="18"/>
                          <w:szCs w:val="18"/>
                        </w:rPr>
                        <w:t>nieinwestycyjnych</w:t>
                      </w:r>
                      <w:proofErr w:type="spellEnd"/>
                      <w:r w:rsidRPr="00A961FB">
                        <w:rPr>
                          <w:rFonts w:asciiTheme="minorHAnsi" w:hAnsiTheme="minorHAnsi"/>
                          <w:sz w:val="18"/>
                          <w:szCs w:val="18"/>
                        </w:rPr>
                        <w:t xml:space="preserve"> pod obrady Zespołu Zarządzającego Strategią;</w:t>
                      </w:r>
                    </w:p>
                    <w:p w:rsidR="00960314" w:rsidRPr="00A961FB" w:rsidRDefault="00960314"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Odpowiadają za wdrażanie zadań określonych w Strategii i przekazywanie danych o postępach w ich realizacji Wydziałowi Rozwoju Miasta;</w:t>
                      </w:r>
                    </w:p>
                    <w:p w:rsidR="00960314" w:rsidRPr="00A961FB" w:rsidRDefault="00960314" w:rsidP="0062416A">
                      <w:pPr>
                        <w:pStyle w:val="Akapitzlist"/>
                        <w:numPr>
                          <w:ilvl w:val="0"/>
                          <w:numId w:val="120"/>
                        </w:numPr>
                        <w:spacing w:after="160" w:line="240" w:lineRule="auto"/>
                        <w:ind w:left="426"/>
                        <w:jc w:val="left"/>
                        <w:rPr>
                          <w:rFonts w:asciiTheme="minorHAnsi" w:hAnsiTheme="minorHAnsi"/>
                          <w:sz w:val="18"/>
                          <w:szCs w:val="18"/>
                        </w:rPr>
                      </w:pPr>
                      <w:r w:rsidRPr="00A961FB">
                        <w:rPr>
                          <w:rFonts w:asciiTheme="minorHAnsi" w:hAnsiTheme="minorHAnsi"/>
                          <w:sz w:val="18"/>
                          <w:szCs w:val="18"/>
                        </w:rPr>
                        <w:t>Tworzą programy operacyjne i sektorowe precyzujące zapisy Strategii;</w:t>
                      </w:r>
                    </w:p>
                  </w:txbxContent>
                </v:textbox>
              </v:shape>
            </w:pict>
          </mc:Fallback>
        </mc:AlternateContent>
      </w: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14560" behindDoc="0" locked="0" layoutInCell="1" allowOverlap="1" wp14:anchorId="759FA54D" wp14:editId="08956993">
                <wp:simplePos x="0" y="0"/>
                <wp:positionH relativeFrom="column">
                  <wp:posOffset>4800600</wp:posOffset>
                </wp:positionH>
                <wp:positionV relativeFrom="paragraph">
                  <wp:posOffset>13970</wp:posOffset>
                </wp:positionV>
                <wp:extent cx="200025" cy="484632"/>
                <wp:effectExtent l="0" t="38100" r="47625" b="48895"/>
                <wp:wrapNone/>
                <wp:docPr id="141" name="Strzałka w prawo 141"/>
                <wp:cNvGraphicFramePr/>
                <a:graphic xmlns:a="http://schemas.openxmlformats.org/drawingml/2006/main">
                  <a:graphicData uri="http://schemas.microsoft.com/office/word/2010/wordprocessingShape">
                    <wps:wsp>
                      <wps:cNvSpPr/>
                      <wps:spPr>
                        <a:xfrm>
                          <a:off x="0" y="0"/>
                          <a:ext cx="200025"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załka w prawo 141" o:spid="_x0000_s1026" type="#_x0000_t13" style="position:absolute;margin-left:378pt;margin-top:1.1pt;width:15.75pt;height:38.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d2jAIAACMFAAAOAAAAZHJzL2Uyb0RvYy54bWysVMlu2zAQvRfoPxC8N7JdO4sRO3BipCgQ&#10;JAGcIucxRUlEuXVIW06O/bf8V4eUnK05Fb1QM5qN8+YNT892RrOtxKCcnfHhwYAzaYUrla1n/Mfd&#10;5ZdjzkIEW4J2Vs74gwz8bP7502nrp3LkGqdLiYyS2DBt/Yw3MfppUQTRSAPhwHlpyVg5NBBJxboo&#10;EVrKbnQxGgwOi9Zh6dEJGQL9XXZGPs/5q0qKeFNVQUamZ5zuFvOJ+Vyns5ifwrRG8I0S/TXgH25h&#10;QFkq+pxqCRHYBtVfqYwS6IKr4oFwpnBVpYTMPVA3w8G7blYNeJl7IXCCf4Yp/L+04np7i0yVNLvx&#10;kDMLhoa0ivgIT79/AmuZJ0QdS0aCqvVhShErf4u9FkhMfe8qNOlLHbFdhvfhGV65i0zQT5rXYDTh&#10;TJBpfDw+/DpKOYuXYI8hfpPOUNFAk0JVN3GB6NoMLWyvQuwC9o6pYnBalZdK66xgvb7QyLZA856c&#10;n5wvJ32NN27aspY6Hh0NiBMCiHeVhkii8YREsDVnoGsitIiYa7+JDh8UycUbKGVfmlrN5KLuevfc&#10;6Zs8qYslhKYLyaZ0WZgaFWkptDIzfpwS7TNpm6wy07rHIk2km0GS1q58oHGi63gevLhUVOQKQrwF&#10;JGJTu7Ss8YaOSjvCwPUSZ43Dx4/+J3/iG1k5a2lRCJ9fG0DJmf5uiYknw/E4bVZWxpOjESn42rJ+&#10;bbEbc+FoNsQ1ul0Wk3/Ue7FCZ+5ppxepKpnACqrdTaJXLmK3wPQqCLlYZDfaJg/xyq68SMkTTgne&#10;u909oO/5FImI126/VDB9R6jON0Vat9hEV6nMthdcaYJJoU3Ms+xfjbTqr/Xs9fK2zf8AAAD//wMA&#10;UEsDBBQABgAIAAAAIQAK32SM4AAAAAgBAAAPAAAAZHJzL2Rvd25yZXYueG1sTI9BS8NAEIXvgv9h&#10;GcFLsZsG0oSYTRFRUCpFox68TbJjEpqdDdltG/+925Pe3vCG975XbGYziCNNrresYLWMQBA3Vvfc&#10;Kvh4f7zJQDiPrHGwTAp+yMGmvLwoMNf2xG90rHwrQgi7HBV03o+5lK7pyKBb2pE4eN92MujDObVS&#10;T3gK4WaQcRStpcGeQ0OHI9131Oyrg1GweM2eq6f9w5duPxe7BF/q1dZulbq+mu9uQXia/d8znPED&#10;OpSBqbYH1k4MCtJkHbZ4BXEMIvhpliYg6rNIQJaF/D+g/AUAAP//AwBQSwECLQAUAAYACAAAACEA&#10;toM4kv4AAADhAQAAEwAAAAAAAAAAAAAAAAAAAAAAW0NvbnRlbnRfVHlwZXNdLnhtbFBLAQItABQA&#10;BgAIAAAAIQA4/SH/1gAAAJQBAAALAAAAAAAAAAAAAAAAAC8BAABfcmVscy8ucmVsc1BLAQItABQA&#10;BgAIAAAAIQA271d2jAIAACMFAAAOAAAAAAAAAAAAAAAAAC4CAABkcnMvZTJvRG9jLnhtbFBLAQIt&#10;ABQABgAIAAAAIQAK32SM4AAAAAgBAAAPAAAAAAAAAAAAAAAAAOYEAABkcnMvZG93bnJldi54bWxQ&#10;SwUGAAAAAAQABADzAAAA8wUAAAAA&#10;" adj="10800" fillcolor="#5b9bd5" strokecolor="#41719c" strokeweight="1pt"/>
            </w:pict>
          </mc:Fallback>
        </mc:AlternateContent>
      </w:r>
      <w:r w:rsidRPr="00B30EBE">
        <w:rPr>
          <w:rFonts w:asciiTheme="minorHAnsi" w:hAnsiTheme="minorHAnsi"/>
          <w:noProof/>
          <w:sz w:val="22"/>
          <w:lang w:eastAsia="pl-PL"/>
        </w:rPr>
        <mc:AlternateContent>
          <mc:Choice Requires="wps">
            <w:drawing>
              <wp:anchor distT="0" distB="0" distL="114300" distR="114300" simplePos="0" relativeHeight="251707392" behindDoc="0" locked="0" layoutInCell="1" allowOverlap="1" wp14:anchorId="66FFD47D" wp14:editId="7F87A010">
                <wp:simplePos x="0" y="0"/>
                <wp:positionH relativeFrom="column">
                  <wp:posOffset>-490221</wp:posOffset>
                </wp:positionH>
                <wp:positionV relativeFrom="paragraph">
                  <wp:posOffset>391795</wp:posOffset>
                </wp:positionV>
                <wp:extent cx="790575" cy="3962400"/>
                <wp:effectExtent l="0" t="0" r="28575" b="19050"/>
                <wp:wrapNone/>
                <wp:docPr id="142" name="Pole tekstowe 142"/>
                <wp:cNvGraphicFramePr/>
                <a:graphic xmlns:a="http://schemas.openxmlformats.org/drawingml/2006/main">
                  <a:graphicData uri="http://schemas.microsoft.com/office/word/2010/wordprocessingShape">
                    <wps:wsp>
                      <wps:cNvSpPr txBox="1"/>
                      <wps:spPr>
                        <a:xfrm>
                          <a:off x="0" y="0"/>
                          <a:ext cx="790575" cy="3962400"/>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sidRPr="00A961FB">
                              <w:rPr>
                                <w:rFonts w:asciiTheme="minorHAnsi" w:hAnsiTheme="minorHAnsi"/>
                                <w:b/>
                              </w:rPr>
                              <w:t>Opinia publiczna</w:t>
                            </w:r>
                          </w:p>
                          <w:p w:rsidR="00A469F2" w:rsidRPr="00A961FB" w:rsidRDefault="00A469F2" w:rsidP="0062416A">
                            <w:pPr>
                              <w:pStyle w:val="Akapitzlist"/>
                              <w:numPr>
                                <w:ilvl w:val="0"/>
                                <w:numId w:val="122"/>
                              </w:numPr>
                              <w:spacing w:after="160" w:line="240" w:lineRule="auto"/>
                              <w:jc w:val="left"/>
                              <w:rPr>
                                <w:rFonts w:asciiTheme="minorHAnsi" w:hAnsiTheme="minorHAnsi"/>
                                <w:sz w:val="18"/>
                              </w:rPr>
                            </w:pPr>
                            <w:r w:rsidRPr="00A961FB">
                              <w:rPr>
                                <w:rFonts w:asciiTheme="minorHAnsi" w:hAnsiTheme="minorHAnsi"/>
                                <w:sz w:val="18"/>
                              </w:rPr>
                              <w:t>Otrzymuje informacje o postępach we wdrażaniu zapisów Strategii poprzez publikowane corocznie raporty z monitoringu;</w:t>
                            </w:r>
                          </w:p>
                          <w:p w:rsidR="00A469F2" w:rsidRPr="00A961FB" w:rsidRDefault="00A469F2" w:rsidP="00B30EBE">
                            <w:pPr>
                              <w:spacing w:line="240" w:lineRule="auto"/>
                              <w:jc w:val="center"/>
                              <w:rPr>
                                <w:rFonts w:asciiTheme="minorHAnsi" w:hAnsiTheme="minorHAnsi"/>
                                <w:b/>
                              </w:rPr>
                            </w:pPr>
                          </w:p>
                          <w:p w:rsidR="00A469F2" w:rsidRPr="00A961FB" w:rsidRDefault="00A469F2" w:rsidP="00B30EBE">
                            <w:pPr>
                              <w:spacing w:line="240" w:lineRule="auto"/>
                              <w:jc w:val="center"/>
                              <w:rPr>
                                <w:rFonts w:asciiTheme="minorHAnsi" w:hAnsiTheme="minorHAnsi"/>
                                <w:b/>
                                <w:sz w:val="18"/>
                              </w:rPr>
                            </w:pPr>
                          </w:p>
                          <w:p w:rsidR="00A469F2" w:rsidRPr="00A961FB" w:rsidRDefault="00A469F2" w:rsidP="00B30EBE">
                            <w:pPr>
                              <w:spacing w:line="240" w:lineRule="auto"/>
                              <w:jc w:val="center"/>
                              <w:rPr>
                                <w:rFonts w:asciiTheme="minorHAnsi" w:hAnsiTheme="minorHAnsi"/>
                                <w:b/>
                                <w:sz w:val="18"/>
                              </w:rPr>
                            </w:pPr>
                          </w:p>
                          <w:p w:rsidR="00A469F2" w:rsidRPr="00A961FB" w:rsidRDefault="00A469F2" w:rsidP="00B30EBE">
                            <w:pPr>
                              <w:spacing w:line="240" w:lineRule="auto"/>
                              <w:jc w:val="center"/>
                              <w:rPr>
                                <w:rFonts w:asciiTheme="minorHAnsi" w:hAnsiTheme="minorHAnsi"/>
                                <w:b/>
                                <w:sz w:val="1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2" o:spid="_x0000_s1074" type="#_x0000_t202" style="position:absolute;left:0;text-align:left;margin-left:-38.6pt;margin-top:30.85pt;width:62.25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zkZQIAANQEAAAOAAAAZHJzL2Uyb0RvYy54bWysVEtvGjEQvlfqf7B8b3YhEBrEEtFEVJWi&#10;BCmpcjZeL6zi9bi2YZf++n42j7x6qsrBzPvxzcxOrrpGs61yviZT8N5ZzpkyksrarAr+83H+5Stn&#10;PghTCk1GFXynPL+afv40ae1Y9WlNulSOIYjx49YWfB2CHWeZl2vVCH9GVhkoK3KNCGDdKiudaBG9&#10;0Vk/zy+yllxpHUnlPaQ3eyWfpvhVpWS4ryqvAtMFR20hvS69y/hm04kYr5yw61oeyhD/UEUjaoOk&#10;p1A3Igi2cfWHUE0tHXmqwpmkJqOqqqVKPaCbXv6um4e1sCr1AnC8PcHk/19YebddOFaXmN2gz5kR&#10;DYa0IK1YUM8+UKtYVACm1voxrB8s7EP3jTq4HOUewth9V7km/qMvBj0A351AVl1gEsLRZT4cDTmT&#10;UJ1fXvQHeZpC9uJtnQ/fFTUsEgV3GGLCVmxvfUAlMD2axGSedF3Oa60Ts/PX2rGtwLyxJiW1nGnh&#10;A4QFn6dfLBoh3rhpw9qCX5wP85TpjS7mOsVcaiGfP0ZAPG1ifpV27lBnhGwPTaRCt+wS0ucn3JZU&#10;7gCno/1eeivnNbLdouCFcFhEIIjjCvd4Kk0okQ4UZ2tyv/8mj/YFj29/BPcWu11w/2sjnAIUPwyW&#10;57I3GMRjSMxgOOqDca81y9cas2muCXD2cMlWJjLaB30kK0fNE85wFhNDJYxEcQUPR/I67C8OZyzV&#10;bJaMsP5WhFvzYGUMHbGLQD92T8LZw+QDduaOjlcgxu8WYG8bPQ3NNoGqOm1HxHoPLOYcGZxOmvjh&#10;zONtvuaT1cvHaPoHAAD//wMAUEsDBBQABgAIAAAAIQDYL3ho3QAAAAkBAAAPAAAAZHJzL2Rvd25y&#10;ZXYueG1sTI9BTsMwEEX3SNzBGiR2rdO0xFWIU1VABVsKB3DtIQnE4yh228DpGVZ0+TVP/7+pNpPv&#10;xQnH2AXSsJhnIJBscB01Gt7fdrM1iJgMOdMHQg3fGGFTX19VpnThTK942qdGcAnF0mhoUxpKKaNt&#10;0Zs4DwMS3z7C6E3iODbSjebM5b6XeZYV0puOeKE1Az60aL/2R69h5Z4erdo2+UthaeU//XJnf561&#10;vr2ZtvcgEk7pH4Y/fVaHmp0O4Uguil7DTKmcUQ3FQoFgYKWWIA6c13cKZF3Jyw/qXwAAAP//AwBQ&#10;SwECLQAUAAYACAAAACEAtoM4kv4AAADhAQAAEwAAAAAAAAAAAAAAAAAAAAAAW0NvbnRlbnRfVHlw&#10;ZXNdLnhtbFBLAQItABQABgAIAAAAIQA4/SH/1gAAAJQBAAALAAAAAAAAAAAAAAAAAC8BAABfcmVs&#10;cy8ucmVsc1BLAQItABQABgAIAAAAIQCBjNzkZQIAANQEAAAOAAAAAAAAAAAAAAAAAC4CAABkcnMv&#10;ZTJvRG9jLnhtbFBLAQItABQABgAIAAAAIQDYL3ho3QAAAAkBAAAPAAAAAAAAAAAAAAAAAL8EAABk&#10;cnMvZG93bnJldi54bWxQSwUGAAAAAAQABADzAAAAyQUAAAAA&#10;" fillcolor="window" strokeweight=".5pt">
                <v:textbox style="layout-flow:vertical;mso-layout-flow-alt:bottom-to-top">
                  <w:txbxContent>
                    <w:p w:rsidR="00960314" w:rsidRPr="00A961FB" w:rsidRDefault="00960314" w:rsidP="00B30EBE">
                      <w:pPr>
                        <w:spacing w:line="240" w:lineRule="auto"/>
                        <w:jc w:val="center"/>
                        <w:rPr>
                          <w:rFonts w:asciiTheme="minorHAnsi" w:hAnsiTheme="minorHAnsi"/>
                          <w:b/>
                        </w:rPr>
                      </w:pPr>
                      <w:r w:rsidRPr="00A961FB">
                        <w:rPr>
                          <w:rFonts w:asciiTheme="minorHAnsi" w:hAnsiTheme="minorHAnsi"/>
                          <w:b/>
                        </w:rPr>
                        <w:t>Opinia publiczna</w:t>
                      </w:r>
                    </w:p>
                    <w:p w:rsidR="00960314" w:rsidRPr="00A961FB" w:rsidRDefault="00960314" w:rsidP="0062416A">
                      <w:pPr>
                        <w:pStyle w:val="Akapitzlist"/>
                        <w:numPr>
                          <w:ilvl w:val="0"/>
                          <w:numId w:val="122"/>
                        </w:numPr>
                        <w:spacing w:after="160" w:line="240" w:lineRule="auto"/>
                        <w:jc w:val="left"/>
                        <w:rPr>
                          <w:rFonts w:asciiTheme="minorHAnsi" w:hAnsiTheme="minorHAnsi"/>
                          <w:sz w:val="18"/>
                        </w:rPr>
                      </w:pPr>
                      <w:r w:rsidRPr="00A961FB">
                        <w:rPr>
                          <w:rFonts w:asciiTheme="minorHAnsi" w:hAnsiTheme="minorHAnsi"/>
                          <w:sz w:val="18"/>
                        </w:rPr>
                        <w:t>Otrzymuje informacje o postępach we wdrażaniu zapisów Strategii poprzez publikowane corocznie raporty z monitoringu;</w:t>
                      </w:r>
                    </w:p>
                    <w:p w:rsidR="00960314" w:rsidRPr="00A961FB" w:rsidRDefault="00960314" w:rsidP="00B30EBE">
                      <w:pPr>
                        <w:spacing w:line="240" w:lineRule="auto"/>
                        <w:jc w:val="center"/>
                        <w:rPr>
                          <w:rFonts w:asciiTheme="minorHAnsi" w:hAnsiTheme="minorHAnsi"/>
                          <w:b/>
                        </w:rPr>
                      </w:pPr>
                    </w:p>
                    <w:p w:rsidR="00960314" w:rsidRPr="00A961FB" w:rsidRDefault="00960314" w:rsidP="00B30EBE">
                      <w:pPr>
                        <w:spacing w:line="240" w:lineRule="auto"/>
                        <w:jc w:val="center"/>
                        <w:rPr>
                          <w:rFonts w:asciiTheme="minorHAnsi" w:hAnsiTheme="minorHAnsi"/>
                          <w:b/>
                          <w:sz w:val="18"/>
                        </w:rPr>
                      </w:pPr>
                    </w:p>
                    <w:p w:rsidR="00960314" w:rsidRPr="00A961FB" w:rsidRDefault="00960314" w:rsidP="00B30EBE">
                      <w:pPr>
                        <w:spacing w:line="240" w:lineRule="auto"/>
                        <w:jc w:val="center"/>
                        <w:rPr>
                          <w:rFonts w:asciiTheme="minorHAnsi" w:hAnsiTheme="minorHAnsi"/>
                          <w:b/>
                          <w:sz w:val="18"/>
                        </w:rPr>
                      </w:pPr>
                    </w:p>
                    <w:p w:rsidR="00960314" w:rsidRPr="00A961FB" w:rsidRDefault="00960314" w:rsidP="00B30EBE">
                      <w:pPr>
                        <w:spacing w:line="240" w:lineRule="auto"/>
                        <w:jc w:val="center"/>
                        <w:rPr>
                          <w:rFonts w:asciiTheme="minorHAnsi" w:hAnsiTheme="minorHAnsi"/>
                          <w:b/>
                          <w:sz w:val="18"/>
                        </w:rPr>
                      </w:pPr>
                    </w:p>
                  </w:txbxContent>
                </v:textbox>
              </v:shape>
            </w:pict>
          </mc:Fallback>
        </mc:AlternateContent>
      </w: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06368" behindDoc="0" locked="0" layoutInCell="1" allowOverlap="1" wp14:anchorId="11149228" wp14:editId="5D37C43F">
                <wp:simplePos x="0" y="0"/>
                <wp:positionH relativeFrom="column">
                  <wp:posOffset>500380</wp:posOffset>
                </wp:positionH>
                <wp:positionV relativeFrom="paragraph">
                  <wp:posOffset>93980</wp:posOffset>
                </wp:positionV>
                <wp:extent cx="904875" cy="3962400"/>
                <wp:effectExtent l="0" t="0" r="28575" b="19050"/>
                <wp:wrapNone/>
                <wp:docPr id="143" name="Pole tekstowe 143"/>
                <wp:cNvGraphicFramePr/>
                <a:graphic xmlns:a="http://schemas.openxmlformats.org/drawingml/2006/main">
                  <a:graphicData uri="http://schemas.microsoft.com/office/word/2010/wordprocessingShape">
                    <wps:wsp>
                      <wps:cNvSpPr txBox="1"/>
                      <wps:spPr>
                        <a:xfrm>
                          <a:off x="0" y="0"/>
                          <a:ext cx="904875" cy="3962400"/>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sidRPr="00A961FB">
                              <w:rPr>
                                <w:rFonts w:asciiTheme="minorHAnsi" w:hAnsiTheme="minorHAnsi"/>
                                <w:b/>
                              </w:rPr>
                              <w:t>Komitet Sterujący</w:t>
                            </w:r>
                          </w:p>
                          <w:p w:rsidR="00A469F2" w:rsidRPr="00A961FB" w:rsidRDefault="00A469F2" w:rsidP="0062416A">
                            <w:pPr>
                              <w:pStyle w:val="Akapitzlist"/>
                              <w:numPr>
                                <w:ilvl w:val="0"/>
                                <w:numId w:val="121"/>
                              </w:numPr>
                              <w:spacing w:after="160" w:line="240" w:lineRule="auto"/>
                              <w:jc w:val="left"/>
                              <w:rPr>
                                <w:rFonts w:asciiTheme="minorHAnsi" w:hAnsiTheme="minorHAnsi"/>
                                <w:sz w:val="18"/>
                              </w:rPr>
                            </w:pPr>
                            <w:r w:rsidRPr="00A961FB">
                              <w:rPr>
                                <w:rFonts w:asciiTheme="minorHAnsi" w:hAnsiTheme="minorHAnsi"/>
                                <w:sz w:val="18"/>
                              </w:rPr>
                              <w:t>Sprawuje nadzór społeczny nad postępami prowadzonych działań rozwojowych;</w:t>
                            </w:r>
                          </w:p>
                          <w:p w:rsidR="00A469F2" w:rsidRPr="00A961FB" w:rsidRDefault="00A469F2" w:rsidP="0062416A">
                            <w:pPr>
                              <w:pStyle w:val="Akapitzlist"/>
                              <w:numPr>
                                <w:ilvl w:val="0"/>
                                <w:numId w:val="121"/>
                              </w:numPr>
                              <w:spacing w:after="160" w:line="240" w:lineRule="auto"/>
                              <w:jc w:val="left"/>
                              <w:rPr>
                                <w:rFonts w:asciiTheme="minorHAnsi" w:hAnsiTheme="minorHAnsi"/>
                                <w:sz w:val="18"/>
                              </w:rPr>
                            </w:pPr>
                            <w:r w:rsidRPr="00A961FB">
                              <w:rPr>
                                <w:rFonts w:asciiTheme="minorHAnsi" w:hAnsiTheme="minorHAnsi"/>
                                <w:sz w:val="18"/>
                              </w:rPr>
                              <w:t>Stanowi ciało doradcze w przypadku aktualizacji dokumentu Strategii;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3" o:spid="_x0000_s1075" type="#_x0000_t202" style="position:absolute;left:0;text-align:left;margin-left:39.4pt;margin-top:7.4pt;width:71.25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CuZgIAANQEAAAOAAAAZHJzL2Uyb0RvYy54bWysVMlu2zAQvRfoPxC8N5KXbEbkwHXgokCQ&#10;GEiCnGmKsoVQHJakLblf30d6ydZTUR/o2Zc3M7q67hrNNsr5mkzBeyc5Z8pIKmuzLPjT4+zbBWc+&#10;CFMKTUYVfKs8vx5//XLV2pHq04p0qRxDEONHrS34KgQ7yjIvV6oR/oSsMlBW5BoRwLplVjrRInqj&#10;s36en2UtudI6ksp7SG92Sj5O8atKyXBfVV4FpguO2kJ6XXoX8c3GV2K0dMKuarkvQ/xDFY2oDZIe&#10;Q92IINja1Z9CNbV05KkKJ5KajKqqlir1gG56+YduHlbCqtQLwPH2CJP/f2Hl3WbuWF1idsMBZ0Y0&#10;GNKctGJBvfhArWJRAZha60ewfrCwD9136uBykHsIY/dd5Zr4j74Y9AB8ewRZdYFJCC/z4cX5KWcS&#10;qsHlWX+Ypylkr97W+fBDUcMiUXCHISZsxebWB1QC04NJTOZJ1+Ws1joxWz/Vjm0E5o01KanlTAsf&#10;ICz4LP1i0Qjxzk0b1hb8bHCap0zvdDHXMeZCC/nyOQLiaRPzq7Rz+zojZDtoIhW6RZeQHvQPuC2o&#10;3AJOR7u99FbOamS7RcFz4bCIQBDHFe7xVJpQIu0pzlbkfv9NHu0LHt/+Odxb7HbB/a+1cApQ/DRY&#10;nsvecBiPITHD0/M+GPdWs3irMetmSoCzh0u2MpHRPugDWTlqnnGGk5gYKmEkiit4OJDTsLs4nLFU&#10;k0kywvpbEW7Ng5UxdMQuAv3YPQtn95MP2Jk7OlyBGH1YgJ1t9DQ0WQeq6rQdEesdsJhzZHA6aeL7&#10;M4+3+ZZPVq8fo/EfAAAA//8DAFBLAwQUAAYACAAAACEARKMSFNwAAAAJAQAADwAAAGRycy9kb3du&#10;cmV2LnhtbEyPwU7DMAyG70i8Q2QkbixdW3VTaTpNGxNc2fYAWWLaQuNUTbYVnh5zYifL/qzfn6vV&#10;5HpxwTF0nhTMZwkIJONtR42C42H3tAQRoiare0+o4BsDrOr7u0qX1l/pHS/72AgOoVBqBW2MQyll&#10;MC06HWZ+QGL24UenI7djI+2orxzuepkmSSGd7ogvtHrATYvma392CnL7sjWLdZO+FYZy9+mynfl5&#10;VerxYVo/g4g4xf9l+NNndajZ6eTPZIPoFSyWbB55nnNlnqbzDMRJQZExkXUlbz+ofwEAAP//AwBQ&#10;SwECLQAUAAYACAAAACEAtoM4kv4AAADhAQAAEwAAAAAAAAAAAAAAAAAAAAAAW0NvbnRlbnRfVHlw&#10;ZXNdLnhtbFBLAQItABQABgAIAAAAIQA4/SH/1gAAAJQBAAALAAAAAAAAAAAAAAAAAC8BAABfcmVs&#10;cy8ucmVsc1BLAQItABQABgAIAAAAIQABuECuZgIAANQEAAAOAAAAAAAAAAAAAAAAAC4CAABkcnMv&#10;ZTJvRG9jLnhtbFBLAQItABQABgAIAAAAIQBEoxIU3AAAAAkBAAAPAAAAAAAAAAAAAAAAAMAEAABk&#10;cnMvZG93bnJldi54bWxQSwUGAAAAAAQABADzAAAAyQUAAAAA&#10;" fillcolor="window" strokeweight=".5pt">
                <v:textbox style="layout-flow:vertical;mso-layout-flow-alt:bottom-to-top">
                  <w:txbxContent>
                    <w:p w:rsidR="00960314" w:rsidRPr="00A961FB" w:rsidRDefault="00960314" w:rsidP="00B30EBE">
                      <w:pPr>
                        <w:spacing w:line="240" w:lineRule="auto"/>
                        <w:jc w:val="center"/>
                        <w:rPr>
                          <w:rFonts w:asciiTheme="minorHAnsi" w:hAnsiTheme="minorHAnsi"/>
                          <w:b/>
                        </w:rPr>
                      </w:pPr>
                      <w:r w:rsidRPr="00A961FB">
                        <w:rPr>
                          <w:rFonts w:asciiTheme="minorHAnsi" w:hAnsiTheme="minorHAnsi"/>
                          <w:b/>
                        </w:rPr>
                        <w:t>Komitet Sterujący</w:t>
                      </w:r>
                    </w:p>
                    <w:p w:rsidR="00960314" w:rsidRPr="00A961FB" w:rsidRDefault="00960314" w:rsidP="0062416A">
                      <w:pPr>
                        <w:pStyle w:val="Akapitzlist"/>
                        <w:numPr>
                          <w:ilvl w:val="0"/>
                          <w:numId w:val="121"/>
                        </w:numPr>
                        <w:spacing w:after="160" w:line="240" w:lineRule="auto"/>
                        <w:jc w:val="left"/>
                        <w:rPr>
                          <w:rFonts w:asciiTheme="minorHAnsi" w:hAnsiTheme="minorHAnsi"/>
                          <w:sz w:val="18"/>
                        </w:rPr>
                      </w:pPr>
                      <w:r w:rsidRPr="00A961FB">
                        <w:rPr>
                          <w:rFonts w:asciiTheme="minorHAnsi" w:hAnsiTheme="minorHAnsi"/>
                          <w:sz w:val="18"/>
                        </w:rPr>
                        <w:t>Sprawuje nadzór społeczny nad postępami prowadzonych działań rozwojowych;</w:t>
                      </w:r>
                    </w:p>
                    <w:p w:rsidR="00960314" w:rsidRPr="00A961FB" w:rsidRDefault="00960314" w:rsidP="0062416A">
                      <w:pPr>
                        <w:pStyle w:val="Akapitzlist"/>
                        <w:numPr>
                          <w:ilvl w:val="0"/>
                          <w:numId w:val="121"/>
                        </w:numPr>
                        <w:spacing w:after="160" w:line="240" w:lineRule="auto"/>
                        <w:jc w:val="left"/>
                        <w:rPr>
                          <w:rFonts w:asciiTheme="minorHAnsi" w:hAnsiTheme="minorHAnsi"/>
                          <w:sz w:val="18"/>
                        </w:rPr>
                      </w:pPr>
                      <w:r w:rsidRPr="00A961FB">
                        <w:rPr>
                          <w:rFonts w:asciiTheme="minorHAnsi" w:hAnsiTheme="minorHAnsi"/>
                          <w:sz w:val="18"/>
                        </w:rPr>
                        <w:t>Stanowi ciało doradcze w przypadku aktualizacji dokumentu Strategii;</w:t>
                      </w:r>
                    </w:p>
                  </w:txbxContent>
                </v:textbox>
              </v:shape>
            </w:pict>
          </mc:Fallback>
        </mc:AlternateContent>
      </w: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01248" behindDoc="0" locked="0" layoutInCell="1" allowOverlap="1" wp14:anchorId="3F709C2C" wp14:editId="5E24246A">
                <wp:simplePos x="0" y="0"/>
                <wp:positionH relativeFrom="column">
                  <wp:posOffset>2034474</wp:posOffset>
                </wp:positionH>
                <wp:positionV relativeFrom="paragraph">
                  <wp:posOffset>79801</wp:posOffset>
                </wp:positionV>
                <wp:extent cx="476250" cy="4203511"/>
                <wp:effectExtent l="19050" t="19050" r="38100" b="26035"/>
                <wp:wrapNone/>
                <wp:docPr id="144" name="Strzałka w górę 144"/>
                <wp:cNvGraphicFramePr/>
                <a:graphic xmlns:a="http://schemas.openxmlformats.org/drawingml/2006/main">
                  <a:graphicData uri="http://schemas.microsoft.com/office/word/2010/wordprocessingShape">
                    <wps:wsp>
                      <wps:cNvSpPr/>
                      <wps:spPr>
                        <a:xfrm>
                          <a:off x="0" y="0"/>
                          <a:ext cx="476250" cy="4203511"/>
                        </a:xfrm>
                        <a:prstGeom prst="upArrow">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44" o:spid="_x0000_s1026" type="#_x0000_t68" style="position:absolute;margin-left:160.2pt;margin-top:6.3pt;width:37.5pt;height:3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kkgIAABEFAAAOAAAAZHJzL2Uyb0RvYy54bWysVEtu2zAQ3RfoHQjuG8mO8zMiB0ZcFwWC&#10;xIBTZD2mKFsofx3Slp1lb9Fz9Aht79UhJTufdlVUC2qGM5zP4xteXm21YhuJvram4L2jnDNphC1r&#10;syz4p/vpu3POfABTgrJGFnwnPb8avX1z2bih7NuVVaVERkGMHzau4KsQ3DDLvFhJDf7IOmnIWFnU&#10;EEjFZVYiNBRdq6yf56dZY7F0aIX0nnYnrZGPUvyqkiLcVZWXgamCU20hrZjWRVyz0SUMlwhuVYuu&#10;DPiHKjTUhpIeQk0gAFtj/UcoXQu03lbhSFid2aqqhUw9UDe9/FU38xU4mXohcLw7wOT/X1hxu5kh&#10;q0u6u8GAMwOaLmke8BF+ff0MrGHLH9/x5zcWrYRV4/yQjszdDDvNkxgb31ao459aYtuE7+6Ar9wG&#10;JmhzcHbaP6FbEGQa9PPjk14vBs2eTjv04YO0mkWh4Gs3RrRNQhY2Nz603nuvmM9bVZfTWqmk4HJx&#10;rZBtgK77/eRscrxP8MJNGdZQwxd5KgaIdpWCQHVpR0B4s+QM1JL4LAKm3C9O+50/5CAmllQfU+AD&#10;bRZ8mr6uqxfHYtET8Ku2uGSKbjDUdaARULUu+Hkev+60MtEqE4m71iP8LeBRWthyR5eHtmW1d2Ja&#10;U5IbqmUGSDQmqGk0wx0tlbLUsu0kzlYWH/+2H/2JXWTlrKGxIDi+rAEltfjREO8uiAhxjpIyODnr&#10;k4LPLYvnFrPW15auokePgBNJjP5B7cUKrX6gCR7HrGQCIyh3C3ynXId2XOkNEHI8Tm40Ow7CjZk7&#10;EYNHnCK899sHQNdxJxDrbu1+hGD4ij+tbzxp7HgdbFUncj3hSryMCs1dYmj3RsTBfq4nr6eXbPQb&#10;AAD//wMAUEsDBBQABgAIAAAAIQDMRVco3gAAAAoBAAAPAAAAZHJzL2Rvd25yZXYueG1sTI/BTsMw&#10;DIbvSLxDZCRuLF03uq00nRACCe22wQFubmPaisYpTbaOt8ec4Gj/n35/LrZn16sTjaHzbGA+S0AR&#10;19523Bh4fXm6WYMKEdli75kMfFOAbXl5UWBu/cR7Oh1io6SEQ44G2hiHXOtQt+QwzPxALNmHHx1G&#10;GcdG2xEnKXe9TpMk0w47lgstDvTQUv15ODoDMczfNu/Tmp5ru/taVdPOPzIac311vr8DFekc/2D4&#10;1Rd1KMWp8ke2QfUGFmmyFFSCNAMlwGJzK4vKQLZaZqDLQv9/ofwBAAD//wMAUEsBAi0AFAAGAAgA&#10;AAAhALaDOJL+AAAA4QEAABMAAAAAAAAAAAAAAAAAAAAAAFtDb250ZW50X1R5cGVzXS54bWxQSwEC&#10;LQAUAAYACAAAACEAOP0h/9YAAACUAQAACwAAAAAAAAAAAAAAAAAvAQAAX3JlbHMvLnJlbHNQSwEC&#10;LQAUAAYACAAAACEA/w0lpJICAAARBQAADgAAAAAAAAAAAAAAAAAuAgAAZHJzL2Uyb0RvYy54bWxQ&#10;SwECLQAUAAYACAAAACEAzEVXKN4AAAAKAQAADwAAAAAAAAAAAAAAAADsBAAAZHJzL2Rvd25yZXYu&#10;eG1sUEsFBgAAAAAEAAQA8wAAAPcFAAAAAA==&#10;" adj="1224" fillcolor="#ed7d31" strokecolor="window" strokeweight="1.5pt"/>
            </w:pict>
          </mc:Fallback>
        </mc:AlternateContent>
      </w:r>
      <w:r w:rsidRPr="00B30EBE">
        <w:rPr>
          <w:rFonts w:asciiTheme="minorHAnsi" w:hAnsiTheme="minorHAnsi"/>
          <w:noProof/>
          <w:sz w:val="22"/>
          <w:lang w:eastAsia="pl-PL"/>
        </w:rPr>
        <mc:AlternateContent>
          <mc:Choice Requires="wps">
            <w:drawing>
              <wp:anchor distT="0" distB="0" distL="114300" distR="114300" simplePos="0" relativeHeight="251709440" behindDoc="0" locked="0" layoutInCell="1" allowOverlap="1" wp14:anchorId="2B95EDF2" wp14:editId="31D624EC">
                <wp:simplePos x="0" y="0"/>
                <wp:positionH relativeFrom="column">
                  <wp:posOffset>2986405</wp:posOffset>
                </wp:positionH>
                <wp:positionV relativeFrom="paragraph">
                  <wp:posOffset>82550</wp:posOffset>
                </wp:positionV>
                <wp:extent cx="523875" cy="209550"/>
                <wp:effectExtent l="38100" t="0" r="0" b="38100"/>
                <wp:wrapNone/>
                <wp:docPr id="145" name="Strzałka w dół 145"/>
                <wp:cNvGraphicFramePr/>
                <a:graphic xmlns:a="http://schemas.openxmlformats.org/drawingml/2006/main">
                  <a:graphicData uri="http://schemas.microsoft.com/office/word/2010/wordprocessingShape">
                    <wps:wsp>
                      <wps:cNvSpPr/>
                      <wps:spPr>
                        <a:xfrm>
                          <a:off x="0" y="0"/>
                          <a:ext cx="52387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dół 145" o:spid="_x0000_s1026" type="#_x0000_t67" style="position:absolute;margin-left:235.15pt;margin-top:6.5pt;width:41.25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P7kwIAACIFAAAOAAAAZHJzL2Uyb0RvYy54bWysVM1OGzEQvlfqO1i+l92kSYGIDQpEVJUQ&#10;IIWK88Trza7qv46dbODIK/URKt6rY+8GAuVUNQdnZufn83wz45PTrVZsI9E31hR8cJBzJo2wZWNW&#10;Bf9+e/HpiDMfwJSgrJEFv5een04/fjhp3UQObW1VKZFREuMnrSt4HYKbZJkXtdTgD6yThoyVRQ2B&#10;VFxlJUJL2bXKhnn+JWstlg6tkN7T13ln5NOUv6qkCNdV5WVgquB0t5BOTOcyntn0BCYrBFc3or8G&#10;/MMtNDSGQJ9TzSEAW2PzVyrdCLTeVuFAWJ3ZqmqETDVQNYP8TTWLGpxMtRA53j3T5P9fWnG1uUHW&#10;lNS70ZgzA5qatAj4AE+PP4C1rPz96+mRRSNR1To/oYiFu8Fe8yTGurcV6vhPFbFtovf+mV65DUzQ&#10;x/Hw89EhgQgyDfPj8TjRn70EO/Thq7SaRaHgpW3NDNG2iVnYXPpAqOS/84uA3qqmvGiUSgqulucK&#10;2Qao3eOz47N5ujaFvHJThrVU8PAwp5EQQGNXKQgkakdEeLPiDNSK5lkETNivov07IAm8hlL20Dn9&#10;ImERuXPv5P3Lxirm4OsuJEF046ibQDuhGl3wo5hol0mZCCPTVPdcxIZ0LYjS0pb31E203Zh7Jy4a&#10;ArkEH24Aaa6pXNrVcE1HpSxxYHuJs9riw3vfoz+NG1k5a2lPiJ+fa0DJmfpmaBCPB6NRXKykjMaH&#10;Q1Jw37Lct5i1PrfUmwG9Ck4kMfoHtRMrtPqOVnoWUckERhB214leOQ/d/tKjIORsltxomRyES7Nw&#10;IiaPPEV6b7d3gK4fp0BzeGV3OwWTNwPV+cZIY2frYKsmTdsLr9TBqNAipl72j0bc9H09eb08bdM/&#10;AAAA//8DAFBLAwQUAAYACAAAACEAMqJk/d4AAAAJAQAADwAAAGRycy9kb3ducmV2LnhtbEyPwU7D&#10;MBBE70j8g7VIXCpqk9IWhTgVKuIGAtoUrm68JBHxOoqdJvw9ywmOq/c0O5NtJteKE/ah8aTheq5A&#10;IJXeNlRpKPaPV7cgQjRkTesJNXxjgE1+fpaZ1PqR3vC0i5XgEAqp0VDH2KVShrJGZ8Lcd0jMPn3v&#10;TOSzr6TtzcjhrpWJUivpTEP8oTYdbmssv3aD0/BavDyM6OPzTG1nxdOe3ofDR6L15cV0fwci4hT/&#10;ZPitz9Uh505HP5ANotVws1YLVhkseBMLy2XCW45MVgpknsn/C/IfAAAA//8DAFBLAQItABQABgAI&#10;AAAAIQC2gziS/gAAAOEBAAATAAAAAAAAAAAAAAAAAAAAAABbQ29udGVudF9UeXBlc10ueG1sUEsB&#10;Ai0AFAAGAAgAAAAhADj9If/WAAAAlAEAAAsAAAAAAAAAAAAAAAAALwEAAF9yZWxzLy5yZWxzUEsB&#10;Ai0AFAAGAAgAAAAhAIBs8/uTAgAAIgUAAA4AAAAAAAAAAAAAAAAALgIAAGRycy9lMm9Eb2MueG1s&#10;UEsBAi0AFAAGAAgAAAAhADKiZP3eAAAACQEAAA8AAAAAAAAAAAAAAAAA7QQAAGRycy9kb3ducmV2&#10;LnhtbFBLBQYAAAAABAAEAPMAAAD4BQAAAAA=&#10;" adj="10800" fillcolor="#5b9bd5" strokecolor="#41719c" strokeweight="1pt"/>
            </w:pict>
          </mc:Fallback>
        </mc:AlternateContent>
      </w: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03296" behindDoc="0" locked="0" layoutInCell="1" allowOverlap="1" wp14:anchorId="7F533A90" wp14:editId="36FA956F">
                <wp:simplePos x="0" y="0"/>
                <wp:positionH relativeFrom="column">
                  <wp:posOffset>1643380</wp:posOffset>
                </wp:positionH>
                <wp:positionV relativeFrom="paragraph">
                  <wp:posOffset>41910</wp:posOffset>
                </wp:positionV>
                <wp:extent cx="3152775" cy="1114425"/>
                <wp:effectExtent l="0" t="0" r="28575" b="28575"/>
                <wp:wrapNone/>
                <wp:docPr id="146" name="Pole tekstowe 146"/>
                <wp:cNvGraphicFramePr/>
                <a:graphic xmlns:a="http://schemas.openxmlformats.org/drawingml/2006/main">
                  <a:graphicData uri="http://schemas.microsoft.com/office/word/2010/wordprocessingShape">
                    <wps:wsp>
                      <wps:cNvSpPr txBox="1"/>
                      <wps:spPr>
                        <a:xfrm>
                          <a:off x="0" y="0"/>
                          <a:ext cx="3152775" cy="1114425"/>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sidRPr="00A961FB">
                              <w:rPr>
                                <w:rFonts w:asciiTheme="minorHAnsi" w:hAnsiTheme="minorHAnsi"/>
                                <w:b/>
                              </w:rPr>
                              <w:t>Zespół Zarządzający Strategią</w:t>
                            </w:r>
                          </w:p>
                          <w:p w:rsidR="00A469F2" w:rsidRPr="00A961FB" w:rsidRDefault="00A469F2" w:rsidP="0062416A">
                            <w:pPr>
                              <w:pStyle w:val="Akapitzlist"/>
                              <w:numPr>
                                <w:ilvl w:val="0"/>
                                <w:numId w:val="119"/>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Na podstawie danych z monitoringu rozwoju Miasta podejmuje decyzje o wdrażaniu projektów inwestycyjnych na kolejny okres;</w:t>
                            </w:r>
                          </w:p>
                          <w:p w:rsidR="00A469F2" w:rsidRPr="00A961FB" w:rsidRDefault="00A469F2" w:rsidP="0062416A">
                            <w:pPr>
                              <w:pStyle w:val="Akapitzlist"/>
                              <w:numPr>
                                <w:ilvl w:val="0"/>
                                <w:numId w:val="119"/>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 xml:space="preserve">Minimum raz na trzy lata składa sprawozdanie przed Komitetem Sterującym z postępów wdrażania Strategii; </w:t>
                            </w:r>
                          </w:p>
                          <w:p w:rsidR="00A469F2" w:rsidRPr="00A961FB" w:rsidRDefault="00A469F2" w:rsidP="00B30EBE">
                            <w:pPr>
                              <w:spacing w:line="240" w:lineRule="auto"/>
                              <w:ind w:left="426" w:hanging="284"/>
                              <w:rPr>
                                <w:rFonts w:asciiTheme="minorHAnsi" w:hAnsiTheme="minorHAnsi"/>
                                <w:sz w:val="18"/>
                                <w:szCs w:val="18"/>
                              </w:rPr>
                            </w:pPr>
                          </w:p>
                          <w:p w:rsidR="00A469F2" w:rsidRPr="00A961FB" w:rsidRDefault="00A469F2" w:rsidP="0062416A">
                            <w:pPr>
                              <w:pStyle w:val="Akapitzlist"/>
                              <w:numPr>
                                <w:ilvl w:val="0"/>
                                <w:numId w:val="119"/>
                              </w:numPr>
                              <w:spacing w:after="160" w:line="240" w:lineRule="auto"/>
                              <w:jc w:val="left"/>
                              <w:rPr>
                                <w:rFonts w:asciiTheme="minorHAnsi" w:hAnsiTheme="minorHAnsi"/>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6" o:spid="_x0000_s1076" type="#_x0000_t202" style="position:absolute;left:0;text-align:left;margin-left:129.4pt;margin-top:3.3pt;width:248.25pt;height:8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lvZAIAANIEAAAOAAAAZHJzL2Uyb0RvYy54bWysVMlu2zAQvRfoPxC8N7K8JKkROXATuCgQ&#10;JAaSImeaomIhFIclaUvu1/eRsp2tp6I+0JyFs7x5o4vLrtFsq5yvyRQ8PxlwpoyksjZPBf/5sPhy&#10;zpkPwpRCk1EF3ynPL2efP120dqqGtCZdKscQxPhpawu+DsFOs8zLtWqEPyGrDIwVuUYEiO4pK51o&#10;Eb3R2XAwOM1acqV1JJX30F73Rj5L8atKyXBXVV4FpguO2kI6XTpX8cxmF2L65IRd13JfhviHKhpR&#10;GyQ9hroWQbCNqz+EamrpyFMVTiQ1GVVVLVXqAd3kg3fd3K+FVakXgOPtESb//8LK2+3SsbrE7Man&#10;nBnRYEhL0ooF9ewDtYpFA2BqrZ/C+97CP3TfqMOTg95DGbvvKtfEf/TFYAfguyPIqgtMQjnKJ8Oz&#10;swlnErY8z8fj4STGyV6eW+fDd0UNi5eCO0wxgSu2Nz70rgeXmM2TrstFrXUSdv5KO7YVGDh4UlLL&#10;mRY+QFnwRfrts715pg1rC346mgxSpje2mOsYc6WFfP4YAdVrE/OrRLp9nRGzHpt4C92qS1CPRgfg&#10;VlTugKejnpjeykWNbDcoeCkcmAgIsV3hDkelCSXS/sbZmtzvv+mjPwgCK2ctmF1w/2sjnAIOPwyo&#10;8xWQx1VIwnhyNoTgXltWry1m01wRsMyxx1ama/QP+nCtHDWPWMJ5zAqTMBK5Cx4O16vQ7xuWWKr5&#10;PDmB/FaEG3NvZQwdgYsoP3SPwtn92AMYc0uHHRDTd9PvfeNLQ/NNoKpO1IhA96iCUlHA4iRy7Zc8&#10;buZrOXm9fIpmfwAAAP//AwBQSwMEFAAGAAgAAAAhADJUQvfdAAAACQEAAA8AAABkcnMvZG93bnJl&#10;di54bWxMj8FOwzAQRO9I/IO1SNyo06CUEOJUCIkjQqQc4ObaS2KI11HspqFfz3KC42hGM2/q7eIH&#10;MeMUXSAF61UGAskE66hT8Lp7vCpBxKTJ6iEQKvjGCNvm/KzWlQ1HesG5TZ3gEoqVVtCnNFZSRtOj&#10;13EVRiT2PsLkdWI5ddJO+sjlfpB5lm2k1454odcjPvRovtqDV2DpLZB5d08nR61xt6fn8tPMSl1e&#10;LPd3IBIu6S8Mv/iMDg0z7cOBbBSDgrwoGT0p2GxAsH9TFNcg9hws8zXIppb/HzQ/AAAA//8DAFBL&#10;AQItABQABgAIAAAAIQC2gziS/gAAAOEBAAATAAAAAAAAAAAAAAAAAAAAAABbQ29udGVudF9UeXBl&#10;c10ueG1sUEsBAi0AFAAGAAgAAAAhADj9If/WAAAAlAEAAAsAAAAAAAAAAAAAAAAALwEAAF9yZWxz&#10;Ly5yZWxzUEsBAi0AFAAGAAgAAAAhALAWCW9kAgAA0gQAAA4AAAAAAAAAAAAAAAAALgIAAGRycy9l&#10;Mm9Eb2MueG1sUEsBAi0AFAAGAAgAAAAhADJUQvfdAAAACQEAAA8AAAAAAAAAAAAAAAAAvgQAAGRy&#10;cy9kb3ducmV2LnhtbFBLBQYAAAAABAAEAPMAAADIBQAAAAA=&#10;" fillcolor="window" strokeweight=".5pt">
                <v:textbox>
                  <w:txbxContent>
                    <w:p w:rsidR="00960314" w:rsidRPr="00A961FB" w:rsidRDefault="00960314" w:rsidP="00B30EBE">
                      <w:pPr>
                        <w:spacing w:line="240" w:lineRule="auto"/>
                        <w:jc w:val="center"/>
                        <w:rPr>
                          <w:rFonts w:asciiTheme="minorHAnsi" w:hAnsiTheme="minorHAnsi"/>
                          <w:b/>
                        </w:rPr>
                      </w:pPr>
                      <w:r w:rsidRPr="00A961FB">
                        <w:rPr>
                          <w:rFonts w:asciiTheme="minorHAnsi" w:hAnsiTheme="minorHAnsi"/>
                          <w:b/>
                        </w:rPr>
                        <w:t>Zespół Zarządzający Strategią</w:t>
                      </w:r>
                    </w:p>
                    <w:p w:rsidR="00960314" w:rsidRPr="00A961FB" w:rsidRDefault="00960314" w:rsidP="0062416A">
                      <w:pPr>
                        <w:pStyle w:val="Akapitzlist"/>
                        <w:numPr>
                          <w:ilvl w:val="0"/>
                          <w:numId w:val="119"/>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Na podstawie danych z monitoringu rozwoju Miasta podejmuje decyzje o wdrażaniu projektów inwestycyjnych na kolejny okres;</w:t>
                      </w:r>
                    </w:p>
                    <w:p w:rsidR="00960314" w:rsidRPr="00A961FB" w:rsidRDefault="00960314" w:rsidP="0062416A">
                      <w:pPr>
                        <w:pStyle w:val="Akapitzlist"/>
                        <w:numPr>
                          <w:ilvl w:val="0"/>
                          <w:numId w:val="119"/>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 xml:space="preserve">Minimum raz na trzy lata składa sprawozdanie przed Komitetem Sterującym z postępów wdrażania Strategii; </w:t>
                      </w:r>
                    </w:p>
                    <w:p w:rsidR="00960314" w:rsidRPr="00A961FB" w:rsidRDefault="00960314" w:rsidP="00B30EBE">
                      <w:pPr>
                        <w:spacing w:line="240" w:lineRule="auto"/>
                        <w:ind w:left="426" w:hanging="284"/>
                        <w:rPr>
                          <w:rFonts w:asciiTheme="minorHAnsi" w:hAnsiTheme="minorHAnsi"/>
                          <w:sz w:val="18"/>
                          <w:szCs w:val="18"/>
                        </w:rPr>
                      </w:pPr>
                    </w:p>
                    <w:p w:rsidR="00960314" w:rsidRPr="00A961FB" w:rsidRDefault="00960314" w:rsidP="0062416A">
                      <w:pPr>
                        <w:pStyle w:val="Akapitzlist"/>
                        <w:numPr>
                          <w:ilvl w:val="0"/>
                          <w:numId w:val="119"/>
                        </w:numPr>
                        <w:spacing w:after="160" w:line="240" w:lineRule="auto"/>
                        <w:jc w:val="left"/>
                        <w:rPr>
                          <w:rFonts w:asciiTheme="minorHAnsi" w:hAnsiTheme="minorHAnsi"/>
                          <w:b/>
                          <w:sz w:val="18"/>
                        </w:rPr>
                      </w:pPr>
                    </w:p>
                  </w:txbxContent>
                </v:textbox>
              </v:shape>
            </w:pict>
          </mc:Fallback>
        </mc:AlternateContent>
      </w:r>
    </w:p>
    <w:p w:rsidR="00B30EBE" w:rsidRPr="00B30EBE" w:rsidRDefault="00B30EBE"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12512" behindDoc="0" locked="0" layoutInCell="1" allowOverlap="1" wp14:anchorId="46438530" wp14:editId="27594F51">
                <wp:simplePos x="0" y="0"/>
                <wp:positionH relativeFrom="column">
                  <wp:posOffset>4810125</wp:posOffset>
                </wp:positionH>
                <wp:positionV relativeFrom="paragraph">
                  <wp:posOffset>176530</wp:posOffset>
                </wp:positionV>
                <wp:extent cx="200025" cy="484505"/>
                <wp:effectExtent l="19050" t="38100" r="28575" b="48895"/>
                <wp:wrapNone/>
                <wp:docPr id="147" name="Strzałka w prawo 147"/>
                <wp:cNvGraphicFramePr/>
                <a:graphic xmlns:a="http://schemas.openxmlformats.org/drawingml/2006/main">
                  <a:graphicData uri="http://schemas.microsoft.com/office/word/2010/wordprocessingShape">
                    <wps:wsp>
                      <wps:cNvSpPr/>
                      <wps:spPr>
                        <a:xfrm flipH="1">
                          <a:off x="0" y="0"/>
                          <a:ext cx="20002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załka w prawo 147" o:spid="_x0000_s1026" type="#_x0000_t13" style="position:absolute;margin-left:378.75pt;margin-top:13.9pt;width:15.75pt;height:38.15pt;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LjkgIAAC0FAAAOAAAAZHJzL2Uyb0RvYy54bWysVMtuGzEMvBfoPwi6N7s27CYxYgdOjLQF&#10;gsSAU+RMa7VeoXqVkr1Ojv23/lcp7Tqv5lT0IogiNRSHQ52d741mO4lBOTvlg6OSM2mFq5TdTPn3&#10;u6tPJ5yFCLYC7ayc8gcZ+Pns44ez1k/k0DVOVxIZgdgwaf2UNzH6SVEE0UgD4ch5aclZOzQQycRN&#10;USG0hG50MSzLz0XrsPLohAyBThedk88yfl1LEW/rOsjI9JTT22JeMa/rtBazM5hsEHyjRP8M+IdX&#10;GFCWkj5BLSAC26L6C8oogS64Oh4JZwpX10rIXANVMyjfVLNqwMtcC5ET/BNN4f/BipvdEpmqqHej&#10;Y84sGGrSKuIj/P71A1jLPDHqWHISVa0PE7qx8kvsrUDbVPe+RsNqrfxXQspMUG1sn4l+eCJa7iMT&#10;dEidK4djzgS5RiejcTlO6EUHk+A8hvhFOkPpA/UM1aaJc0TXZmjYXYfYXTgEpkvBaVVdKa2zgZv1&#10;pUa2A+r8+OL0YnHI8SpMW9bSi4fHJalDACmw1hBpazxxEuyGM9AbkraImHO/uh3eSZKTN1DJPjWV&#10;mmVG1fXhudJXOKmKBYSmu5JdnTKNijQeWpkpP0lAByRtUxqZBd5zkXrTdSPt1q56oMai6xQfvLhS&#10;lOQaQlwCksSpXBrbeEtLrR1x4PodZ43Dx/fOUzwpj7yctTQyxM/PLaDkTH+zpMnTwWiUZiwbo/Hx&#10;kAx86Vm/9NituXTUmwF9EF7kbYqP+rCt0Zl7mu55ykousIJyd53ojcvYjTL9D0LO5zmM5spDvLYr&#10;Lw5STPTe7e8Bfa+nSEK8cYfxgskbQXWxiWHr5tvoapXV9swrdTAZNJO5l/3/kYb+pZ2jnn+52R8A&#10;AAD//wMAUEsDBBQABgAIAAAAIQAjJQkf3QAAAAoBAAAPAAAAZHJzL2Rvd25yZXYueG1sTI9BS8NA&#10;EIXvgv9hGcGb3W0xpo3ZFFELgierIN6m2TEJZmdDdpvGf+940uMwH+99r9zOvlcTjbELbGG5MKCI&#10;6+A6biy8ve6u1qBiQnbYByYL3xRhW52flVi4cOIXmvapURLCsUALbUpDoXWsW/IYF2Eglt9nGD0m&#10;OcdGuxFPEu57vTLmRnvsWBpaHOi+pfprf/QWTFa/P40Od/OzftxM3UMmLR/WXl7Md7egEs3pD4Zf&#10;fVGHSpwO4cguqt5CnuWZoBZWuUwQIF9vZNxBSHO9BF2V+v+E6gcAAP//AwBQSwECLQAUAAYACAAA&#10;ACEAtoM4kv4AAADhAQAAEwAAAAAAAAAAAAAAAAAAAAAAW0NvbnRlbnRfVHlwZXNdLnhtbFBLAQIt&#10;ABQABgAIAAAAIQA4/SH/1gAAAJQBAAALAAAAAAAAAAAAAAAAAC8BAABfcmVscy8ucmVsc1BLAQIt&#10;ABQABgAIAAAAIQBA3bLjkgIAAC0FAAAOAAAAAAAAAAAAAAAAAC4CAABkcnMvZTJvRG9jLnhtbFBL&#10;AQItABQABgAIAAAAIQAjJQkf3QAAAAoBAAAPAAAAAAAAAAAAAAAAAOwEAABkcnMvZG93bnJldi54&#10;bWxQSwUGAAAAAAQABADzAAAA9gUAAAAA&#10;" adj="10800" fillcolor="#5b9bd5" strokecolor="#41719c" strokeweight="1pt"/>
            </w:pict>
          </mc:Fallback>
        </mc:AlternateContent>
      </w: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p>
    <w:p w:rsidR="00B30EBE" w:rsidRPr="00B30EBE" w:rsidRDefault="00A961FB" w:rsidP="00B30EBE">
      <w:pPr>
        <w:spacing w:after="160"/>
        <w:rPr>
          <w:rFonts w:asciiTheme="minorHAnsi" w:hAnsiTheme="minorHAnsi"/>
          <w:sz w:val="22"/>
        </w:rPr>
      </w:pPr>
      <w:r w:rsidRPr="00B30EBE">
        <w:rPr>
          <w:rFonts w:asciiTheme="minorHAnsi" w:hAnsiTheme="minorHAnsi"/>
          <w:noProof/>
          <w:sz w:val="22"/>
          <w:lang w:eastAsia="pl-PL"/>
        </w:rPr>
        <mc:AlternateContent>
          <mc:Choice Requires="wps">
            <w:drawing>
              <wp:anchor distT="0" distB="0" distL="114300" distR="114300" simplePos="0" relativeHeight="251710464" behindDoc="0" locked="0" layoutInCell="1" allowOverlap="1" wp14:anchorId="0809BA45" wp14:editId="783B9220">
                <wp:simplePos x="0" y="0"/>
                <wp:positionH relativeFrom="column">
                  <wp:posOffset>2990850</wp:posOffset>
                </wp:positionH>
                <wp:positionV relativeFrom="paragraph">
                  <wp:posOffset>14605</wp:posOffset>
                </wp:positionV>
                <wp:extent cx="523875" cy="209550"/>
                <wp:effectExtent l="38100" t="0" r="0" b="38100"/>
                <wp:wrapNone/>
                <wp:docPr id="148" name="Strzałka w dół 148"/>
                <wp:cNvGraphicFramePr/>
                <a:graphic xmlns:a="http://schemas.openxmlformats.org/drawingml/2006/main">
                  <a:graphicData uri="http://schemas.microsoft.com/office/word/2010/wordprocessingShape">
                    <wps:wsp>
                      <wps:cNvSpPr/>
                      <wps:spPr>
                        <a:xfrm>
                          <a:off x="0" y="0"/>
                          <a:ext cx="52387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dół 148" o:spid="_x0000_s1026" type="#_x0000_t67" style="position:absolute;margin-left:235.5pt;margin-top:1.15pt;width:41.25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rtkAIAACIFAAAOAAAAZHJzL2Uyb0RvYy54bWysVEtu2zAQ3RfoHQjuG8mu1SRC5MCJkaJA&#10;kARwiqzHFGUR5a8kbTlZ5ko5QpF7dUjJ+a+KekHPaH6cN294dLxVkmy488Loio72ckq4ZqYWelXR&#10;n9dnXw4o8QF0DdJoXtFb7unx9POno86WfGxaI2vuCCbRvuxsRdsQbJllnrVcgd8zlms0NsYpCKi6&#10;VVY76DC7ktk4z79lnXG1dYZx7/HrvDfSacrfNJyFy6bxPBBZUbxbSKdL5zKe2fQIypUD2wo2XAP+&#10;4RYKhMaiT6nmEICsnXiXSgnmjDdN2GNGZaZpBOOpB+xmlL/pZtGC5akXBMfbJ5j8/0vLLjZXjoga&#10;ZzfBUWlQOKRFcHfweP8LSEfqPw+P9yQaEarO+hIjFvbKDZpHMfa9bZyK/9gR2SZ4b5/g5dtAGH4s&#10;xl8P9gtKGJrG+WFRJPiz52DrfPjOjSJRqGhtOj1zznQJWdic+4BV0X/nFwt6I0V9JqRMilstT6Uj&#10;G8BxFyeHJ/MiXhtDXrlJTTpseLyfIyUYIO0aCQFFZREIr1eUgFwhn1lwqfaraP9BkVS8hZoPpXP8&#10;7Sr37u9vEbuYg2/7kFQihkCpRMCdkEJV9CAm2mWSOlp5YvWARRxIP4IoLU19i9N0pqe5t+xMYJFz&#10;8OEKHPIa28VdDZd4NNIgBmaQKGmNu/voe/RHuqGVkg73BPH5vQbHKZE/NBLxcDSZxMVKyqTYH6Pi&#10;XlqWLy16rU4NzmaEr4JlSYz+Qe7Exhl1gys9i1XRBJph7X4Sg3Ia+v3FR4Hx2Sy54TJZCOd6YVlM&#10;HnGK8F5vb8DZgU4BeXhhdjsF5RtC9b4xUpvZOphGJLY944oTjAouYprl8GjETX+pJ6/np236FwAA&#10;//8DAFBLAwQUAAYACAAAACEAJUPD8N8AAAAIAQAADwAAAGRycy9kb3ducmV2LnhtbEyPQU+DQBSE&#10;7yb+h80z8dLYpSDWII/G1HjTqC3V65Z9ApF9S9il4L93PelxMpOZb/LNbDpxosG1lhFWywgEcWV1&#10;yzVCuX+8ugXhvGKtOsuE8E0ONsX5Wa4ybSd+o9PO1yKUsMsUQuN9n0npqoaMckvbEwfv0w5G+SCH&#10;WupBTaHcdDKOohtpVMthoVE9bRuqvnajQXgtXx4msv55EW0X5dOe38fDR4x4eTHf34HwNPu/MPzi&#10;B3QoAtPRjqyd6BCu16vwxSPECYjgp2mSgjgiJGkCssjl/wPFDwAAAP//AwBQSwECLQAUAAYACAAA&#10;ACEAtoM4kv4AAADhAQAAEwAAAAAAAAAAAAAAAAAAAAAAW0NvbnRlbnRfVHlwZXNdLnhtbFBLAQIt&#10;ABQABgAIAAAAIQA4/SH/1gAAAJQBAAALAAAAAAAAAAAAAAAAAC8BAABfcmVscy8ucmVsc1BLAQIt&#10;ABQABgAIAAAAIQCnrArtkAIAACIFAAAOAAAAAAAAAAAAAAAAAC4CAABkcnMvZTJvRG9jLnhtbFBL&#10;AQItABQABgAIAAAAIQAlQ8Pw3wAAAAgBAAAPAAAAAAAAAAAAAAAAAOoEAABkcnMvZG93bnJldi54&#10;bWxQSwUGAAAAAAQABADzAAAA9gUAAAAA&#10;" adj="10800" fillcolor="#5b9bd5" strokecolor="#41719c" strokeweight="1pt"/>
            </w:pict>
          </mc:Fallback>
        </mc:AlternateContent>
      </w:r>
      <w:r w:rsidR="00B30EBE" w:rsidRPr="00B30EBE">
        <w:rPr>
          <w:rFonts w:asciiTheme="minorHAnsi" w:hAnsiTheme="minorHAnsi"/>
          <w:noProof/>
          <w:sz w:val="22"/>
          <w:lang w:eastAsia="pl-PL"/>
        </w:rPr>
        <mc:AlternateContent>
          <mc:Choice Requires="wps">
            <w:drawing>
              <wp:anchor distT="0" distB="0" distL="114300" distR="114300" simplePos="0" relativeHeight="251704320" behindDoc="0" locked="0" layoutInCell="1" allowOverlap="1" wp14:anchorId="12F64DE9" wp14:editId="0E17AAD4">
                <wp:simplePos x="0" y="0"/>
                <wp:positionH relativeFrom="column">
                  <wp:posOffset>1638689</wp:posOffset>
                </wp:positionH>
                <wp:positionV relativeFrom="paragraph">
                  <wp:posOffset>229093</wp:posOffset>
                </wp:positionV>
                <wp:extent cx="3166280" cy="2210937"/>
                <wp:effectExtent l="0" t="0" r="15240" b="18415"/>
                <wp:wrapNone/>
                <wp:docPr id="149" name="Pole tekstowe 149"/>
                <wp:cNvGraphicFramePr/>
                <a:graphic xmlns:a="http://schemas.openxmlformats.org/drawingml/2006/main">
                  <a:graphicData uri="http://schemas.microsoft.com/office/word/2010/wordprocessingShape">
                    <wps:wsp>
                      <wps:cNvSpPr txBox="1"/>
                      <wps:spPr>
                        <a:xfrm>
                          <a:off x="0" y="0"/>
                          <a:ext cx="3166280" cy="2210937"/>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sz w:val="18"/>
                                <w:szCs w:val="18"/>
                              </w:rPr>
                            </w:pPr>
                            <w:r w:rsidRPr="00A961FB">
                              <w:rPr>
                                <w:rFonts w:asciiTheme="minorHAnsi" w:hAnsiTheme="minorHAnsi"/>
                                <w:b/>
                              </w:rPr>
                              <w:t>Prezydent Miasta Legnicy</w:t>
                            </w:r>
                          </w:p>
                          <w:p w:rsidR="00A469F2" w:rsidRPr="00A961FB" w:rsidRDefault="00A469F2"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prace i wdrażanie zadań przez Zespół Zarządzający, wydziały merytoryczne, jednostki organizacyjne, spółki komunalne;</w:t>
                            </w:r>
                          </w:p>
                          <w:p w:rsidR="00A469F2" w:rsidRPr="00A961FB" w:rsidRDefault="00A469F2"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Zleca sporządzanie raportu z monitoringu i ewaluacji strategii;</w:t>
                            </w:r>
                          </w:p>
                          <w:p w:rsidR="00A469F2" w:rsidRPr="00A961FB" w:rsidRDefault="00A469F2"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Przyjmuje listę projektów strategicznych, następnie prze</w:t>
                            </w:r>
                            <w:r>
                              <w:rPr>
                                <w:rFonts w:asciiTheme="minorHAnsi" w:hAnsiTheme="minorHAnsi"/>
                                <w:sz w:val="18"/>
                                <w:szCs w:val="18"/>
                              </w:rPr>
                              <w:t>dkłada ją pod obrady Rady Miejskiej</w:t>
                            </w:r>
                            <w:r w:rsidRPr="00A961FB">
                              <w:rPr>
                                <w:rFonts w:asciiTheme="minorHAnsi" w:hAnsiTheme="minorHAnsi"/>
                                <w:sz w:val="18"/>
                                <w:szCs w:val="18"/>
                              </w:rPr>
                              <w:t>;</w:t>
                            </w:r>
                          </w:p>
                          <w:p w:rsidR="00A469F2" w:rsidRDefault="00A469F2"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powstawanie programów operacyjnych i raportów oraz przedkłada je w formi</w:t>
                            </w:r>
                            <w:r>
                              <w:rPr>
                                <w:rFonts w:asciiTheme="minorHAnsi" w:hAnsiTheme="minorHAnsi"/>
                                <w:sz w:val="18"/>
                                <w:szCs w:val="18"/>
                              </w:rPr>
                              <w:t>e projektu uchwały Radzie Miejskiej</w:t>
                            </w:r>
                            <w:r w:rsidRPr="00A961FB">
                              <w:rPr>
                                <w:rFonts w:asciiTheme="minorHAnsi" w:hAnsiTheme="minorHAnsi"/>
                                <w:sz w:val="18"/>
                                <w:szCs w:val="18"/>
                              </w:rPr>
                              <w:t>;</w:t>
                            </w:r>
                          </w:p>
                          <w:p w:rsidR="00A469F2" w:rsidRPr="00A961FB" w:rsidRDefault="00A469F2" w:rsidP="0062416A">
                            <w:pPr>
                              <w:pStyle w:val="Akapitzlist"/>
                              <w:numPr>
                                <w:ilvl w:val="0"/>
                                <w:numId w:val="124"/>
                              </w:numPr>
                              <w:spacing w:after="160" w:line="240" w:lineRule="auto"/>
                              <w:ind w:left="426"/>
                              <w:jc w:val="left"/>
                              <w:rPr>
                                <w:rFonts w:asciiTheme="minorHAnsi" w:hAnsiTheme="minorHAnsi"/>
                                <w:sz w:val="18"/>
                                <w:szCs w:val="18"/>
                              </w:rPr>
                            </w:pPr>
                            <w:r>
                              <w:rPr>
                                <w:rFonts w:asciiTheme="minorHAnsi" w:hAnsiTheme="minorHAnsi"/>
                                <w:sz w:val="18"/>
                                <w:szCs w:val="18"/>
                              </w:rPr>
                              <w:t>W ramach prowadzonych spotkań z mieszkańcami, informuje opinię publiczną o postępach we wdrażaniu Strategii i realizowanych inwestycjach;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9" o:spid="_x0000_s1077" type="#_x0000_t202" style="position:absolute;left:0;text-align:left;margin-left:129.05pt;margin-top:18.05pt;width:249.3pt;height:17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YHZAIAANIEAAAOAAAAZHJzL2Uyb0RvYy54bWysVMlu2zAQvRfoPxC8N/IWJzEsB24CFwWC&#10;JEAS5ExTlC2E4rAkbcn9+j5StrP1VNQHmrNwljdvNL1sa822yvmKTM77Jz3OlJFUVGaV86fHxbdz&#10;znwQphCajMr5Tnl+Ofv6ZdrYiRrQmnShHEMQ4yeNzfk6BDvJMi/Xqhb+hKwyMJbkahEgulVWONEg&#10;eq2zQa83zhpyhXUklffQXndGPkvxy1LJcFeWXgWmc47aQjpdOpfxzGZTMVk5YdeV3Jch/qGKWlQG&#10;SY+hrkUQbOOqT6HqSjryVIYTSXVGZVlJlXpAN/3eh24e1sKq1AvA8fYIk/9/YeXt9t6xqsDsRhec&#10;GVFjSPekFQvqxQdqFIsGwNRYP4H3g4V/aL9TiycHvYcydt+Wro7/6IvBDsB3R5BVG5iEctgfjwfn&#10;MEnYBoN+72J4FuNkr8+t8+GHoprFS84dppjAFdsbHzrXg0vM5klXxaLSOgk7f6Ud2woMHDwpqOFM&#10;Cx+gzPki/fbZ3j3ThjU5Hw9PeynTO1vMdYy51EK+fI6A6rWJ+VUi3b7OiFmHTbyFdtkmqIejA3BL&#10;KnbA01FHTG/lokK2GxR8LxyYCJywXeEOR6kJJdL+xtma3O+/6aM/CAIrZw2YnXP/ayOcAg4/Dahz&#10;0R+N4iokYXR6NoDg3lqWby1mU18RsOxjj61M1+gf9OFaOqqfsYTzmBUmYSRy5zwcrleh2zcssVTz&#10;eXIC+a0IN+bByhg6AhdRfmyfhbP7sQcw5pYOOyAmH6bf+caXhuabQGWVqBGB7lAFpaKAxUnk2i95&#10;3My3cvJ6/RTN/gAAAP//AwBQSwMEFAAGAAgAAAAhAEQ3tcLeAAAACgEAAA8AAABkcnMvZG93bnJl&#10;di54bWxMj8FOwzAMhu9IvENkJG4s3ca6UppOCIkjQhQOcMsS0wYap2qyruzpMSc4WbY//f5c7Wbf&#10;iwnH6AIpWC4yEEgmWEetgteXh6sCREyarO4DoYJvjLCrz88qXdpwpGecmtQKDqFYagVdSkMpZTQd&#10;eh0XYUDi3UcYvU7cjq20oz5yuO/lKsty6bUjvtDpAe87NF/NwSuw9BbIvLvHk6PGuJvTU/FpJqUu&#10;L+a7WxAJ5/QHw68+q0PNTvtwIBtFr2C1KZaMKljnXBnYbvItiD0Pius1yLqS/1+ofwAAAP//AwBQ&#10;SwECLQAUAAYACAAAACEAtoM4kv4AAADhAQAAEwAAAAAAAAAAAAAAAAAAAAAAW0NvbnRlbnRfVHlw&#10;ZXNdLnhtbFBLAQItABQABgAIAAAAIQA4/SH/1gAAAJQBAAALAAAAAAAAAAAAAAAAAC8BAABfcmVs&#10;cy8ucmVsc1BLAQItABQABgAIAAAAIQBZNIYHZAIAANIEAAAOAAAAAAAAAAAAAAAAAC4CAABkcnMv&#10;ZTJvRG9jLnhtbFBLAQItABQABgAIAAAAIQBEN7XC3gAAAAoBAAAPAAAAAAAAAAAAAAAAAL4EAABk&#10;cnMvZG93bnJldi54bWxQSwUGAAAAAAQABADzAAAAyQUAAAAA&#10;" fillcolor="window" strokeweight=".5pt">
                <v:textbox>
                  <w:txbxContent>
                    <w:p w:rsidR="00960314" w:rsidRPr="00A961FB" w:rsidRDefault="00960314" w:rsidP="00B30EBE">
                      <w:pPr>
                        <w:spacing w:line="240" w:lineRule="auto"/>
                        <w:jc w:val="center"/>
                        <w:rPr>
                          <w:rFonts w:asciiTheme="minorHAnsi" w:hAnsiTheme="minorHAnsi"/>
                          <w:b/>
                          <w:sz w:val="18"/>
                          <w:szCs w:val="18"/>
                        </w:rPr>
                      </w:pPr>
                      <w:r w:rsidRPr="00A961FB">
                        <w:rPr>
                          <w:rFonts w:asciiTheme="minorHAnsi" w:hAnsiTheme="minorHAnsi"/>
                          <w:b/>
                        </w:rPr>
                        <w:t>Prezydent Miasta Legnicy</w:t>
                      </w:r>
                    </w:p>
                    <w:p w:rsidR="00960314" w:rsidRPr="00A961FB" w:rsidRDefault="00960314"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prace i wdrażanie zadań przez Zespół Zarządzający, wydziały merytoryczne, jednostki organizacyjne, spółki komunalne;</w:t>
                      </w:r>
                    </w:p>
                    <w:p w:rsidR="00960314" w:rsidRPr="00A961FB" w:rsidRDefault="00960314"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Zleca sporządzanie raportu z monitoringu i ewaluacji strategii;</w:t>
                      </w:r>
                    </w:p>
                    <w:p w:rsidR="00960314" w:rsidRPr="00A961FB" w:rsidRDefault="00960314"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Przyjmuje listę projektów strategicznych, następnie prze</w:t>
                      </w:r>
                      <w:r>
                        <w:rPr>
                          <w:rFonts w:asciiTheme="minorHAnsi" w:hAnsiTheme="minorHAnsi"/>
                          <w:sz w:val="18"/>
                          <w:szCs w:val="18"/>
                        </w:rPr>
                        <w:t>dkłada ją pod obrady Rady Miejskiej</w:t>
                      </w:r>
                      <w:r w:rsidRPr="00A961FB">
                        <w:rPr>
                          <w:rFonts w:asciiTheme="minorHAnsi" w:hAnsiTheme="minorHAnsi"/>
                          <w:sz w:val="18"/>
                          <w:szCs w:val="18"/>
                        </w:rPr>
                        <w:t>;</w:t>
                      </w:r>
                    </w:p>
                    <w:p w:rsidR="00960314" w:rsidRDefault="00960314" w:rsidP="0062416A">
                      <w:pPr>
                        <w:pStyle w:val="Akapitzlist"/>
                        <w:numPr>
                          <w:ilvl w:val="0"/>
                          <w:numId w:val="124"/>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powstawanie programów operacyjnych i raportów oraz przedkłada je w formi</w:t>
                      </w:r>
                      <w:r>
                        <w:rPr>
                          <w:rFonts w:asciiTheme="minorHAnsi" w:hAnsiTheme="minorHAnsi"/>
                          <w:sz w:val="18"/>
                          <w:szCs w:val="18"/>
                        </w:rPr>
                        <w:t>e projektu uchwały Radzie Miejskiej</w:t>
                      </w:r>
                      <w:r w:rsidRPr="00A961FB">
                        <w:rPr>
                          <w:rFonts w:asciiTheme="minorHAnsi" w:hAnsiTheme="minorHAnsi"/>
                          <w:sz w:val="18"/>
                          <w:szCs w:val="18"/>
                        </w:rPr>
                        <w:t>;</w:t>
                      </w:r>
                    </w:p>
                    <w:p w:rsidR="00960314" w:rsidRPr="00A961FB" w:rsidRDefault="00960314" w:rsidP="0062416A">
                      <w:pPr>
                        <w:pStyle w:val="Akapitzlist"/>
                        <w:numPr>
                          <w:ilvl w:val="0"/>
                          <w:numId w:val="124"/>
                        </w:numPr>
                        <w:spacing w:after="160" w:line="240" w:lineRule="auto"/>
                        <w:ind w:left="426"/>
                        <w:jc w:val="left"/>
                        <w:rPr>
                          <w:rFonts w:asciiTheme="minorHAnsi" w:hAnsiTheme="minorHAnsi"/>
                          <w:sz w:val="18"/>
                          <w:szCs w:val="18"/>
                        </w:rPr>
                      </w:pPr>
                      <w:r>
                        <w:rPr>
                          <w:rFonts w:asciiTheme="minorHAnsi" w:hAnsiTheme="minorHAnsi"/>
                          <w:sz w:val="18"/>
                          <w:szCs w:val="18"/>
                        </w:rPr>
                        <w:t>W ramach prowadzonych spotkań z mieszkańcami, informuje opinię publiczną o postępach we wdrażaniu Strategii i realizowanych inwestycjach;</w:t>
                      </w:r>
                    </w:p>
                  </w:txbxContent>
                </v:textbox>
              </v:shape>
            </w:pict>
          </mc:Fallback>
        </mc:AlternateContent>
      </w: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tabs>
          <w:tab w:val="left" w:pos="5245"/>
          <w:tab w:val="left" w:pos="5387"/>
          <w:tab w:val="left" w:pos="5529"/>
        </w:tab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bookmarkStart w:id="83" w:name="_Toc399755713"/>
    <w:bookmarkStart w:id="84" w:name="_Toc399756022"/>
    <w:bookmarkStart w:id="85" w:name="_Toc399756360"/>
    <w:p w:rsidR="00B30EBE" w:rsidRPr="00B30EBE" w:rsidRDefault="00A961FB"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r w:rsidRPr="00B30EBE">
        <w:rPr>
          <w:rFonts w:asciiTheme="majorHAnsi" w:eastAsiaTheme="majorEastAsia" w:hAnsiTheme="majorHAnsi" w:cstheme="majorBidi"/>
          <w:noProof/>
          <w:color w:val="2E74B5" w:themeColor="accent1" w:themeShade="BF"/>
          <w:sz w:val="26"/>
          <w:szCs w:val="26"/>
          <w:lang w:eastAsia="pl-PL"/>
        </w:rPr>
        <mc:AlternateContent>
          <mc:Choice Requires="wps">
            <w:drawing>
              <wp:anchor distT="0" distB="0" distL="114300" distR="114300" simplePos="0" relativeHeight="251711488" behindDoc="0" locked="0" layoutInCell="1" allowOverlap="1" wp14:anchorId="0E9A02CD" wp14:editId="456A37DB">
                <wp:simplePos x="0" y="0"/>
                <wp:positionH relativeFrom="column">
                  <wp:posOffset>2990850</wp:posOffset>
                </wp:positionH>
                <wp:positionV relativeFrom="paragraph">
                  <wp:posOffset>40498</wp:posOffset>
                </wp:positionV>
                <wp:extent cx="523875" cy="209550"/>
                <wp:effectExtent l="38100" t="0" r="0" b="38100"/>
                <wp:wrapNone/>
                <wp:docPr id="150" name="Strzałka w dół 150"/>
                <wp:cNvGraphicFramePr/>
                <a:graphic xmlns:a="http://schemas.openxmlformats.org/drawingml/2006/main">
                  <a:graphicData uri="http://schemas.microsoft.com/office/word/2010/wordprocessingShape">
                    <wps:wsp>
                      <wps:cNvSpPr/>
                      <wps:spPr>
                        <a:xfrm>
                          <a:off x="0" y="0"/>
                          <a:ext cx="52387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dół 150" o:spid="_x0000_s1026" type="#_x0000_t67" style="position:absolute;margin-left:235.5pt;margin-top:3.2pt;width:41.25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dBkAIAACIFAAAOAAAAZHJzL2Uyb0RvYy54bWysVM1u2zAMvg/YOwi6r06yem2NOkXaoMOA&#10;Yi2QDj0zshwb098oJU577CvtEYa+1yjZ6f9pWA4Kaf584kdSxydbrdhGom+tKfl4b8SZNMJWrVmV&#10;/Mf1+adDznwAU4GyRpb8Vnp+Mv344bhzhZzYxqpKIqMkxhedK3kTgiuyzItGavB71klDxtqihkAq&#10;rrIKoaPsWmWT0ehL1lmsHFohvaev897Ipyl/XUsRLuvay8BUyeluIZ2YzmU8s+kxFCsE17RiuAb8&#10;wy00tIZAH1PNIQBbY/smlW4FWm/rsCeszmxdt0KmGqia8ehVNYsGnEy1EDnePdLk/19a8X1zhayt&#10;qHc58WNAU5MWAe/g4f4nsI5Vf34/3LNoJKo65wuKWLgrHDRPYqx7W6OO/1QR2yZ6bx/pldvABH3M&#10;J58PD3LOBJkmo6O8z5k9BTv04au0mkWh5JXtzAzRdolZ2Fz4QKjkv/OLgN6qtjpvlUoKrpZnCtkG&#10;qN356dHpPI/XppAXbsqwjgqeHIyoZAE0drWCQKJ2RIQ3K85ArWieRcCE/SLavwOSwBuo5AA9ot8O&#10;uXd/e4tYxRx804ckiBgChW4D7YRqdckPY6JdJmWiVaapHriIDelbEKWlrW6pm2j7MfdOnLcEcgE+&#10;XAHSXFO5tKvhko5aWeLADhJnjcW7975Hfxo3snLW0Z4QP7/WgJIz9c3QIB6N9/cpbUjKfn4wIQWf&#10;W5bPLWatzyz1ZkyvghNJjP5B7cQarb6hlZ5FVDKBEYTdd2JQzkK/v/QoCDmbJTdaJgfhwiyciMkj&#10;T5He6+0NoBvGKdAcfre7nYLi1UD1vjHS2Nk62LpN0/bEK3UwKrSIqZfDoxE3/bmevJ6etulfAAAA&#10;//8DAFBLAwQUAAYACAAAACEAU4AoW98AAAAIAQAADwAAAGRycy9kb3ducmV2LnhtbEyPQU+DQBSE&#10;7yb+h80z8dLYpS1URR6NqfFmo7ao1y37BCL7lrBLwX/vetLjZCYz32SbybTiRL1rLCMs5hEI4tLq&#10;hiuE4vB4dQPCecVatZYJ4ZscbPLzs0yl2o78Sqe9r0QoYZcqhNr7LpXSlTUZ5ea2Iw7ep+2N8kH2&#10;ldS9GkO5aeUyitbSqIbDQq062tZUfu0Hg/BSPD+MZP1uFm1nxdOB34e3jyXi5cV0fwfC0+T/wvCL&#10;H9AhD0xHO7B2okWIrxfhi0dYxyCCnySrBMQRYXUbg8wz+f9A/gMAAP//AwBQSwECLQAUAAYACAAA&#10;ACEAtoM4kv4AAADhAQAAEwAAAAAAAAAAAAAAAAAAAAAAW0NvbnRlbnRfVHlwZXNdLnhtbFBLAQIt&#10;ABQABgAIAAAAIQA4/SH/1gAAAJQBAAALAAAAAAAAAAAAAAAAAC8BAABfcmVscy8ucmVsc1BLAQIt&#10;ABQABgAIAAAAIQAkBkdBkAIAACIFAAAOAAAAAAAAAAAAAAAAAC4CAABkcnMvZTJvRG9jLnhtbFBL&#10;AQItABQABgAIAAAAIQBTgChb3wAAAAgBAAAPAAAAAAAAAAAAAAAAAOoEAABkcnMvZG93bnJldi54&#10;bWxQSwUGAAAAAAQABADzAAAA9gUAAAAA&#10;" adj="10800" fillcolor="#5b9bd5" strokecolor="#41719c" strokeweight="1pt"/>
            </w:pict>
          </mc:Fallback>
        </mc:AlternateContent>
      </w:r>
      <w:bookmarkEnd w:id="83"/>
      <w:bookmarkEnd w:id="84"/>
      <w:bookmarkEnd w:id="85"/>
    </w:p>
    <w:bookmarkStart w:id="86" w:name="_Toc399755714"/>
    <w:bookmarkStart w:id="87" w:name="_Toc399756023"/>
    <w:bookmarkStart w:id="88" w:name="_Toc399756361"/>
    <w:p w:rsidR="00B30EBE" w:rsidRPr="00B30EBE" w:rsidRDefault="00A961FB"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r w:rsidRPr="00B30EBE">
        <w:rPr>
          <w:rFonts w:asciiTheme="majorHAnsi" w:eastAsiaTheme="majorEastAsia" w:hAnsiTheme="majorHAnsi" w:cstheme="majorBidi"/>
          <w:noProof/>
          <w:color w:val="2E74B5" w:themeColor="accent1" w:themeShade="BF"/>
          <w:sz w:val="26"/>
          <w:szCs w:val="26"/>
          <w:lang w:eastAsia="pl-PL"/>
        </w:rPr>
        <mc:AlternateContent>
          <mc:Choice Requires="wps">
            <w:drawing>
              <wp:anchor distT="0" distB="0" distL="114300" distR="114300" simplePos="0" relativeHeight="251705344" behindDoc="0" locked="0" layoutInCell="1" allowOverlap="1" wp14:anchorId="692EF3C4" wp14:editId="494A8C8E">
                <wp:simplePos x="0" y="0"/>
                <wp:positionH relativeFrom="column">
                  <wp:posOffset>1624330</wp:posOffset>
                </wp:positionH>
                <wp:positionV relativeFrom="paragraph">
                  <wp:posOffset>17628</wp:posOffset>
                </wp:positionV>
                <wp:extent cx="3152775" cy="1533525"/>
                <wp:effectExtent l="0" t="0" r="28575" b="28575"/>
                <wp:wrapNone/>
                <wp:docPr id="151" name="Pole tekstowe 151"/>
                <wp:cNvGraphicFramePr/>
                <a:graphic xmlns:a="http://schemas.openxmlformats.org/drawingml/2006/main">
                  <a:graphicData uri="http://schemas.microsoft.com/office/word/2010/wordprocessingShape">
                    <wps:wsp>
                      <wps:cNvSpPr txBox="1"/>
                      <wps:spPr>
                        <a:xfrm>
                          <a:off x="0" y="0"/>
                          <a:ext cx="3152775" cy="1533525"/>
                        </a:xfrm>
                        <a:prstGeom prst="rect">
                          <a:avLst/>
                        </a:prstGeom>
                        <a:solidFill>
                          <a:sysClr val="window" lastClr="FFFFFF"/>
                        </a:solidFill>
                        <a:ln w="6350">
                          <a:solidFill>
                            <a:prstClr val="black"/>
                          </a:solidFill>
                        </a:ln>
                        <a:effectLst/>
                      </wps:spPr>
                      <wps:txbx>
                        <w:txbxContent>
                          <w:p w:rsidR="00A469F2" w:rsidRPr="00A961FB" w:rsidRDefault="00A469F2" w:rsidP="00B30EBE">
                            <w:pPr>
                              <w:spacing w:line="240" w:lineRule="auto"/>
                              <w:jc w:val="center"/>
                              <w:rPr>
                                <w:rFonts w:asciiTheme="minorHAnsi" w:hAnsiTheme="minorHAnsi"/>
                                <w:b/>
                              </w:rPr>
                            </w:pPr>
                            <w:r>
                              <w:rPr>
                                <w:rFonts w:asciiTheme="minorHAnsi" w:hAnsiTheme="minorHAnsi"/>
                                <w:b/>
                              </w:rPr>
                              <w:t>Rada Miejska</w:t>
                            </w:r>
                            <w:r w:rsidRPr="00A961FB">
                              <w:rPr>
                                <w:rFonts w:asciiTheme="minorHAnsi" w:hAnsiTheme="minorHAnsi"/>
                                <w:b/>
                              </w:rPr>
                              <w:t xml:space="preserve"> Legnicy</w:t>
                            </w:r>
                          </w:p>
                          <w:p w:rsidR="00A469F2" w:rsidRPr="00A961FB" w:rsidRDefault="00A469F2" w:rsidP="0062416A">
                            <w:pPr>
                              <w:pStyle w:val="Akapitzlist"/>
                              <w:numPr>
                                <w:ilvl w:val="0"/>
                                <w:numId w:val="123"/>
                              </w:numPr>
                              <w:spacing w:after="160" w:line="240" w:lineRule="auto"/>
                              <w:ind w:left="426" w:right="-13"/>
                              <w:jc w:val="left"/>
                              <w:rPr>
                                <w:rFonts w:asciiTheme="minorHAnsi" w:hAnsiTheme="minorHAnsi"/>
                                <w:sz w:val="18"/>
                                <w:szCs w:val="18"/>
                              </w:rPr>
                            </w:pPr>
                            <w:r w:rsidRPr="00A961FB">
                              <w:rPr>
                                <w:rFonts w:asciiTheme="minorHAnsi" w:hAnsiTheme="minorHAnsi"/>
                                <w:sz w:val="18"/>
                                <w:szCs w:val="18"/>
                              </w:rPr>
                              <w:t>Przyjmuje w formie uchwały raporty, programy operacyjne oraz listy projektów strategicznych opracowywane przez Urząd Miasta;</w:t>
                            </w:r>
                          </w:p>
                          <w:p w:rsidR="00A469F2" w:rsidRPr="00A961FB" w:rsidRDefault="00A469F2" w:rsidP="0062416A">
                            <w:pPr>
                              <w:pStyle w:val="Akapitzlist"/>
                              <w:numPr>
                                <w:ilvl w:val="0"/>
                                <w:numId w:val="123"/>
                              </w:numPr>
                              <w:spacing w:after="160" w:line="240" w:lineRule="auto"/>
                              <w:ind w:left="426" w:right="-13"/>
                              <w:jc w:val="left"/>
                              <w:rPr>
                                <w:rFonts w:asciiTheme="minorHAnsi" w:hAnsiTheme="minorHAnsi"/>
                                <w:sz w:val="18"/>
                                <w:szCs w:val="18"/>
                              </w:rPr>
                            </w:pPr>
                            <w:r w:rsidRPr="00A961FB">
                              <w:rPr>
                                <w:rFonts w:asciiTheme="minorHAnsi" w:hAnsiTheme="minorHAnsi"/>
                                <w:sz w:val="18"/>
                                <w:szCs w:val="18"/>
                              </w:rPr>
                              <w:t>Z uwagi na posiadany mandat społeczny stanowi organ nadzorujący prace Urzędu Miasta w zakresie opracowań strategicznych, wskazując wytyczne  dotyczące oczekiwanych zmian zapisów w przyjmowanych  projektach dokumentów strategicznych i operacyjnych;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51" o:spid="_x0000_s1078" type="#_x0000_t202" style="position:absolute;margin-left:127.9pt;margin-top:1.4pt;width:248.25pt;height:1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A5YgIAANIEAAAOAAAAZHJzL2Uyb0RvYy54bWysVMlu2zAQvRfoPxC81/ISJakROXATuChg&#10;JAGSImeaomIhFIclaUvu1/eRXpP0VNQHmrNwljdvdHXdNZqtlfM1mYIPen3OlJFU1ual4D+fZl8u&#10;OfNBmFJoMqrgG+X59eTzp6vWjtWQlqRL5RiCGD9ubcGXIdhxlnm5VI3wPbLKwFiRa0SA6F6y0okW&#10;0RudDfv986wlV1pHUnkP7e3WyCcpflUpGe6ryqvAdMFRW0inS+cintnkSoxfnLDLWu7KEP9QRSNq&#10;g6SHULciCLZy9YdQTS0deapCT1KTUVXVUqUe0M2g/66bx6WwKvUCcLw9wOT/X1h5t35wrC4xu3zA&#10;mRENhvRAWrGgXn2gVrFoAEyt9WN4P1r4h+4bdXiy13soY/dd5Zr4j74Y7AB8cwBZdYFJKEeDfHhx&#10;kXMmYRvko1E+zGOc7PjcOh++K2pYvBTcYYoJXLGe+7B13bvEbJ50Xc5qrZOw8TfasbXAwMGTklrO&#10;tPAByoLP0m+X7c0zbVhb8PNR3k+Z3thirkPMhRby9WMEVK9NzK8S6XZ1Rsy22MRb6BZdgnqUGo6q&#10;BZUb4OloS0xv5axGtjkKfhAOTASE2K5wj6PShBJpd+NsSe733/TRHwSBlbMWzC64/7USTgGHHwbU&#10;+To4O4urkISz/GIIwZ1aFqcWs2puCFiCHKguXaN/0Ptr5ah5xhJOY1aYhJHIXfCwv96E7b5hiaWa&#10;TpMTyG9FmJtHK2PoCFxE+al7Fs7uxh7AmDva74AYv5v+1je+NDRdBarqRI0jqqBUFLA4iVy7JY+b&#10;eSonr+OnaPIHAAD//wMAUEsDBBQABgAIAAAAIQDLmq+U3QAAAAkBAAAPAAAAZHJzL2Rvd25yZXYu&#10;eG1sTI9BT8MwDIXvSPyHyEjcWEq3wlaaTgiJI0IUDuyWJaYNNE7VZF3Zr8ec4GQ/Pev5e9V29r2Y&#10;cIwukILrRQYCyQTrqFXw9vp4tQYRkyar+0Co4BsjbOvzs0qXNhzpBacmtYJDKJZaQZfSUEoZTYde&#10;x0UYkNj7CKPXieXYSjvqI4f7XuZZdiO9dsQfOj3gQ4fmqzl4BZbeA5mdezo5aozbnJ7Xn2ZS6vJi&#10;vr8DkXBOf8fwi8/oUDPTPhzIRtEryIuC0RMvPNi/LfIliD3r1WoJsq7k/wb1DwAAAP//AwBQSwEC&#10;LQAUAAYACAAAACEAtoM4kv4AAADhAQAAEwAAAAAAAAAAAAAAAAAAAAAAW0NvbnRlbnRfVHlwZXNd&#10;LnhtbFBLAQItABQABgAIAAAAIQA4/SH/1gAAAJQBAAALAAAAAAAAAAAAAAAAAC8BAABfcmVscy8u&#10;cmVsc1BLAQItABQABgAIAAAAIQB9TPA5YgIAANIEAAAOAAAAAAAAAAAAAAAAAC4CAABkcnMvZTJv&#10;RG9jLnhtbFBLAQItABQABgAIAAAAIQDLmq+U3QAAAAkBAAAPAAAAAAAAAAAAAAAAALwEAABkcnMv&#10;ZG93bnJldi54bWxQSwUGAAAAAAQABADzAAAAxgUAAAAA&#10;" fillcolor="window" strokeweight=".5pt">
                <v:textbox>
                  <w:txbxContent>
                    <w:p w:rsidR="00960314" w:rsidRPr="00A961FB" w:rsidRDefault="00960314" w:rsidP="00B30EBE">
                      <w:pPr>
                        <w:spacing w:line="240" w:lineRule="auto"/>
                        <w:jc w:val="center"/>
                        <w:rPr>
                          <w:rFonts w:asciiTheme="minorHAnsi" w:hAnsiTheme="minorHAnsi"/>
                          <w:b/>
                        </w:rPr>
                      </w:pPr>
                      <w:r>
                        <w:rPr>
                          <w:rFonts w:asciiTheme="minorHAnsi" w:hAnsiTheme="minorHAnsi"/>
                          <w:b/>
                        </w:rPr>
                        <w:t>Rada Miejska</w:t>
                      </w:r>
                      <w:r w:rsidRPr="00A961FB">
                        <w:rPr>
                          <w:rFonts w:asciiTheme="minorHAnsi" w:hAnsiTheme="minorHAnsi"/>
                          <w:b/>
                        </w:rPr>
                        <w:t xml:space="preserve"> Legnicy</w:t>
                      </w:r>
                    </w:p>
                    <w:p w:rsidR="00960314" w:rsidRPr="00A961FB" w:rsidRDefault="00960314" w:rsidP="0062416A">
                      <w:pPr>
                        <w:pStyle w:val="Akapitzlist"/>
                        <w:numPr>
                          <w:ilvl w:val="0"/>
                          <w:numId w:val="123"/>
                        </w:numPr>
                        <w:spacing w:after="160" w:line="240" w:lineRule="auto"/>
                        <w:ind w:left="426" w:right="-13"/>
                        <w:jc w:val="left"/>
                        <w:rPr>
                          <w:rFonts w:asciiTheme="minorHAnsi" w:hAnsiTheme="minorHAnsi"/>
                          <w:sz w:val="18"/>
                          <w:szCs w:val="18"/>
                        </w:rPr>
                      </w:pPr>
                      <w:r w:rsidRPr="00A961FB">
                        <w:rPr>
                          <w:rFonts w:asciiTheme="minorHAnsi" w:hAnsiTheme="minorHAnsi"/>
                          <w:sz w:val="18"/>
                          <w:szCs w:val="18"/>
                        </w:rPr>
                        <w:t>Przyjmuje w formie uchwały raporty, programy operacyjne oraz listy projektów strategicznych opracowywane przez Urząd Miasta;</w:t>
                      </w:r>
                    </w:p>
                    <w:p w:rsidR="00960314" w:rsidRPr="00A961FB" w:rsidRDefault="00960314" w:rsidP="0062416A">
                      <w:pPr>
                        <w:pStyle w:val="Akapitzlist"/>
                        <w:numPr>
                          <w:ilvl w:val="0"/>
                          <w:numId w:val="123"/>
                        </w:numPr>
                        <w:spacing w:after="160" w:line="240" w:lineRule="auto"/>
                        <w:ind w:left="426" w:right="-13"/>
                        <w:jc w:val="left"/>
                        <w:rPr>
                          <w:rFonts w:asciiTheme="minorHAnsi" w:hAnsiTheme="minorHAnsi"/>
                          <w:sz w:val="18"/>
                          <w:szCs w:val="18"/>
                        </w:rPr>
                      </w:pPr>
                      <w:r w:rsidRPr="00A961FB">
                        <w:rPr>
                          <w:rFonts w:asciiTheme="minorHAnsi" w:hAnsiTheme="minorHAnsi"/>
                          <w:sz w:val="18"/>
                          <w:szCs w:val="18"/>
                        </w:rPr>
                        <w:t>Z uwagi na posiadany mandat społeczny stanowi organ nadzorujący prace Urzędu Miasta w zakresie opracowań strategicznych, wskazując wytyczne  dotyczące oczekiwanych zmian zapisów w przyjmowanych  projektach dokumentów strategicznych i operacyjnych;</w:t>
                      </w:r>
                    </w:p>
                  </w:txbxContent>
                </v:textbox>
              </v:shape>
            </w:pict>
          </mc:Fallback>
        </mc:AlternateContent>
      </w:r>
      <w:bookmarkEnd w:id="86"/>
      <w:bookmarkEnd w:id="87"/>
      <w:bookmarkEnd w:id="88"/>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p>
    <w:p w:rsidR="00B30EBE" w:rsidRPr="00B30EBE" w:rsidRDefault="00B30EBE" w:rsidP="00B30EBE">
      <w:pPr>
        <w:spacing w:after="160" w:line="259" w:lineRule="auto"/>
        <w:jc w:val="left"/>
        <w:rPr>
          <w:rFonts w:asciiTheme="minorHAnsi" w:hAnsiTheme="minorHAnsi"/>
          <w:sz w:val="22"/>
        </w:rPr>
      </w:pPr>
    </w:p>
    <w:p w:rsidR="00B30EBE" w:rsidRPr="00B30EBE" w:rsidRDefault="00B30EBE" w:rsidP="00B30EBE">
      <w:pPr>
        <w:spacing w:after="160" w:line="259" w:lineRule="auto"/>
        <w:jc w:val="left"/>
        <w:rPr>
          <w:rFonts w:asciiTheme="minorHAnsi" w:hAnsiTheme="minorHAnsi"/>
          <w:sz w:val="22"/>
        </w:rPr>
      </w:pPr>
    </w:p>
    <w:p w:rsidR="00B30EBE" w:rsidRPr="00B30EBE" w:rsidRDefault="00B30EBE" w:rsidP="00B30EBE">
      <w:pPr>
        <w:spacing w:after="160" w:line="259" w:lineRule="auto"/>
        <w:jc w:val="left"/>
        <w:rPr>
          <w:rFonts w:asciiTheme="minorHAnsi" w:hAnsiTheme="minorHAnsi"/>
          <w:sz w:val="22"/>
        </w:rPr>
      </w:pPr>
    </w:p>
    <w:p w:rsidR="00B30EBE" w:rsidRPr="00B30EBE" w:rsidRDefault="00B30EBE" w:rsidP="00B30EBE">
      <w:pPr>
        <w:spacing w:after="160" w:line="259" w:lineRule="auto"/>
        <w:jc w:val="left"/>
        <w:rPr>
          <w:rFonts w:asciiTheme="minorHAnsi" w:hAnsiTheme="minorHAnsi"/>
          <w:sz w:val="22"/>
        </w:rPr>
      </w:pPr>
    </w:p>
    <w:p w:rsidR="00B30EBE" w:rsidRPr="00B30EBE" w:rsidRDefault="00B30EBE" w:rsidP="00B30EBE">
      <w:pPr>
        <w:spacing w:after="160"/>
        <w:rPr>
          <w:rFonts w:asciiTheme="minorHAnsi" w:hAnsiTheme="minorHAnsi"/>
          <w:sz w:val="22"/>
        </w:rPr>
      </w:pPr>
    </w:p>
    <w:p w:rsidR="00B30EBE" w:rsidRPr="00B30EBE" w:rsidRDefault="00B30EBE" w:rsidP="00B30EBE">
      <w:pPr>
        <w:spacing w:after="160"/>
        <w:rPr>
          <w:rFonts w:asciiTheme="minorHAnsi" w:hAnsiTheme="minorHAnsi"/>
          <w:sz w:val="22"/>
        </w:rPr>
      </w:pPr>
    </w:p>
    <w:p w:rsidR="006B5275" w:rsidRDefault="006B5275" w:rsidP="00B30EBE">
      <w:pPr>
        <w:keepNext/>
        <w:keepLines/>
        <w:spacing w:before="240" w:line="259" w:lineRule="auto"/>
        <w:jc w:val="left"/>
        <w:outlineLvl w:val="0"/>
        <w:rPr>
          <w:rFonts w:asciiTheme="majorHAnsi" w:eastAsiaTheme="majorEastAsia" w:hAnsiTheme="majorHAnsi" w:cstheme="majorBidi"/>
          <w:color w:val="2E74B5" w:themeColor="accent1" w:themeShade="BF"/>
          <w:sz w:val="32"/>
          <w:szCs w:val="32"/>
        </w:rPr>
      </w:pPr>
      <w:bookmarkStart w:id="89" w:name="_Toc399756362"/>
    </w:p>
    <w:p w:rsidR="00B30EBE" w:rsidRPr="00B30EBE" w:rsidRDefault="00B30EBE" w:rsidP="00B30EBE">
      <w:pPr>
        <w:keepNext/>
        <w:keepLines/>
        <w:spacing w:before="240" w:line="259" w:lineRule="auto"/>
        <w:jc w:val="left"/>
        <w:outlineLvl w:val="0"/>
        <w:rPr>
          <w:rFonts w:asciiTheme="majorHAnsi" w:eastAsiaTheme="majorEastAsia" w:hAnsiTheme="majorHAnsi" w:cstheme="majorBidi"/>
          <w:color w:val="2E74B5" w:themeColor="accent1" w:themeShade="BF"/>
          <w:sz w:val="32"/>
          <w:szCs w:val="32"/>
        </w:rPr>
      </w:pPr>
      <w:r w:rsidRPr="00B30EBE">
        <w:rPr>
          <w:rFonts w:asciiTheme="majorHAnsi" w:eastAsiaTheme="majorEastAsia" w:hAnsiTheme="majorHAnsi" w:cstheme="majorBidi"/>
          <w:color w:val="2E74B5" w:themeColor="accent1" w:themeShade="BF"/>
          <w:sz w:val="32"/>
          <w:szCs w:val="32"/>
        </w:rPr>
        <w:t>Źródła finansowania</w:t>
      </w:r>
      <w:bookmarkEnd w:id="89"/>
    </w:p>
    <w:p w:rsidR="0028134A" w:rsidRDefault="0028134A" w:rsidP="00A961FB">
      <w:pPr>
        <w:spacing w:after="160"/>
        <w:jc w:val="left"/>
        <w:rPr>
          <w:rFonts w:asciiTheme="minorHAnsi" w:hAnsiTheme="minorHAnsi"/>
          <w:sz w:val="22"/>
        </w:rPr>
      </w:pPr>
    </w:p>
    <w:p w:rsidR="00B30EBE" w:rsidRPr="00B30EBE" w:rsidRDefault="00B30EBE" w:rsidP="00097F48">
      <w:pPr>
        <w:spacing w:after="160"/>
        <w:rPr>
          <w:rFonts w:asciiTheme="minorHAnsi" w:hAnsiTheme="minorHAnsi"/>
          <w:sz w:val="22"/>
        </w:rPr>
      </w:pPr>
      <w:r w:rsidRPr="00B30EBE">
        <w:rPr>
          <w:rFonts w:asciiTheme="minorHAnsi" w:hAnsiTheme="minorHAnsi"/>
          <w:sz w:val="22"/>
        </w:rPr>
        <w:t>Głównymi źródłami finansowania inwestycji i działań określonych w  Strategii będą:</w:t>
      </w:r>
    </w:p>
    <w:p w:rsidR="00B30EBE" w:rsidRPr="00B30EBE" w:rsidRDefault="00B30EBE" w:rsidP="0062416A">
      <w:pPr>
        <w:numPr>
          <w:ilvl w:val="0"/>
          <w:numId w:val="117"/>
        </w:numPr>
        <w:spacing w:after="160"/>
        <w:contextualSpacing/>
        <w:rPr>
          <w:rFonts w:asciiTheme="minorHAnsi" w:hAnsiTheme="minorHAnsi"/>
          <w:sz w:val="22"/>
        </w:rPr>
      </w:pPr>
      <w:r w:rsidRPr="00B30EBE">
        <w:rPr>
          <w:rFonts w:asciiTheme="minorHAnsi" w:hAnsiTheme="minorHAnsi"/>
          <w:sz w:val="22"/>
        </w:rPr>
        <w:t>budżet Miasta Legnicy,</w:t>
      </w:r>
    </w:p>
    <w:p w:rsidR="00B30EBE" w:rsidRPr="00B30EBE" w:rsidRDefault="00B30EBE" w:rsidP="0062416A">
      <w:pPr>
        <w:numPr>
          <w:ilvl w:val="0"/>
          <w:numId w:val="117"/>
        </w:numPr>
        <w:spacing w:after="160"/>
        <w:contextualSpacing/>
        <w:rPr>
          <w:rFonts w:asciiTheme="minorHAnsi" w:hAnsiTheme="minorHAnsi"/>
          <w:sz w:val="22"/>
        </w:rPr>
      </w:pPr>
      <w:r w:rsidRPr="00B30EBE">
        <w:rPr>
          <w:rFonts w:asciiTheme="minorHAnsi" w:hAnsiTheme="minorHAnsi"/>
          <w:sz w:val="22"/>
        </w:rPr>
        <w:t>środki pochodzące z funduszy i dotacji celowych będących w dyspozycji odpowiednich Ministerstw (np. Narodowego Funduszu Ochrony Środowiska i Gospodarki Wodnej, Funduszu Rozwoju Kultury Fizycznej)</w:t>
      </w:r>
      <w:r w:rsidR="005C67B1">
        <w:rPr>
          <w:rFonts w:asciiTheme="minorHAnsi" w:hAnsiTheme="minorHAnsi"/>
          <w:sz w:val="22"/>
        </w:rPr>
        <w:t>,</w:t>
      </w:r>
    </w:p>
    <w:p w:rsidR="00B30EBE" w:rsidRPr="00B30EBE" w:rsidRDefault="00B30EBE" w:rsidP="0062416A">
      <w:pPr>
        <w:numPr>
          <w:ilvl w:val="0"/>
          <w:numId w:val="117"/>
        </w:numPr>
        <w:spacing w:after="160"/>
        <w:contextualSpacing/>
        <w:rPr>
          <w:rFonts w:asciiTheme="minorHAnsi" w:hAnsiTheme="minorHAnsi"/>
          <w:sz w:val="22"/>
        </w:rPr>
      </w:pPr>
      <w:r w:rsidRPr="00B30EBE">
        <w:rPr>
          <w:rFonts w:asciiTheme="minorHAnsi" w:hAnsiTheme="minorHAnsi"/>
          <w:sz w:val="22"/>
        </w:rPr>
        <w:t>środki pochodzące z Funduszy Unii Europejskiej (Regionalny Program Operacyjny Województwa Dolnośląskiego na lata 2014-2020, Prog</w:t>
      </w:r>
      <w:r w:rsidR="007853DB">
        <w:rPr>
          <w:rFonts w:asciiTheme="minorHAnsi" w:hAnsiTheme="minorHAnsi"/>
          <w:sz w:val="22"/>
        </w:rPr>
        <w:t>ram Operacyjny Infrastruktura i </w:t>
      </w:r>
      <w:r w:rsidRPr="00B30EBE">
        <w:rPr>
          <w:rFonts w:asciiTheme="minorHAnsi" w:hAnsiTheme="minorHAnsi"/>
          <w:sz w:val="22"/>
        </w:rPr>
        <w:t>Środowisko, Program Operacyjny Wiedza Edukacja Rozwój, Program Operacyjny  Polska Cyfrowa, programy sektorowe</w:t>
      </w:r>
      <w:r w:rsidR="003B2DD6">
        <w:rPr>
          <w:rFonts w:asciiTheme="minorHAnsi" w:hAnsiTheme="minorHAnsi"/>
          <w:sz w:val="22"/>
        </w:rPr>
        <w:t xml:space="preserve"> itp.</w:t>
      </w:r>
      <w:r w:rsidRPr="00B30EBE">
        <w:rPr>
          <w:rFonts w:asciiTheme="minorHAnsi" w:hAnsiTheme="minorHAnsi"/>
          <w:sz w:val="22"/>
        </w:rPr>
        <w:t>)</w:t>
      </w:r>
      <w:r w:rsidR="005C67B1">
        <w:rPr>
          <w:rFonts w:asciiTheme="minorHAnsi" w:hAnsiTheme="minorHAnsi"/>
          <w:sz w:val="22"/>
        </w:rPr>
        <w:t>,</w:t>
      </w:r>
    </w:p>
    <w:p w:rsidR="00B30EBE" w:rsidRPr="00B30EBE" w:rsidRDefault="00B30EBE" w:rsidP="0062416A">
      <w:pPr>
        <w:numPr>
          <w:ilvl w:val="0"/>
          <w:numId w:val="117"/>
        </w:numPr>
        <w:spacing w:after="160"/>
        <w:contextualSpacing/>
        <w:rPr>
          <w:rFonts w:asciiTheme="minorHAnsi" w:hAnsiTheme="minorHAnsi"/>
          <w:sz w:val="22"/>
        </w:rPr>
      </w:pPr>
      <w:r w:rsidRPr="00B30EBE">
        <w:rPr>
          <w:rFonts w:asciiTheme="minorHAnsi" w:hAnsiTheme="minorHAnsi"/>
          <w:sz w:val="22"/>
        </w:rPr>
        <w:t>środki publiczne: krajowe i zagraniczne dedykowane podm</w:t>
      </w:r>
      <w:r w:rsidR="00451684">
        <w:rPr>
          <w:rFonts w:asciiTheme="minorHAnsi" w:hAnsiTheme="minorHAnsi"/>
          <w:sz w:val="22"/>
        </w:rPr>
        <w:t>iotom zewnętrznym działającym w </w:t>
      </w:r>
      <w:r w:rsidRPr="00B30EBE">
        <w:rPr>
          <w:rFonts w:asciiTheme="minorHAnsi" w:hAnsiTheme="minorHAnsi"/>
          <w:sz w:val="22"/>
        </w:rPr>
        <w:t>mieście (m.in. Program Operacyjny Inteligentny Rozwój, Program Operacyjny Wiedza Edukacja Rozwój, Program Operacyjny Polska Cyfrowa, Program Operacyjny, Regionalny Program Operacyjny Województwa Dolnośląskiego),</w:t>
      </w:r>
    </w:p>
    <w:p w:rsidR="00B30EBE" w:rsidRDefault="00B30EBE" w:rsidP="0062416A">
      <w:pPr>
        <w:numPr>
          <w:ilvl w:val="0"/>
          <w:numId w:val="117"/>
        </w:numPr>
        <w:spacing w:after="160"/>
        <w:contextualSpacing/>
        <w:rPr>
          <w:rFonts w:asciiTheme="minorHAnsi" w:hAnsiTheme="minorHAnsi"/>
          <w:sz w:val="22"/>
        </w:rPr>
      </w:pPr>
      <w:r w:rsidRPr="00B30EBE">
        <w:rPr>
          <w:rFonts w:asciiTheme="minorHAnsi" w:hAnsiTheme="minorHAnsi"/>
          <w:sz w:val="22"/>
        </w:rPr>
        <w:t>środki podmiotów prywatnych i osób fizycznych.</w:t>
      </w:r>
    </w:p>
    <w:p w:rsidR="00A961FB" w:rsidRPr="00B30EBE" w:rsidRDefault="00A961FB" w:rsidP="00097F48">
      <w:pPr>
        <w:spacing w:after="160"/>
        <w:ind w:left="720"/>
        <w:contextualSpacing/>
        <w:jc w:val="left"/>
        <w:rPr>
          <w:rFonts w:asciiTheme="minorHAnsi" w:hAnsiTheme="minorHAnsi"/>
          <w:sz w:val="22"/>
        </w:rPr>
      </w:pPr>
    </w:p>
    <w:p w:rsidR="00097F48" w:rsidRDefault="00B30EBE" w:rsidP="00097F48">
      <w:pPr>
        <w:spacing w:after="160"/>
        <w:rPr>
          <w:rFonts w:asciiTheme="minorHAnsi" w:hAnsiTheme="minorHAnsi"/>
          <w:sz w:val="22"/>
        </w:rPr>
      </w:pPr>
      <w:r w:rsidRPr="00B30EBE">
        <w:rPr>
          <w:rFonts w:asciiTheme="minorHAnsi" w:hAnsiTheme="minorHAnsi"/>
          <w:sz w:val="22"/>
        </w:rPr>
        <w:t xml:space="preserve">Podstawowym źródłem finansowania działań określonych w </w:t>
      </w:r>
      <w:r w:rsidRPr="00DF5A6E">
        <w:rPr>
          <w:rFonts w:asciiTheme="minorHAnsi" w:hAnsiTheme="minorHAnsi"/>
          <w:i/>
          <w:sz w:val="22"/>
        </w:rPr>
        <w:t>Strategii rozwoju Miasta Legnicy</w:t>
      </w:r>
      <w:r w:rsidRPr="00B30EBE">
        <w:rPr>
          <w:rFonts w:asciiTheme="minorHAnsi" w:hAnsiTheme="minorHAnsi"/>
          <w:sz w:val="22"/>
        </w:rPr>
        <w:t xml:space="preserve"> będą środki publiczne pochodzące z budżetu Miasta Legnicy</w:t>
      </w:r>
      <w:r w:rsidR="002459CE">
        <w:rPr>
          <w:rFonts w:asciiTheme="minorHAnsi" w:hAnsiTheme="minorHAnsi"/>
          <w:sz w:val="22"/>
        </w:rPr>
        <w:t>. Pełna realizacja Strategii z pewnością wymaga</w:t>
      </w:r>
      <w:r w:rsidR="0028134A">
        <w:rPr>
          <w:rFonts w:asciiTheme="minorHAnsi" w:hAnsiTheme="minorHAnsi"/>
          <w:sz w:val="22"/>
        </w:rPr>
        <w:t xml:space="preserve"> jednak, </w:t>
      </w:r>
      <w:r w:rsidR="002459CE">
        <w:rPr>
          <w:rFonts w:asciiTheme="minorHAnsi" w:hAnsiTheme="minorHAnsi"/>
          <w:sz w:val="22"/>
        </w:rPr>
        <w:t>zaangażowania środków przewyższających możliwości samodzielnego finansowania przez budżet miasta. Utrzymanie wysokiej dynamiki rozwoju miasta, wiąże się z</w:t>
      </w:r>
      <w:r w:rsidR="0028134A">
        <w:rPr>
          <w:rFonts w:asciiTheme="minorHAnsi" w:hAnsiTheme="minorHAnsi"/>
          <w:sz w:val="22"/>
        </w:rPr>
        <w:t>atem z</w:t>
      </w:r>
      <w:r w:rsidR="002459CE">
        <w:rPr>
          <w:rFonts w:asciiTheme="minorHAnsi" w:hAnsiTheme="minorHAnsi"/>
          <w:sz w:val="22"/>
        </w:rPr>
        <w:t xml:space="preserve"> koniecznością aktywnego stosowania różnych wariantów montażu finansowego, przy udziale: środków własnych, celowych środków publicznych, Funduszy Europejskich, a także kapitału podmiotów prywatnych. Ograniczoność środków inwestycyjnych</w:t>
      </w:r>
      <w:r w:rsidR="002459CE" w:rsidRPr="004F6942">
        <w:rPr>
          <w:rFonts w:asciiTheme="minorHAnsi" w:hAnsiTheme="minorHAnsi"/>
          <w:sz w:val="22"/>
        </w:rPr>
        <w:t xml:space="preserve"> </w:t>
      </w:r>
      <w:r w:rsidR="002459CE">
        <w:rPr>
          <w:rFonts w:asciiTheme="minorHAnsi" w:hAnsiTheme="minorHAnsi"/>
          <w:sz w:val="22"/>
        </w:rPr>
        <w:t>Miasta, powoduje, iż w znacznej mierze</w:t>
      </w:r>
      <w:r w:rsidR="002459CE" w:rsidRPr="004F6942">
        <w:rPr>
          <w:rFonts w:asciiTheme="minorHAnsi" w:hAnsiTheme="minorHAnsi"/>
          <w:sz w:val="22"/>
        </w:rPr>
        <w:t xml:space="preserve"> </w:t>
      </w:r>
      <w:r w:rsidR="002459CE">
        <w:rPr>
          <w:rFonts w:asciiTheme="minorHAnsi" w:hAnsiTheme="minorHAnsi"/>
          <w:sz w:val="22"/>
        </w:rPr>
        <w:t xml:space="preserve">środki te </w:t>
      </w:r>
      <w:r w:rsidR="002459CE" w:rsidRPr="004F6942">
        <w:rPr>
          <w:rFonts w:asciiTheme="minorHAnsi" w:hAnsiTheme="minorHAnsi"/>
          <w:sz w:val="22"/>
        </w:rPr>
        <w:t>pow</w:t>
      </w:r>
      <w:r w:rsidR="0028134A">
        <w:rPr>
          <w:rFonts w:asciiTheme="minorHAnsi" w:hAnsiTheme="minorHAnsi"/>
          <w:sz w:val="22"/>
        </w:rPr>
        <w:t>inny być wykorzystywane, jako wkład własny do projektów</w:t>
      </w:r>
      <w:r w:rsidR="002459CE" w:rsidRPr="004F6942">
        <w:rPr>
          <w:rFonts w:asciiTheme="minorHAnsi" w:hAnsiTheme="minorHAnsi"/>
          <w:sz w:val="22"/>
        </w:rPr>
        <w:t xml:space="preserve"> współfinansowa</w:t>
      </w:r>
      <w:r w:rsidR="0028134A">
        <w:rPr>
          <w:rFonts w:asciiTheme="minorHAnsi" w:hAnsiTheme="minorHAnsi"/>
          <w:sz w:val="22"/>
        </w:rPr>
        <w:t>nych</w:t>
      </w:r>
      <w:r w:rsidR="002459CE">
        <w:rPr>
          <w:rFonts w:asciiTheme="minorHAnsi" w:hAnsiTheme="minorHAnsi"/>
          <w:sz w:val="22"/>
        </w:rPr>
        <w:t xml:space="preserve"> ze </w:t>
      </w:r>
      <w:r w:rsidR="002459CE" w:rsidRPr="004F6942">
        <w:rPr>
          <w:rFonts w:asciiTheme="minorHAnsi" w:hAnsiTheme="minorHAnsi"/>
          <w:sz w:val="22"/>
        </w:rPr>
        <w:t>środków Unii Europejskiej</w:t>
      </w:r>
      <w:r w:rsidR="0028134A">
        <w:rPr>
          <w:rFonts w:asciiTheme="minorHAnsi" w:hAnsiTheme="minorHAnsi"/>
          <w:sz w:val="22"/>
        </w:rPr>
        <w:t xml:space="preserve"> i innych środków zewnętrznych</w:t>
      </w:r>
      <w:r w:rsidR="00097F48">
        <w:rPr>
          <w:rFonts w:asciiTheme="minorHAnsi" w:hAnsiTheme="minorHAnsi"/>
          <w:sz w:val="22"/>
        </w:rPr>
        <w:t xml:space="preserve">. </w:t>
      </w:r>
    </w:p>
    <w:p w:rsidR="00654CF8" w:rsidRDefault="00315C63" w:rsidP="00654CF8">
      <w:pPr>
        <w:spacing w:after="160"/>
        <w:rPr>
          <w:rFonts w:asciiTheme="minorHAnsi" w:hAnsiTheme="minorHAnsi"/>
          <w:sz w:val="22"/>
        </w:rPr>
      </w:pPr>
      <w:r>
        <w:rPr>
          <w:rFonts w:asciiTheme="minorHAnsi" w:hAnsiTheme="minorHAnsi"/>
          <w:sz w:val="22"/>
        </w:rPr>
        <w:t>Kluczowym źródłem finansowym, warunkującym skalę inwestycji prorozwojowych w perspektywie lat 2015</w:t>
      </w:r>
      <w:r w:rsidR="00B30EBE" w:rsidRPr="00B30EBE">
        <w:rPr>
          <w:rFonts w:asciiTheme="minorHAnsi" w:hAnsiTheme="minorHAnsi"/>
          <w:sz w:val="22"/>
        </w:rPr>
        <w:t>-2020</w:t>
      </w:r>
      <w:r>
        <w:rPr>
          <w:rFonts w:asciiTheme="minorHAnsi" w:hAnsiTheme="minorHAnsi"/>
          <w:sz w:val="22"/>
        </w:rPr>
        <w:t>,</w:t>
      </w:r>
      <w:r w:rsidR="00B30EBE" w:rsidRPr="00B30EBE">
        <w:rPr>
          <w:rFonts w:asciiTheme="minorHAnsi" w:hAnsiTheme="minorHAnsi"/>
          <w:sz w:val="22"/>
        </w:rPr>
        <w:t xml:space="preserve"> są fundusze Unii Europejskiej. Od sprawności</w:t>
      </w:r>
      <w:r>
        <w:rPr>
          <w:rFonts w:asciiTheme="minorHAnsi" w:hAnsiTheme="minorHAnsi"/>
          <w:sz w:val="22"/>
        </w:rPr>
        <w:t xml:space="preserve"> w ich pozyskiwaniu i wpisywaniu</w:t>
      </w:r>
      <w:r w:rsidR="00B30EBE" w:rsidRPr="00B30EBE">
        <w:rPr>
          <w:rFonts w:asciiTheme="minorHAnsi" w:hAnsiTheme="minorHAnsi"/>
          <w:sz w:val="22"/>
        </w:rPr>
        <w:t xml:space="preserve"> się zaplanowanych zadań i projektów</w:t>
      </w:r>
      <w:r>
        <w:rPr>
          <w:rFonts w:asciiTheme="minorHAnsi" w:hAnsiTheme="minorHAnsi"/>
          <w:sz w:val="22"/>
        </w:rPr>
        <w:t xml:space="preserve"> strategicznych</w:t>
      </w:r>
      <w:r w:rsidR="00B30EBE" w:rsidRPr="00B30EBE">
        <w:rPr>
          <w:rFonts w:asciiTheme="minorHAnsi" w:hAnsiTheme="minorHAnsi"/>
          <w:sz w:val="22"/>
        </w:rPr>
        <w:t xml:space="preserve"> w priorytety określone w poszczególnych programach operacyjnych</w:t>
      </w:r>
      <w:r>
        <w:rPr>
          <w:rFonts w:asciiTheme="minorHAnsi" w:hAnsiTheme="minorHAnsi"/>
          <w:sz w:val="22"/>
        </w:rPr>
        <w:t>,</w:t>
      </w:r>
      <w:r w:rsidR="00B30EBE" w:rsidRPr="00B30EBE">
        <w:rPr>
          <w:rFonts w:asciiTheme="minorHAnsi" w:hAnsiTheme="minorHAnsi"/>
          <w:sz w:val="22"/>
        </w:rPr>
        <w:t xml:space="preserve"> zależeć będzie zakres prowadzonego przez władze </w:t>
      </w:r>
      <w:r w:rsidR="00451684">
        <w:rPr>
          <w:rFonts w:asciiTheme="minorHAnsi" w:hAnsiTheme="minorHAnsi"/>
          <w:sz w:val="22"/>
        </w:rPr>
        <w:t xml:space="preserve">Miasta programu inwestycyjnego. </w:t>
      </w:r>
      <w:r>
        <w:rPr>
          <w:rFonts w:asciiTheme="minorHAnsi" w:hAnsiTheme="minorHAnsi"/>
          <w:sz w:val="22"/>
        </w:rPr>
        <w:t>Podstawowym źródłem</w:t>
      </w:r>
      <w:r w:rsidR="00451684">
        <w:rPr>
          <w:rFonts w:asciiTheme="minorHAnsi" w:hAnsiTheme="minorHAnsi"/>
          <w:sz w:val="22"/>
        </w:rPr>
        <w:t>,</w:t>
      </w:r>
      <w:r>
        <w:rPr>
          <w:rFonts w:asciiTheme="minorHAnsi" w:hAnsiTheme="minorHAnsi"/>
          <w:sz w:val="22"/>
        </w:rPr>
        <w:t xml:space="preserve"> z którego możliwe będzie uzyskanie środków </w:t>
      </w:r>
      <w:r w:rsidR="00451684">
        <w:rPr>
          <w:rFonts w:asciiTheme="minorHAnsi" w:hAnsiTheme="minorHAnsi"/>
          <w:sz w:val="22"/>
        </w:rPr>
        <w:t xml:space="preserve">europejskich </w:t>
      </w:r>
      <w:r>
        <w:rPr>
          <w:rFonts w:asciiTheme="minorHAnsi" w:hAnsiTheme="minorHAnsi"/>
          <w:sz w:val="22"/>
        </w:rPr>
        <w:t xml:space="preserve">na znaczną część działań określonych w dokumencie </w:t>
      </w:r>
      <w:r w:rsidRPr="00315C63">
        <w:rPr>
          <w:rFonts w:asciiTheme="minorHAnsi" w:hAnsiTheme="minorHAnsi"/>
          <w:i/>
          <w:sz w:val="22"/>
        </w:rPr>
        <w:t>Strategii</w:t>
      </w:r>
      <w:r>
        <w:rPr>
          <w:rFonts w:asciiTheme="minorHAnsi" w:hAnsiTheme="minorHAnsi"/>
          <w:i/>
          <w:sz w:val="22"/>
        </w:rPr>
        <w:t xml:space="preserve">, </w:t>
      </w:r>
      <w:r w:rsidRPr="00315C63">
        <w:rPr>
          <w:rFonts w:asciiTheme="minorHAnsi" w:hAnsiTheme="minorHAnsi"/>
          <w:sz w:val="22"/>
        </w:rPr>
        <w:t>będzie</w:t>
      </w:r>
      <w:r>
        <w:rPr>
          <w:rFonts w:asciiTheme="minorHAnsi" w:hAnsiTheme="minorHAnsi"/>
          <w:sz w:val="22"/>
        </w:rPr>
        <w:t xml:space="preserve"> </w:t>
      </w:r>
      <w:r w:rsidRPr="00315C63">
        <w:rPr>
          <w:rFonts w:asciiTheme="minorHAnsi" w:hAnsiTheme="minorHAnsi"/>
          <w:b/>
          <w:i/>
          <w:sz w:val="22"/>
        </w:rPr>
        <w:t>Regionalny Program Operacyjny dla Województwa Dolnośląskiego na lata 2014-2020</w:t>
      </w:r>
      <w:r>
        <w:rPr>
          <w:rFonts w:asciiTheme="minorHAnsi" w:hAnsiTheme="minorHAnsi"/>
          <w:sz w:val="22"/>
        </w:rPr>
        <w:t xml:space="preserve">, którego łączna przewidywalna pula środków, pochodzących z Europejskiego Funduszu Spójności oraz Europejskiego Funduszu Rozwoju Regionalnego, </w:t>
      </w:r>
      <w:r w:rsidR="00EE6888">
        <w:rPr>
          <w:rFonts w:asciiTheme="minorHAnsi" w:hAnsiTheme="minorHAnsi"/>
          <w:sz w:val="22"/>
        </w:rPr>
        <w:t>wynosi</w:t>
      </w:r>
      <w:r>
        <w:rPr>
          <w:rFonts w:asciiTheme="minorHAnsi" w:hAnsiTheme="minorHAnsi"/>
          <w:sz w:val="22"/>
        </w:rPr>
        <w:t xml:space="preserve"> 2,25 mld euro</w:t>
      </w:r>
      <w:r w:rsidR="0028134A">
        <w:rPr>
          <w:rFonts w:asciiTheme="minorHAnsi" w:hAnsiTheme="minorHAnsi"/>
          <w:sz w:val="22"/>
        </w:rPr>
        <w:t>.</w:t>
      </w:r>
      <w:r w:rsidR="00BC4C68">
        <w:rPr>
          <w:rFonts w:asciiTheme="minorHAnsi" w:hAnsiTheme="minorHAnsi"/>
          <w:sz w:val="22"/>
        </w:rPr>
        <w:t xml:space="preserve"> </w:t>
      </w:r>
    </w:p>
    <w:p w:rsidR="00654CF8" w:rsidRPr="00654CF8" w:rsidRDefault="00BC4C68" w:rsidP="00654CF8">
      <w:pPr>
        <w:spacing w:after="160"/>
        <w:rPr>
          <w:rFonts w:asciiTheme="minorHAnsi" w:hAnsiTheme="minorHAnsi"/>
          <w:sz w:val="22"/>
        </w:rPr>
      </w:pPr>
      <w:r>
        <w:rPr>
          <w:rFonts w:asciiTheme="minorHAnsi" w:hAnsiTheme="minorHAnsi"/>
          <w:sz w:val="22"/>
        </w:rPr>
        <w:t xml:space="preserve">Przewiduje się, iż część środków z </w:t>
      </w:r>
      <w:r w:rsidRPr="00BC4C68">
        <w:rPr>
          <w:rFonts w:asciiTheme="minorHAnsi" w:hAnsiTheme="minorHAnsi"/>
          <w:i/>
          <w:sz w:val="22"/>
        </w:rPr>
        <w:t>RPO</w:t>
      </w:r>
      <w:r w:rsidR="00654CF8">
        <w:rPr>
          <w:rFonts w:asciiTheme="minorHAnsi" w:hAnsiTheme="minorHAnsi"/>
          <w:i/>
          <w:sz w:val="22"/>
        </w:rPr>
        <w:t xml:space="preserve">, </w:t>
      </w:r>
      <w:r w:rsidR="00654CF8">
        <w:rPr>
          <w:rFonts w:asciiTheme="minorHAnsi" w:hAnsiTheme="minorHAnsi"/>
          <w:sz w:val="22"/>
        </w:rPr>
        <w:t xml:space="preserve">zostanie uzyskana na mocy nowego narzędzia zintegrowanej polityki terytorialnej jakim jest Kontrakt Dolnośląski. Umożliwia on uzyskanie dofinansowania projektów o zasięgu ponadlokalnym, w </w:t>
      </w:r>
      <w:r w:rsidR="00654CF8" w:rsidRPr="00654CF8">
        <w:rPr>
          <w:rFonts w:asciiTheme="minorHAnsi" w:hAnsiTheme="minorHAnsi"/>
          <w:sz w:val="22"/>
        </w:rPr>
        <w:t xml:space="preserve">ramach geograficznie dedykowanych konkursów, Dodatkowo na obszarach objętych Kontraktem Dolnośląskim </w:t>
      </w:r>
      <w:r w:rsidR="00654CF8">
        <w:rPr>
          <w:rFonts w:asciiTheme="minorHAnsi" w:hAnsiTheme="minorHAnsi"/>
          <w:sz w:val="22"/>
        </w:rPr>
        <w:t xml:space="preserve">realizowane będą projekty </w:t>
      </w:r>
      <w:r w:rsidR="00654CF8" w:rsidRPr="00654CF8">
        <w:rPr>
          <w:rFonts w:asciiTheme="minorHAnsi" w:hAnsiTheme="minorHAnsi"/>
          <w:sz w:val="22"/>
        </w:rPr>
        <w:t>pozakonkursowe, głównie w zakresie rozwoju transportu drogowego i kolej</w:t>
      </w:r>
      <w:r w:rsidR="00654CF8">
        <w:rPr>
          <w:rFonts w:asciiTheme="minorHAnsi" w:hAnsiTheme="minorHAnsi"/>
          <w:sz w:val="22"/>
        </w:rPr>
        <w:t xml:space="preserve">owego, a także w ramach innych </w:t>
      </w:r>
      <w:r w:rsidR="00654CF8" w:rsidRPr="00654CF8">
        <w:rPr>
          <w:rFonts w:asciiTheme="minorHAnsi" w:hAnsiTheme="minorHAnsi"/>
          <w:sz w:val="22"/>
        </w:rPr>
        <w:lastRenderedPageBreak/>
        <w:t>priorytetów inwestycyj</w:t>
      </w:r>
      <w:r w:rsidR="00654CF8">
        <w:rPr>
          <w:rFonts w:asciiTheme="minorHAnsi" w:hAnsiTheme="minorHAnsi"/>
          <w:sz w:val="22"/>
        </w:rPr>
        <w:t>nych. Łączna pula środków przewidzianych na ten cel to 300 mln zł, a alokacja dla danego obszaru zostanie określona zgodnie z jego specyfiką.</w:t>
      </w:r>
    </w:p>
    <w:p w:rsidR="00451684" w:rsidRDefault="00451684" w:rsidP="00097F48">
      <w:pPr>
        <w:spacing w:after="160"/>
        <w:rPr>
          <w:rFonts w:asciiTheme="minorHAnsi" w:hAnsiTheme="minorHAnsi"/>
          <w:sz w:val="22"/>
        </w:rPr>
      </w:pPr>
      <w:r>
        <w:rPr>
          <w:rFonts w:asciiTheme="minorHAnsi" w:hAnsiTheme="minorHAnsi"/>
          <w:sz w:val="22"/>
        </w:rPr>
        <w:t>Istotną rolę dla rozwoju miasta będą miały także</w:t>
      </w:r>
      <w:r w:rsidR="00B30EBE" w:rsidRPr="00B30EBE">
        <w:rPr>
          <w:rFonts w:asciiTheme="minorHAnsi" w:hAnsiTheme="minorHAnsi"/>
          <w:sz w:val="22"/>
        </w:rPr>
        <w:t xml:space="preserve"> działania i inwestycje podmiotów prywatnych</w:t>
      </w:r>
      <w:r>
        <w:rPr>
          <w:rFonts w:asciiTheme="minorHAnsi" w:hAnsiTheme="minorHAnsi"/>
          <w:sz w:val="22"/>
        </w:rPr>
        <w:t>. Środki pochodzące z programów operacyjnych, tworzą znaczne możliwości dla lokalnych organizacji i przedsiębiorstw, dając szansę na</w:t>
      </w:r>
      <w:r w:rsidR="00B30EBE" w:rsidRPr="00B30EBE">
        <w:rPr>
          <w:rFonts w:asciiTheme="minorHAnsi" w:hAnsiTheme="minorHAnsi"/>
          <w:sz w:val="22"/>
        </w:rPr>
        <w:t xml:space="preserve"> realizację innowacyjnych projektów</w:t>
      </w:r>
      <w:r>
        <w:rPr>
          <w:rFonts w:asciiTheme="minorHAnsi" w:hAnsiTheme="minorHAnsi"/>
          <w:sz w:val="22"/>
        </w:rPr>
        <w:t xml:space="preserve"> inwestycyjnych,</w:t>
      </w:r>
      <w:r w:rsidR="00B30EBE" w:rsidRPr="00B30EBE">
        <w:rPr>
          <w:rFonts w:asciiTheme="minorHAnsi" w:hAnsiTheme="minorHAnsi"/>
          <w:sz w:val="22"/>
        </w:rPr>
        <w:t xml:space="preserve"> o skali przekraczającej ich własne możliwości finan</w:t>
      </w:r>
      <w:r>
        <w:rPr>
          <w:rFonts w:asciiTheme="minorHAnsi" w:hAnsiTheme="minorHAnsi"/>
          <w:sz w:val="22"/>
        </w:rPr>
        <w:t>sowe</w:t>
      </w:r>
      <w:r w:rsidR="0028134A">
        <w:rPr>
          <w:rFonts w:asciiTheme="minorHAnsi" w:hAnsiTheme="minorHAnsi"/>
          <w:sz w:val="22"/>
        </w:rPr>
        <w:t xml:space="preserve">, prowadząc tym samym do rozwoju gospodarczego miasta i jego otoczenia. </w:t>
      </w:r>
      <w:r>
        <w:rPr>
          <w:rFonts w:asciiTheme="minorHAnsi" w:hAnsiTheme="minorHAnsi"/>
          <w:sz w:val="22"/>
        </w:rPr>
        <w:t xml:space="preserve"> </w:t>
      </w:r>
    </w:p>
    <w:p w:rsidR="004F6942" w:rsidRDefault="00B30EBE" w:rsidP="00097F48">
      <w:pPr>
        <w:spacing w:after="160"/>
        <w:rPr>
          <w:rFonts w:asciiTheme="minorHAnsi" w:hAnsiTheme="minorHAnsi"/>
          <w:sz w:val="22"/>
        </w:rPr>
      </w:pPr>
      <w:r w:rsidRPr="00B30EBE">
        <w:rPr>
          <w:rFonts w:asciiTheme="minorHAnsi" w:hAnsiTheme="minorHAnsi"/>
          <w:sz w:val="22"/>
        </w:rPr>
        <w:t>Doda</w:t>
      </w:r>
      <w:r w:rsidR="00451684">
        <w:rPr>
          <w:rFonts w:asciiTheme="minorHAnsi" w:hAnsiTheme="minorHAnsi"/>
          <w:sz w:val="22"/>
        </w:rPr>
        <w:t xml:space="preserve">tkowym instrumentem finansowym </w:t>
      </w:r>
      <w:r w:rsidRPr="00B30EBE">
        <w:rPr>
          <w:rFonts w:asciiTheme="minorHAnsi" w:hAnsiTheme="minorHAnsi"/>
          <w:sz w:val="22"/>
        </w:rPr>
        <w:t xml:space="preserve">jest Partnerstwo Publiczno-Prywatne, pozwalające na </w:t>
      </w:r>
      <w:r w:rsidR="00E36347">
        <w:rPr>
          <w:rFonts w:asciiTheme="minorHAnsi" w:hAnsiTheme="minorHAnsi"/>
          <w:sz w:val="22"/>
        </w:rPr>
        <w:t xml:space="preserve">finansowanie wydatków majątkowych miasta (głównie inwestycyjnych), przy długoterminowym zaangażowaniu kapitału podmiotów prywatnych. PPP </w:t>
      </w:r>
      <w:r w:rsidR="0028134A">
        <w:rPr>
          <w:rFonts w:asciiTheme="minorHAnsi" w:hAnsiTheme="minorHAnsi"/>
          <w:sz w:val="22"/>
        </w:rPr>
        <w:t>służy przede wszystkim</w:t>
      </w:r>
      <w:r w:rsidR="00E36347">
        <w:rPr>
          <w:rFonts w:asciiTheme="minorHAnsi" w:hAnsiTheme="minorHAnsi"/>
          <w:sz w:val="22"/>
        </w:rPr>
        <w:t xml:space="preserve"> </w:t>
      </w:r>
      <w:r w:rsidR="0028134A">
        <w:rPr>
          <w:rFonts w:asciiTheme="minorHAnsi" w:hAnsiTheme="minorHAnsi"/>
          <w:sz w:val="22"/>
        </w:rPr>
        <w:t>realizacji inwestycji o </w:t>
      </w:r>
      <w:r w:rsidRPr="00B30EBE">
        <w:rPr>
          <w:rFonts w:asciiTheme="minorHAnsi" w:hAnsiTheme="minorHAnsi"/>
          <w:sz w:val="22"/>
        </w:rPr>
        <w:t>charakterze</w:t>
      </w:r>
      <w:r w:rsidR="00E36347">
        <w:rPr>
          <w:rFonts w:asciiTheme="minorHAnsi" w:hAnsiTheme="minorHAnsi"/>
          <w:sz w:val="22"/>
        </w:rPr>
        <w:t xml:space="preserve"> częściowo</w:t>
      </w:r>
      <w:r w:rsidRPr="00B30EBE">
        <w:rPr>
          <w:rFonts w:asciiTheme="minorHAnsi" w:hAnsiTheme="minorHAnsi"/>
          <w:sz w:val="22"/>
        </w:rPr>
        <w:t xml:space="preserve"> komercyjnym, które w wydatny sposób przyczynią się do rozwoju szeroko pojętej miejskiej infrastruktury</w:t>
      </w:r>
      <w:r w:rsidR="00451684">
        <w:rPr>
          <w:rFonts w:asciiTheme="minorHAnsi" w:hAnsiTheme="minorHAnsi"/>
          <w:sz w:val="22"/>
        </w:rPr>
        <w:t>,</w:t>
      </w:r>
      <w:r w:rsidRPr="00B30EBE">
        <w:rPr>
          <w:rFonts w:asciiTheme="minorHAnsi" w:hAnsiTheme="minorHAnsi"/>
          <w:sz w:val="22"/>
        </w:rPr>
        <w:t xml:space="preserve"> służącej z</w:t>
      </w:r>
      <w:r w:rsidR="00E36347">
        <w:rPr>
          <w:rFonts w:asciiTheme="minorHAnsi" w:hAnsiTheme="minorHAnsi"/>
          <w:sz w:val="22"/>
        </w:rPr>
        <w:t>aspokajaniu potrzeb mieszkańców</w:t>
      </w:r>
      <w:r w:rsidRPr="00B30EBE">
        <w:rPr>
          <w:rFonts w:asciiTheme="minorHAnsi" w:hAnsiTheme="minorHAnsi"/>
          <w:sz w:val="22"/>
        </w:rPr>
        <w:t xml:space="preserve">. </w:t>
      </w:r>
    </w:p>
    <w:p w:rsidR="0028134A" w:rsidRDefault="0028134A" w:rsidP="00097F48">
      <w:pPr>
        <w:spacing w:after="160"/>
        <w:rPr>
          <w:rFonts w:asciiTheme="minorHAnsi" w:hAnsiTheme="minorHAnsi"/>
          <w:sz w:val="22"/>
        </w:rPr>
      </w:pPr>
      <w:r>
        <w:rPr>
          <w:rFonts w:asciiTheme="minorHAnsi" w:hAnsiTheme="minorHAnsi"/>
          <w:sz w:val="22"/>
        </w:rPr>
        <w:t>N</w:t>
      </w:r>
      <w:r w:rsidR="004F6942" w:rsidRPr="00B30EBE">
        <w:rPr>
          <w:rFonts w:asciiTheme="minorHAnsi" w:hAnsiTheme="minorHAnsi"/>
          <w:sz w:val="22"/>
        </w:rPr>
        <w:t>arzędziem w ramach budżetu Miasta, dającym</w:t>
      </w:r>
      <w:r w:rsidR="004F6942">
        <w:rPr>
          <w:rFonts w:asciiTheme="minorHAnsi" w:hAnsiTheme="minorHAnsi"/>
          <w:sz w:val="22"/>
        </w:rPr>
        <w:t xml:space="preserve"> mieszkańcom</w:t>
      </w:r>
      <w:r w:rsidR="004F6942" w:rsidRPr="00B30EBE">
        <w:rPr>
          <w:rFonts w:asciiTheme="minorHAnsi" w:hAnsiTheme="minorHAnsi"/>
          <w:sz w:val="22"/>
        </w:rPr>
        <w:t xml:space="preserve"> realny wpływ na tworzenie i rozwój przestrzeni publicznej będzie Legnicki Budżet Obywatelski. Zadania wskazywane oddolnie przez mieszkańców poszczególnych dzielnic, zwiększają poczucie wspólnoty społecznej, promują poczucie współodpowiedzialności za rozwój miasta, a przede wszystkim pozwalają zaspakajać potrzeby mieszkańców w ich bezpośrednim otoczeniu.</w:t>
      </w:r>
    </w:p>
    <w:p w:rsidR="0024208D" w:rsidRDefault="0024208D" w:rsidP="00097F48">
      <w:pPr>
        <w:spacing w:after="160"/>
        <w:rPr>
          <w:rFonts w:asciiTheme="minorHAnsi" w:hAnsiTheme="minorHAnsi"/>
          <w:sz w:val="22"/>
        </w:rPr>
      </w:pPr>
      <w:r>
        <w:rPr>
          <w:rFonts w:asciiTheme="minorHAnsi" w:hAnsiTheme="minorHAnsi"/>
          <w:sz w:val="22"/>
        </w:rPr>
        <w:t>Legnica</w:t>
      </w:r>
      <w:r w:rsidR="00471779">
        <w:rPr>
          <w:rFonts w:asciiTheme="minorHAnsi" w:hAnsiTheme="minorHAnsi"/>
          <w:sz w:val="22"/>
        </w:rPr>
        <w:t>,</w:t>
      </w:r>
      <w:r>
        <w:rPr>
          <w:rFonts w:asciiTheme="minorHAnsi" w:hAnsiTheme="minorHAnsi"/>
          <w:sz w:val="22"/>
        </w:rPr>
        <w:t xml:space="preserve"> poprzez inwestycje określone w zapisach </w:t>
      </w:r>
      <w:r>
        <w:rPr>
          <w:rFonts w:asciiTheme="minorHAnsi" w:hAnsiTheme="minorHAnsi"/>
          <w:i/>
          <w:sz w:val="22"/>
        </w:rPr>
        <w:t>Strategii</w:t>
      </w:r>
      <w:r>
        <w:rPr>
          <w:rFonts w:asciiTheme="minorHAnsi" w:hAnsiTheme="minorHAnsi"/>
          <w:sz w:val="22"/>
        </w:rPr>
        <w:t xml:space="preserve">, realizowane w zgodności z </w:t>
      </w:r>
      <w:r w:rsidRPr="00DF5A6E">
        <w:rPr>
          <w:rFonts w:asciiTheme="minorHAnsi" w:hAnsiTheme="minorHAnsi"/>
          <w:i/>
          <w:sz w:val="22"/>
        </w:rPr>
        <w:t xml:space="preserve">Wieloletnią Prognoza </w:t>
      </w:r>
      <w:r>
        <w:rPr>
          <w:rFonts w:asciiTheme="minorHAnsi" w:hAnsiTheme="minorHAnsi"/>
          <w:i/>
          <w:sz w:val="22"/>
        </w:rPr>
        <w:t xml:space="preserve">Finansową </w:t>
      </w:r>
      <w:r>
        <w:rPr>
          <w:rFonts w:asciiTheme="minorHAnsi" w:hAnsiTheme="minorHAnsi"/>
          <w:sz w:val="22"/>
        </w:rPr>
        <w:t>i bieżącymi możliwościami budżetowymi, przy znacznym udziale środków zewnętrznych, powinna ukształtować</w:t>
      </w:r>
      <w:r w:rsidR="00471779">
        <w:rPr>
          <w:rFonts w:asciiTheme="minorHAnsi" w:hAnsiTheme="minorHAnsi"/>
          <w:sz w:val="22"/>
        </w:rPr>
        <w:t xml:space="preserve"> na tyle silną</w:t>
      </w:r>
      <w:r>
        <w:rPr>
          <w:rFonts w:asciiTheme="minorHAnsi" w:hAnsiTheme="minorHAnsi"/>
          <w:sz w:val="22"/>
        </w:rPr>
        <w:t xml:space="preserve"> bazę infrastrukturalną, gospodarczą i społeczną, aby kolejni inwestorzy i mieszkańcy</w:t>
      </w:r>
      <w:r w:rsidR="00471779">
        <w:rPr>
          <w:rFonts w:asciiTheme="minorHAnsi" w:hAnsiTheme="minorHAnsi"/>
          <w:sz w:val="22"/>
        </w:rPr>
        <w:t>,</w:t>
      </w:r>
      <w:r>
        <w:rPr>
          <w:rFonts w:asciiTheme="minorHAnsi" w:hAnsiTheme="minorHAnsi"/>
          <w:sz w:val="22"/>
        </w:rPr>
        <w:t xml:space="preserve"> chętnie wiązali z nią swoją przyszłość. Zapewnienie wzrostu gospodarczego na terenie miasta, a tym samym wzrost</w:t>
      </w:r>
      <w:r w:rsidR="00EE6888">
        <w:rPr>
          <w:rFonts w:asciiTheme="minorHAnsi" w:hAnsiTheme="minorHAnsi"/>
          <w:sz w:val="22"/>
        </w:rPr>
        <w:t>u</w:t>
      </w:r>
      <w:r>
        <w:rPr>
          <w:rFonts w:asciiTheme="minorHAnsi" w:hAnsiTheme="minorHAnsi"/>
          <w:sz w:val="22"/>
        </w:rPr>
        <w:t xml:space="preserve"> wpływów </w:t>
      </w:r>
      <w:r w:rsidR="00471779">
        <w:rPr>
          <w:rFonts w:asciiTheme="minorHAnsi" w:hAnsiTheme="minorHAnsi"/>
          <w:sz w:val="22"/>
        </w:rPr>
        <w:t>budżetowych</w:t>
      </w:r>
      <w:r>
        <w:rPr>
          <w:rFonts w:asciiTheme="minorHAnsi" w:hAnsiTheme="minorHAnsi"/>
          <w:sz w:val="22"/>
        </w:rPr>
        <w:t>, stanowi</w:t>
      </w:r>
      <w:r w:rsidR="00EE6888">
        <w:rPr>
          <w:rFonts w:asciiTheme="minorHAnsi" w:hAnsiTheme="minorHAnsi"/>
          <w:sz w:val="22"/>
        </w:rPr>
        <w:t xml:space="preserve"> bowiem</w:t>
      </w:r>
      <w:r>
        <w:rPr>
          <w:rFonts w:asciiTheme="minorHAnsi" w:hAnsiTheme="minorHAnsi"/>
          <w:sz w:val="22"/>
        </w:rPr>
        <w:t xml:space="preserve"> warunek konieczny do </w:t>
      </w:r>
      <w:r w:rsidR="00471779">
        <w:rPr>
          <w:rFonts w:asciiTheme="minorHAnsi" w:hAnsiTheme="minorHAnsi"/>
          <w:sz w:val="22"/>
        </w:rPr>
        <w:t>utrzymania dynamiki</w:t>
      </w:r>
      <w:r>
        <w:rPr>
          <w:rFonts w:asciiTheme="minorHAnsi" w:hAnsiTheme="minorHAnsi"/>
          <w:sz w:val="22"/>
        </w:rPr>
        <w:t xml:space="preserve"> zrównoważonego rozwoju</w:t>
      </w:r>
      <w:r w:rsidR="00EE6888">
        <w:rPr>
          <w:rFonts w:asciiTheme="minorHAnsi" w:hAnsiTheme="minorHAnsi"/>
          <w:sz w:val="22"/>
        </w:rPr>
        <w:t>,</w:t>
      </w:r>
      <w:r w:rsidR="00471779">
        <w:rPr>
          <w:rFonts w:asciiTheme="minorHAnsi" w:hAnsiTheme="minorHAnsi"/>
          <w:sz w:val="22"/>
        </w:rPr>
        <w:t xml:space="preserve"> </w:t>
      </w:r>
      <w:r w:rsidR="00EE6888">
        <w:rPr>
          <w:rFonts w:asciiTheme="minorHAnsi" w:hAnsiTheme="minorHAnsi"/>
          <w:sz w:val="22"/>
        </w:rPr>
        <w:t>także</w:t>
      </w:r>
      <w:r>
        <w:rPr>
          <w:rFonts w:asciiTheme="minorHAnsi" w:hAnsiTheme="minorHAnsi"/>
          <w:sz w:val="22"/>
        </w:rPr>
        <w:t xml:space="preserve"> po zakończeniu realizacji </w:t>
      </w:r>
      <w:r w:rsidRPr="00EE6888">
        <w:rPr>
          <w:rFonts w:asciiTheme="minorHAnsi" w:hAnsiTheme="minorHAnsi"/>
          <w:i/>
          <w:sz w:val="22"/>
        </w:rPr>
        <w:t>Strategii</w:t>
      </w:r>
      <w:r>
        <w:rPr>
          <w:rFonts w:asciiTheme="minorHAnsi" w:hAnsiTheme="minorHAnsi"/>
          <w:sz w:val="22"/>
        </w:rPr>
        <w:t xml:space="preserve"> w 2020 r. </w:t>
      </w:r>
    </w:p>
    <w:p w:rsidR="0024208D" w:rsidRDefault="0024208D" w:rsidP="00A961FB">
      <w:pPr>
        <w:spacing w:after="160"/>
        <w:rPr>
          <w:rFonts w:asciiTheme="minorHAnsi" w:hAnsiTheme="minorHAnsi"/>
          <w:sz w:val="22"/>
        </w:rPr>
      </w:pPr>
    </w:p>
    <w:p w:rsidR="00B30EBE" w:rsidRDefault="00B30EBE" w:rsidP="00A961FB">
      <w:pPr>
        <w:spacing w:after="160"/>
        <w:rPr>
          <w:rFonts w:asciiTheme="minorHAnsi" w:hAnsiTheme="minorHAnsi"/>
          <w:sz w:val="22"/>
        </w:rPr>
      </w:pPr>
      <w:r>
        <w:rPr>
          <w:rFonts w:asciiTheme="minorHAnsi" w:hAnsiTheme="minorHAnsi"/>
          <w:sz w:val="22"/>
        </w:rPr>
        <w:br w:type="page"/>
      </w:r>
    </w:p>
    <w:p w:rsidR="00013504" w:rsidRDefault="00013504" w:rsidP="00B30EBE">
      <w:pPr>
        <w:keepNext/>
        <w:keepLines/>
        <w:spacing w:before="240"/>
        <w:jc w:val="left"/>
        <w:outlineLvl w:val="0"/>
        <w:rPr>
          <w:rFonts w:asciiTheme="majorHAnsi" w:eastAsiaTheme="majorEastAsia" w:hAnsiTheme="majorHAnsi" w:cstheme="majorBidi"/>
          <w:color w:val="2E74B5" w:themeColor="accent1" w:themeShade="BF"/>
          <w:sz w:val="32"/>
          <w:szCs w:val="32"/>
        </w:rPr>
      </w:pPr>
      <w:bookmarkStart w:id="90" w:name="_Toc399756363"/>
    </w:p>
    <w:p w:rsidR="00B30EBE" w:rsidRDefault="00B30EBE" w:rsidP="00B30EBE">
      <w:pPr>
        <w:keepNext/>
        <w:keepLines/>
        <w:spacing w:before="240"/>
        <w:jc w:val="left"/>
        <w:outlineLvl w:val="0"/>
        <w:rPr>
          <w:rFonts w:asciiTheme="majorHAnsi" w:eastAsiaTheme="majorEastAsia" w:hAnsiTheme="majorHAnsi" w:cstheme="majorBidi"/>
          <w:i/>
          <w:color w:val="2E74B5" w:themeColor="accent1" w:themeShade="BF"/>
          <w:sz w:val="32"/>
          <w:szCs w:val="32"/>
        </w:rPr>
      </w:pPr>
      <w:r w:rsidRPr="00B30EBE">
        <w:rPr>
          <w:rFonts w:asciiTheme="majorHAnsi" w:eastAsiaTheme="majorEastAsia" w:hAnsiTheme="majorHAnsi" w:cstheme="majorBidi"/>
          <w:color w:val="2E74B5" w:themeColor="accent1" w:themeShade="BF"/>
          <w:sz w:val="32"/>
          <w:szCs w:val="32"/>
        </w:rPr>
        <w:t>Monitoring i ewaluacja</w:t>
      </w:r>
      <w:r w:rsidR="00A961FB">
        <w:rPr>
          <w:rFonts w:asciiTheme="majorHAnsi" w:eastAsiaTheme="majorEastAsia" w:hAnsiTheme="majorHAnsi" w:cstheme="majorBidi"/>
          <w:color w:val="2E74B5" w:themeColor="accent1" w:themeShade="BF"/>
          <w:sz w:val="32"/>
          <w:szCs w:val="32"/>
        </w:rPr>
        <w:t xml:space="preserve"> </w:t>
      </w:r>
      <w:r w:rsidR="00A961FB" w:rsidRPr="00A961FB">
        <w:rPr>
          <w:rFonts w:asciiTheme="majorHAnsi" w:eastAsiaTheme="majorEastAsia" w:hAnsiTheme="majorHAnsi" w:cstheme="majorBidi"/>
          <w:i/>
          <w:color w:val="2E74B5" w:themeColor="accent1" w:themeShade="BF"/>
          <w:sz w:val="32"/>
          <w:szCs w:val="32"/>
        </w:rPr>
        <w:t>Strategii</w:t>
      </w:r>
      <w:bookmarkEnd w:id="90"/>
    </w:p>
    <w:p w:rsidR="00A961FB" w:rsidRDefault="00A961FB" w:rsidP="00A961FB">
      <w:pPr>
        <w:pStyle w:val="Nagwek2"/>
      </w:pPr>
      <w:bookmarkStart w:id="91" w:name="_Toc399756364"/>
      <w:r>
        <w:t>Monitoring</w:t>
      </w:r>
      <w:bookmarkEnd w:id="91"/>
    </w:p>
    <w:p w:rsidR="009B1741" w:rsidRDefault="009B1741" w:rsidP="009B1741"/>
    <w:p w:rsidR="00013504" w:rsidRPr="009B1741" w:rsidRDefault="00013504" w:rsidP="009B1741"/>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Monitoring </w:t>
      </w:r>
      <w:r w:rsidRPr="00B30EBE">
        <w:rPr>
          <w:rFonts w:asciiTheme="minorHAnsi" w:hAnsiTheme="minorHAnsi"/>
          <w:i/>
          <w:sz w:val="22"/>
        </w:rPr>
        <w:t>Strategii</w:t>
      </w:r>
      <w:r w:rsidRPr="00B30EBE">
        <w:rPr>
          <w:rFonts w:asciiTheme="minorHAnsi" w:hAnsiTheme="minorHAnsi"/>
          <w:sz w:val="22"/>
        </w:rPr>
        <w:t xml:space="preserve"> powinien opierać się na bieżącej, wieloaspektowej analizie stopnia rozwoju miasta, jego sytuacji społeczno-gospodarczej oraz zbieżności kierunków rozwoju z założoną wizją i celami strategicznymi. Podstawowymi elementami składowymi przyjętego systemu monitoringu są:</w:t>
      </w:r>
    </w:p>
    <w:p w:rsidR="00B30EBE" w:rsidRPr="00B30EBE" w:rsidRDefault="00B30EBE" w:rsidP="0062416A">
      <w:pPr>
        <w:numPr>
          <w:ilvl w:val="0"/>
          <w:numId w:val="125"/>
        </w:numPr>
        <w:spacing w:after="160"/>
        <w:contextualSpacing/>
        <w:jc w:val="left"/>
        <w:rPr>
          <w:rFonts w:asciiTheme="minorHAnsi" w:hAnsiTheme="minorHAnsi"/>
          <w:sz w:val="22"/>
        </w:rPr>
      </w:pPr>
      <w:r w:rsidRPr="00B30EBE">
        <w:rPr>
          <w:rFonts w:asciiTheme="minorHAnsi" w:hAnsiTheme="minorHAnsi"/>
          <w:sz w:val="22"/>
        </w:rPr>
        <w:t>analiza wskaźników kontekstowych w odniesieniu do innych miast regionalnych;</w:t>
      </w:r>
    </w:p>
    <w:p w:rsidR="00B30EBE" w:rsidRPr="00B30EBE" w:rsidRDefault="00B30EBE" w:rsidP="0062416A">
      <w:pPr>
        <w:numPr>
          <w:ilvl w:val="0"/>
          <w:numId w:val="125"/>
        </w:numPr>
        <w:spacing w:after="160"/>
        <w:contextualSpacing/>
        <w:jc w:val="left"/>
        <w:rPr>
          <w:rFonts w:asciiTheme="minorHAnsi" w:hAnsiTheme="minorHAnsi"/>
          <w:sz w:val="22"/>
        </w:rPr>
      </w:pPr>
      <w:r w:rsidRPr="00B30EBE">
        <w:rPr>
          <w:rFonts w:asciiTheme="minorHAnsi" w:hAnsiTheme="minorHAnsi"/>
          <w:sz w:val="22"/>
        </w:rPr>
        <w:t>analiza wskaźników rezultatu dla poszczególnych celów operacyjnych;</w:t>
      </w:r>
    </w:p>
    <w:p w:rsidR="00B30EBE" w:rsidRPr="00B30EBE" w:rsidRDefault="00B30EBE" w:rsidP="0062416A">
      <w:pPr>
        <w:numPr>
          <w:ilvl w:val="0"/>
          <w:numId w:val="125"/>
        </w:numPr>
        <w:spacing w:after="160"/>
        <w:contextualSpacing/>
        <w:jc w:val="left"/>
        <w:rPr>
          <w:rFonts w:asciiTheme="minorHAnsi" w:hAnsiTheme="minorHAnsi"/>
          <w:sz w:val="22"/>
        </w:rPr>
      </w:pPr>
      <w:r w:rsidRPr="00B30EBE">
        <w:rPr>
          <w:rFonts w:asciiTheme="minorHAnsi" w:hAnsiTheme="minorHAnsi"/>
          <w:sz w:val="22"/>
        </w:rPr>
        <w:t xml:space="preserve">analiza jakościowa zmian w strukturze przestrzennej, gospodarczej i przestrzennej miasta oraz ocena działań podejmowanych przez podmioty zewnętrzne wpisujących się w założenia </w:t>
      </w:r>
      <w:r w:rsidRPr="00B30EBE">
        <w:rPr>
          <w:rFonts w:asciiTheme="minorHAnsi" w:hAnsiTheme="minorHAnsi"/>
          <w:i/>
          <w:sz w:val="22"/>
        </w:rPr>
        <w:t>Strategii rozwoju Miasta</w:t>
      </w:r>
      <w:r w:rsidRPr="00B30EBE">
        <w:rPr>
          <w:rFonts w:asciiTheme="minorHAnsi" w:hAnsiTheme="minorHAnsi"/>
          <w:sz w:val="22"/>
        </w:rPr>
        <w:t>;</w:t>
      </w:r>
    </w:p>
    <w:p w:rsidR="00B30EBE" w:rsidRPr="00B30EBE" w:rsidRDefault="00B30EBE" w:rsidP="00A961FB">
      <w:pPr>
        <w:spacing w:after="160"/>
        <w:rPr>
          <w:rFonts w:asciiTheme="minorHAnsi" w:hAnsiTheme="minorHAnsi"/>
          <w:sz w:val="22"/>
        </w:rPr>
      </w:pPr>
      <w:r w:rsidRPr="00B30EBE">
        <w:rPr>
          <w:rFonts w:asciiTheme="minorHAnsi" w:hAnsiTheme="minorHAnsi"/>
          <w:sz w:val="22"/>
        </w:rPr>
        <w:t>Mierząc stopień rozwoju miasta na przestrzeni czasu należy oprzeć się na tzw. wskaźnikach kontekstowych ogólnego rozwoju miasta. Wskaźniki kontekstowe pozwolą nam ocenić względną zmianę stopnia rozwoju w podstawowych dziedzinach funkcjonowania miasta na podstawie prowadzonych statystyk i ewidencji. Do wskaźników kontekstowych przyjętych na potrzeby niniejszego opracowania możemy zaliczyć:</w:t>
      </w:r>
    </w:p>
    <w:p w:rsidR="00B30EBE" w:rsidRPr="00B30EBE" w:rsidRDefault="00B30EBE" w:rsidP="0062416A">
      <w:pPr>
        <w:numPr>
          <w:ilvl w:val="0"/>
          <w:numId w:val="116"/>
        </w:numPr>
        <w:spacing w:after="160"/>
        <w:contextualSpacing/>
        <w:jc w:val="left"/>
        <w:rPr>
          <w:rFonts w:asciiTheme="minorHAnsi" w:hAnsiTheme="minorHAnsi"/>
          <w:sz w:val="22"/>
        </w:rPr>
      </w:pPr>
      <w:r w:rsidRPr="00B30EBE">
        <w:rPr>
          <w:rFonts w:asciiTheme="minorHAnsi" w:hAnsiTheme="minorHAnsi"/>
          <w:sz w:val="22"/>
        </w:rPr>
        <w:t>stopę bezrobocia;</w:t>
      </w:r>
    </w:p>
    <w:p w:rsidR="00B30EBE" w:rsidRPr="00B30EBE" w:rsidRDefault="00B30EBE" w:rsidP="0062416A">
      <w:pPr>
        <w:numPr>
          <w:ilvl w:val="0"/>
          <w:numId w:val="116"/>
        </w:numPr>
        <w:spacing w:after="160"/>
        <w:contextualSpacing/>
        <w:jc w:val="left"/>
        <w:rPr>
          <w:rFonts w:asciiTheme="minorHAnsi" w:hAnsiTheme="minorHAnsi"/>
          <w:sz w:val="22"/>
        </w:rPr>
      </w:pPr>
      <w:r w:rsidRPr="00B30EBE">
        <w:rPr>
          <w:rFonts w:asciiTheme="minorHAnsi" w:hAnsiTheme="minorHAnsi"/>
          <w:sz w:val="22"/>
        </w:rPr>
        <w:t>saldo migracji;</w:t>
      </w:r>
    </w:p>
    <w:p w:rsidR="00B30EBE" w:rsidRPr="00B30EBE" w:rsidRDefault="00B30EBE" w:rsidP="0062416A">
      <w:pPr>
        <w:numPr>
          <w:ilvl w:val="0"/>
          <w:numId w:val="116"/>
        </w:numPr>
        <w:spacing w:after="160"/>
        <w:contextualSpacing/>
        <w:jc w:val="left"/>
        <w:rPr>
          <w:rFonts w:asciiTheme="minorHAnsi" w:hAnsiTheme="minorHAnsi"/>
          <w:sz w:val="22"/>
        </w:rPr>
      </w:pPr>
      <w:r w:rsidRPr="00B30EBE">
        <w:rPr>
          <w:rFonts w:asciiTheme="minorHAnsi" w:hAnsiTheme="minorHAnsi"/>
          <w:sz w:val="22"/>
        </w:rPr>
        <w:t>liczbę przedsiębiorstw wpisanych do rejestru REGON na każde 10 tys. mieszkańców;</w:t>
      </w:r>
    </w:p>
    <w:p w:rsidR="00B30EBE" w:rsidRPr="00B30EBE" w:rsidRDefault="00B30EBE" w:rsidP="0062416A">
      <w:pPr>
        <w:numPr>
          <w:ilvl w:val="0"/>
          <w:numId w:val="116"/>
        </w:numPr>
        <w:spacing w:after="160"/>
        <w:contextualSpacing/>
        <w:jc w:val="left"/>
        <w:rPr>
          <w:rFonts w:asciiTheme="minorHAnsi" w:hAnsiTheme="minorHAnsi"/>
          <w:sz w:val="22"/>
        </w:rPr>
      </w:pPr>
      <w:r w:rsidRPr="00B30EBE">
        <w:rPr>
          <w:rFonts w:asciiTheme="minorHAnsi" w:hAnsiTheme="minorHAnsi"/>
          <w:sz w:val="22"/>
        </w:rPr>
        <w:t>wskaźnik obciążenia demograficznego (stosunek liczby osób w wieku nieprodukcyjnym do liczby osób w wieku produkcyjnym);</w:t>
      </w:r>
      <w:r w:rsidR="009B1741">
        <w:rPr>
          <w:rFonts w:asciiTheme="minorHAnsi" w:hAnsiTheme="minorHAnsi"/>
          <w:sz w:val="22"/>
        </w:rPr>
        <w:br/>
      </w:r>
    </w:p>
    <w:p w:rsidR="00B30EBE" w:rsidRPr="00B30EBE" w:rsidRDefault="00B30EBE" w:rsidP="00A961FB">
      <w:pPr>
        <w:spacing w:after="160"/>
        <w:rPr>
          <w:rFonts w:asciiTheme="minorHAnsi" w:hAnsiTheme="minorHAnsi"/>
          <w:sz w:val="22"/>
        </w:rPr>
      </w:pPr>
      <w:r w:rsidRPr="00B30EBE">
        <w:rPr>
          <w:rFonts w:asciiTheme="minorHAnsi" w:hAnsiTheme="minorHAnsi"/>
          <w:sz w:val="22"/>
        </w:rPr>
        <w:t>Dla zwiększenia wiarygodności oceny rozwoju miasta, warto odnieść osiągane wskaźniki kontekstowe do poziomów osiąganych przez inne miasta o podobnej roli i charakterystyce, szczególnie do miejskich ośrodków regionalnych województwa dolnośląskiego. Analiza ta ma przybliżyć ocenę skuteczności działań prorozwojowych</w:t>
      </w:r>
      <w:r w:rsidR="00A961FB">
        <w:rPr>
          <w:rFonts w:asciiTheme="minorHAnsi" w:hAnsiTheme="minorHAnsi"/>
          <w:sz w:val="22"/>
        </w:rPr>
        <w:t xml:space="preserve"> </w:t>
      </w:r>
      <w:r w:rsidR="00A961FB" w:rsidRPr="00B30EBE">
        <w:rPr>
          <w:rFonts w:asciiTheme="minorHAnsi" w:hAnsiTheme="minorHAnsi"/>
          <w:sz w:val="22"/>
        </w:rPr>
        <w:t>prowadzonych</w:t>
      </w:r>
      <w:r w:rsidRPr="00B30EBE">
        <w:rPr>
          <w:rFonts w:asciiTheme="minorHAnsi" w:hAnsiTheme="minorHAnsi"/>
          <w:sz w:val="22"/>
        </w:rPr>
        <w:t xml:space="preserve"> przez wszystkich „aktorów” procesu strategicznego, szczególne w średnim bądź długim okresie. Przewiduje się, iż lista wskaźników kontekstowych służących analizie porównawczej może być poszerzona, o ile wpłynie to na podniesienie jakości merytorycznej analizy. </w:t>
      </w:r>
    </w:p>
    <w:p w:rsidR="00B30EBE" w:rsidRPr="00B30EBE" w:rsidRDefault="00B30EBE" w:rsidP="00A961FB">
      <w:pPr>
        <w:spacing w:after="160"/>
        <w:rPr>
          <w:rFonts w:asciiTheme="minorHAnsi" w:hAnsiTheme="minorHAnsi"/>
          <w:sz w:val="22"/>
        </w:rPr>
      </w:pPr>
      <w:r w:rsidRPr="00B30EBE">
        <w:rPr>
          <w:rFonts w:asciiTheme="minorHAnsi" w:hAnsiTheme="minorHAnsi"/>
          <w:sz w:val="22"/>
        </w:rPr>
        <w:t>Narzędziem służącym ocenie bieżących postępów w realizacji poszczególnych celów strate</w:t>
      </w:r>
      <w:r w:rsidR="009B1741">
        <w:rPr>
          <w:rFonts w:asciiTheme="minorHAnsi" w:hAnsiTheme="minorHAnsi"/>
          <w:sz w:val="22"/>
        </w:rPr>
        <w:t>gicznych i </w:t>
      </w:r>
      <w:r w:rsidRPr="00B30EBE">
        <w:rPr>
          <w:rFonts w:asciiTheme="minorHAnsi" w:hAnsiTheme="minorHAnsi"/>
          <w:sz w:val="22"/>
        </w:rPr>
        <w:t xml:space="preserve">celów operacyjnych są wskaźniki rezultatu, które zostały przypisane każdemu z celów operacyjnych. Obliczanie ich wartości będzie polegało na agregacji danych o efektach z realizacji zadań określonych w Strategii, pochodzących z jednostek i wydziałów je wdrażających oraz innych źródeł danych statystycznych.  Analiza wskaźników rezultatu ma służyć obserwacji zmian i trendów rozwojowych zachodzących w mieście i jego otoczeniu na skutek wdrażanych działań strategicznych. </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Rozbudowana struktura tematyczna </w:t>
      </w:r>
      <w:r w:rsidRPr="00B30EBE">
        <w:rPr>
          <w:rFonts w:asciiTheme="minorHAnsi" w:hAnsiTheme="minorHAnsi"/>
          <w:i/>
          <w:sz w:val="22"/>
        </w:rPr>
        <w:t>Strategii</w:t>
      </w:r>
      <w:r w:rsidRPr="00B30EBE">
        <w:rPr>
          <w:rFonts w:asciiTheme="minorHAnsi" w:hAnsiTheme="minorHAnsi"/>
          <w:sz w:val="22"/>
        </w:rPr>
        <w:t xml:space="preserve"> oraz jej charakter wykraczający w znacznej mierze poza działalność administracji publicznej wskazuje na opis zmian czynników jakościowych jako podstawę do sporządzania raportów monitoringowych. Opisy realizowanych zadań w danym okresie powinny zostać przyporządkowane konkretnym celom operacyjnym i strategicznym, w który zadania te się </w:t>
      </w:r>
      <w:r w:rsidRPr="00B30EBE">
        <w:rPr>
          <w:rFonts w:asciiTheme="minorHAnsi" w:hAnsiTheme="minorHAnsi"/>
          <w:sz w:val="22"/>
        </w:rPr>
        <w:lastRenderedPageBreak/>
        <w:t>wpisują. Wydział Rozwoju Miasta oprócz danych dotyczących zadań określonych w Strategii i innych programach operacyjnych uzyskiwanych z wydziałów merytorycznych i jednostek organizacyjnych, powinien monitorować także działalność innych podmiotów ze</w:t>
      </w:r>
      <w:r w:rsidR="00A961FB">
        <w:rPr>
          <w:rFonts w:asciiTheme="minorHAnsi" w:hAnsiTheme="minorHAnsi"/>
          <w:sz w:val="22"/>
        </w:rPr>
        <w:t>wnętrznych, które wpisują się w </w:t>
      </w:r>
      <w:r w:rsidRPr="00B30EBE">
        <w:rPr>
          <w:rFonts w:asciiTheme="minorHAnsi" w:hAnsiTheme="minorHAnsi"/>
          <w:sz w:val="22"/>
        </w:rPr>
        <w:t xml:space="preserve">założenia rozwoju miasta określone w Strategii. Opisy inicjatyw i działań podmiotów zewnętrznych również powinny zostać zapisane w raporcie zgodnie z przyporządkowanymi im celami. </w:t>
      </w:r>
    </w:p>
    <w:p w:rsidR="00B30EBE" w:rsidRPr="00B30EBE" w:rsidRDefault="00B30EBE" w:rsidP="00A961FB">
      <w:pPr>
        <w:spacing w:after="160"/>
        <w:rPr>
          <w:rFonts w:asciiTheme="minorHAnsi" w:hAnsiTheme="minorHAnsi"/>
          <w:sz w:val="22"/>
        </w:rPr>
      </w:pPr>
      <w:r w:rsidRPr="00B30EBE">
        <w:rPr>
          <w:rFonts w:asciiTheme="minorHAnsi" w:hAnsiTheme="minorHAnsi"/>
          <w:sz w:val="22"/>
        </w:rPr>
        <w:t xml:space="preserve">Jednostką organizacyjną odpowiedzialną za proces agregacji danych i sporządzania raportów z monitoringu jest koordynator procesu zarządzania Strategią, czyli Wydział Rozwoju Miasta. Poszczególne wydziały merytoryczne i jednostki organizacyjne przekazują Wydziałowi Rozwoju Miasta informacje zwrotne o rezultatach prowadzonych i nadzorowanych przez nie działań strategicznych. Na podstawie zagregowanych danych z poszczególnych wydziałów i uzupełnieniu ich o dane statystyczne sporządzany jest Raport z monitoringu </w:t>
      </w:r>
      <w:r w:rsidRPr="00B30EBE">
        <w:rPr>
          <w:rFonts w:asciiTheme="minorHAnsi" w:hAnsiTheme="minorHAnsi"/>
          <w:i/>
          <w:sz w:val="22"/>
        </w:rPr>
        <w:t>Strategii rozwoju Miasta Legnicy na lata 2015-2020 PLUS.</w:t>
      </w:r>
      <w:r w:rsidRPr="00B30EBE">
        <w:rPr>
          <w:rFonts w:asciiTheme="minorHAnsi" w:hAnsiTheme="minorHAnsi"/>
          <w:sz w:val="22"/>
        </w:rPr>
        <w:t xml:space="preserve"> Raport ten zawiera opis działań zrealizowanych w ramach poszczególnych celów, analizę jakościową tych działań, zestawienie wskaźników rezultatu przypisanych po</w:t>
      </w:r>
      <w:r w:rsidR="009B1741">
        <w:rPr>
          <w:rFonts w:asciiTheme="minorHAnsi" w:hAnsiTheme="minorHAnsi"/>
          <w:sz w:val="22"/>
        </w:rPr>
        <w:t>szczególnym celom operacyjnym i </w:t>
      </w:r>
      <w:r w:rsidRPr="00B30EBE">
        <w:rPr>
          <w:rFonts w:asciiTheme="minorHAnsi" w:hAnsiTheme="minorHAnsi"/>
          <w:sz w:val="22"/>
        </w:rPr>
        <w:t>strategicznym, a także analizę zmian wskaźników kontekstowych. Raport sporządzany będzie minimum raz w roku. Organem recenzującym jego treść jest Ze</w:t>
      </w:r>
      <w:r w:rsidR="009B1741">
        <w:rPr>
          <w:rFonts w:asciiTheme="minorHAnsi" w:hAnsiTheme="minorHAnsi"/>
          <w:sz w:val="22"/>
        </w:rPr>
        <w:t>spół Zarządzający Strategią. Po </w:t>
      </w:r>
      <w:r w:rsidRPr="00B30EBE">
        <w:rPr>
          <w:rFonts w:asciiTheme="minorHAnsi" w:hAnsiTheme="minorHAnsi"/>
          <w:sz w:val="22"/>
        </w:rPr>
        <w:t>przedstawieniu raportu na kolegium i akceptacji przez Zespół Zarządzający przewiduje się, iż raport będzie publikowany na stronie internetowej Urzędu Miasta Legnicy, umożliwiając w ten sposób opinii publicznej zapoznanie się z jego treścią.</w:t>
      </w:r>
    </w:p>
    <w:p w:rsidR="00B30EBE" w:rsidRPr="00B30EBE" w:rsidRDefault="00B30EBE" w:rsidP="00A961FB">
      <w:pPr>
        <w:autoSpaceDE w:val="0"/>
        <w:autoSpaceDN w:val="0"/>
        <w:adjustRightInd w:val="0"/>
        <w:rPr>
          <w:rFonts w:asciiTheme="minorHAnsi" w:hAnsiTheme="minorHAnsi"/>
          <w:sz w:val="22"/>
        </w:rPr>
      </w:pPr>
      <w:r w:rsidRPr="00B30EBE">
        <w:rPr>
          <w:rFonts w:asciiTheme="minorHAnsi" w:hAnsiTheme="minorHAnsi"/>
          <w:sz w:val="22"/>
        </w:rPr>
        <w:t xml:space="preserve">Przewiduje się, iż system monitorowania </w:t>
      </w:r>
      <w:r w:rsidRPr="00B30EBE">
        <w:rPr>
          <w:rFonts w:asciiTheme="minorHAnsi" w:hAnsiTheme="minorHAnsi"/>
          <w:i/>
          <w:sz w:val="22"/>
        </w:rPr>
        <w:t>Strategii</w:t>
      </w:r>
      <w:r w:rsidRPr="00B30EBE">
        <w:rPr>
          <w:rFonts w:asciiTheme="minorHAnsi" w:hAnsiTheme="minorHAnsi"/>
          <w:sz w:val="22"/>
        </w:rPr>
        <w:t xml:space="preserve"> uszczegó</w:t>
      </w:r>
      <w:r w:rsidRPr="00B30EBE">
        <w:rPr>
          <w:rFonts w:asciiTheme="minorHAnsi" w:hAnsiTheme="minorHAnsi" w:hint="eastAsia"/>
          <w:sz w:val="22"/>
        </w:rPr>
        <w:t>ł</w:t>
      </w:r>
      <w:r w:rsidRPr="00B30EBE">
        <w:rPr>
          <w:rFonts w:asciiTheme="minorHAnsi" w:hAnsiTheme="minorHAnsi"/>
          <w:sz w:val="22"/>
        </w:rPr>
        <w:t>awia</w:t>
      </w:r>
      <w:r w:rsidRPr="00B30EBE">
        <w:rPr>
          <w:rFonts w:asciiTheme="minorHAnsi" w:hAnsiTheme="minorHAnsi" w:hint="eastAsia"/>
          <w:sz w:val="22"/>
        </w:rPr>
        <w:t>ć</w:t>
      </w:r>
      <w:r w:rsidRPr="00B30EBE">
        <w:rPr>
          <w:rFonts w:asciiTheme="minorHAnsi" w:hAnsiTheme="minorHAnsi"/>
          <w:sz w:val="22"/>
        </w:rPr>
        <w:t xml:space="preserve"> i uzupe</w:t>
      </w:r>
      <w:r w:rsidRPr="00B30EBE">
        <w:rPr>
          <w:rFonts w:asciiTheme="minorHAnsi" w:hAnsiTheme="minorHAnsi" w:hint="eastAsia"/>
          <w:sz w:val="22"/>
        </w:rPr>
        <w:t>ł</w:t>
      </w:r>
      <w:r w:rsidRPr="00B30EBE">
        <w:rPr>
          <w:rFonts w:asciiTheme="minorHAnsi" w:hAnsiTheme="minorHAnsi"/>
          <w:sz w:val="22"/>
        </w:rPr>
        <w:t>nia</w:t>
      </w:r>
      <w:r w:rsidRPr="00B30EBE">
        <w:rPr>
          <w:rFonts w:asciiTheme="minorHAnsi" w:hAnsiTheme="minorHAnsi" w:hint="eastAsia"/>
          <w:sz w:val="22"/>
        </w:rPr>
        <w:t>ć</w:t>
      </w:r>
      <w:r w:rsidRPr="00B30EBE">
        <w:rPr>
          <w:rFonts w:asciiTheme="minorHAnsi" w:hAnsiTheme="minorHAnsi"/>
          <w:sz w:val="22"/>
        </w:rPr>
        <w:t xml:space="preserve"> mogą systemy monitorowania innych dokumentów o charakterze operacyjnym, bądź sektorowym.</w:t>
      </w:r>
    </w:p>
    <w:p w:rsidR="00B30EBE" w:rsidRPr="00B30EBE" w:rsidRDefault="00B30EBE" w:rsidP="00B30EBE">
      <w:pPr>
        <w:keepNext/>
        <w:keepLines/>
        <w:spacing w:before="40" w:line="259" w:lineRule="auto"/>
        <w:jc w:val="left"/>
        <w:outlineLvl w:val="1"/>
        <w:rPr>
          <w:rFonts w:asciiTheme="majorHAnsi" w:eastAsiaTheme="majorEastAsia" w:hAnsiTheme="majorHAnsi" w:cstheme="majorBidi"/>
          <w:color w:val="2E74B5" w:themeColor="accent1" w:themeShade="BF"/>
          <w:sz w:val="26"/>
          <w:szCs w:val="26"/>
        </w:rPr>
      </w:pPr>
      <w:bookmarkStart w:id="92" w:name="_Toc399756365"/>
      <w:r w:rsidRPr="00B30EBE">
        <w:rPr>
          <w:rFonts w:asciiTheme="majorHAnsi" w:eastAsiaTheme="majorEastAsia" w:hAnsiTheme="majorHAnsi" w:cstheme="majorBidi"/>
          <w:color w:val="2E74B5" w:themeColor="accent1" w:themeShade="BF"/>
          <w:sz w:val="26"/>
          <w:szCs w:val="26"/>
        </w:rPr>
        <w:t>Ewaluacja</w:t>
      </w:r>
      <w:bookmarkEnd w:id="92"/>
    </w:p>
    <w:p w:rsidR="00B30EBE" w:rsidRPr="00B30EBE" w:rsidRDefault="00B30EBE" w:rsidP="00B30EBE">
      <w:pPr>
        <w:autoSpaceDE w:val="0"/>
        <w:autoSpaceDN w:val="0"/>
        <w:adjustRightInd w:val="0"/>
        <w:spacing w:line="240" w:lineRule="auto"/>
        <w:jc w:val="left"/>
        <w:rPr>
          <w:rFonts w:asciiTheme="minorHAnsi" w:hAnsiTheme="minorHAnsi"/>
          <w:sz w:val="22"/>
        </w:rPr>
      </w:pP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Zakres ewaluacji wykracza poza ramy monitoringu. Nie koncentruje się bowiem wyłącznie na zmianach jakie zaszły na skutek wdrażania projektów strategicznych, ale także na efektywności systemu zarządzania i prawidłowości procedur przyjętego procesu decyzyjnego.</w:t>
      </w:r>
    </w:p>
    <w:p w:rsidR="00B30EBE" w:rsidRPr="00B30EBE" w:rsidRDefault="00B30EBE" w:rsidP="00B30EBE">
      <w:pPr>
        <w:autoSpaceDE w:val="0"/>
        <w:autoSpaceDN w:val="0"/>
        <w:adjustRightInd w:val="0"/>
        <w:rPr>
          <w:rFonts w:asciiTheme="minorHAnsi" w:hAnsiTheme="minorHAnsi"/>
          <w:sz w:val="22"/>
        </w:rPr>
      </w:pP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Podstawowym zadaniem ewaluacji jest ocena, czy wdrażanie Strateg</w:t>
      </w:r>
      <w:r w:rsidR="009B1741">
        <w:rPr>
          <w:rFonts w:asciiTheme="minorHAnsi" w:hAnsiTheme="minorHAnsi"/>
          <w:sz w:val="22"/>
        </w:rPr>
        <w:t>ii poprzez konkretne projekty i </w:t>
      </w:r>
      <w:r w:rsidRPr="00B30EBE">
        <w:rPr>
          <w:rFonts w:asciiTheme="minorHAnsi" w:hAnsiTheme="minorHAnsi"/>
          <w:sz w:val="22"/>
        </w:rPr>
        <w:t xml:space="preserve">programy operacyjne jest zgodne z przyjętymi w Strategii zapisami, a zmiany, które zaszły w Mieście na skutek tych projektów mają charakter pozytywny i trwały. </w:t>
      </w:r>
    </w:p>
    <w:p w:rsidR="00B30EBE" w:rsidRPr="00B30EBE" w:rsidRDefault="00B30EBE" w:rsidP="00B30EBE">
      <w:pPr>
        <w:autoSpaceDE w:val="0"/>
        <w:autoSpaceDN w:val="0"/>
        <w:adjustRightInd w:val="0"/>
        <w:rPr>
          <w:rFonts w:asciiTheme="minorHAnsi" w:hAnsiTheme="minorHAnsi"/>
          <w:sz w:val="22"/>
        </w:rPr>
      </w:pP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Bior</w:t>
      </w:r>
      <w:r w:rsidRPr="00B30EBE">
        <w:rPr>
          <w:rFonts w:asciiTheme="minorHAnsi" w:hAnsiTheme="minorHAnsi" w:hint="eastAsia"/>
          <w:sz w:val="22"/>
        </w:rPr>
        <w:t>ą</w:t>
      </w:r>
      <w:r w:rsidRPr="00B30EBE">
        <w:rPr>
          <w:rFonts w:asciiTheme="minorHAnsi" w:hAnsiTheme="minorHAnsi"/>
          <w:sz w:val="22"/>
        </w:rPr>
        <w:t>c pod uwag</w:t>
      </w:r>
      <w:r w:rsidRPr="00B30EBE">
        <w:rPr>
          <w:rFonts w:asciiTheme="minorHAnsi" w:hAnsiTheme="minorHAnsi" w:hint="eastAsia"/>
          <w:sz w:val="22"/>
        </w:rPr>
        <w:t>ę</w:t>
      </w:r>
      <w:r w:rsidRPr="00B30EBE">
        <w:rPr>
          <w:rFonts w:asciiTheme="minorHAnsi" w:hAnsiTheme="minorHAnsi"/>
          <w:sz w:val="22"/>
        </w:rPr>
        <w:t xml:space="preserve"> okres podejmowanych dzia</w:t>
      </w:r>
      <w:r w:rsidRPr="00B30EBE">
        <w:rPr>
          <w:rFonts w:asciiTheme="minorHAnsi" w:hAnsiTheme="minorHAnsi" w:hint="eastAsia"/>
          <w:sz w:val="22"/>
        </w:rPr>
        <w:t>ł</w:t>
      </w:r>
      <w:r w:rsidRPr="00B30EBE">
        <w:rPr>
          <w:rFonts w:asciiTheme="minorHAnsi" w:hAnsiTheme="minorHAnsi"/>
          <w:sz w:val="22"/>
        </w:rPr>
        <w:t>a</w:t>
      </w:r>
      <w:r w:rsidRPr="00B30EBE">
        <w:rPr>
          <w:rFonts w:asciiTheme="minorHAnsi" w:hAnsiTheme="minorHAnsi" w:hint="eastAsia"/>
          <w:sz w:val="22"/>
        </w:rPr>
        <w:t>ń</w:t>
      </w:r>
      <w:r w:rsidRPr="00B30EBE">
        <w:rPr>
          <w:rFonts w:asciiTheme="minorHAnsi" w:hAnsiTheme="minorHAnsi"/>
          <w:sz w:val="22"/>
        </w:rPr>
        <w:t>, które podlega</w:t>
      </w:r>
      <w:r w:rsidRPr="00B30EBE">
        <w:rPr>
          <w:rFonts w:asciiTheme="minorHAnsi" w:hAnsiTheme="minorHAnsi" w:hint="eastAsia"/>
          <w:sz w:val="22"/>
        </w:rPr>
        <w:t>ć</w:t>
      </w:r>
      <w:r w:rsidRPr="00B30EBE">
        <w:rPr>
          <w:rFonts w:asciiTheme="minorHAnsi" w:hAnsiTheme="minorHAnsi"/>
          <w:sz w:val="22"/>
        </w:rPr>
        <w:t xml:space="preserve"> b</w:t>
      </w:r>
      <w:r w:rsidRPr="00B30EBE">
        <w:rPr>
          <w:rFonts w:asciiTheme="minorHAnsi" w:hAnsiTheme="minorHAnsi" w:hint="eastAsia"/>
          <w:sz w:val="22"/>
        </w:rPr>
        <w:t>ę</w:t>
      </w:r>
      <w:r w:rsidRPr="00B30EBE">
        <w:rPr>
          <w:rFonts w:asciiTheme="minorHAnsi" w:hAnsiTheme="minorHAnsi"/>
          <w:sz w:val="22"/>
        </w:rPr>
        <w:t>d</w:t>
      </w:r>
      <w:r w:rsidRPr="00B30EBE">
        <w:rPr>
          <w:rFonts w:asciiTheme="minorHAnsi" w:hAnsiTheme="minorHAnsi" w:hint="eastAsia"/>
          <w:sz w:val="22"/>
        </w:rPr>
        <w:t>ą</w:t>
      </w:r>
      <w:r w:rsidRPr="00B30EBE">
        <w:rPr>
          <w:rFonts w:asciiTheme="minorHAnsi" w:hAnsiTheme="minorHAnsi"/>
          <w:sz w:val="22"/>
        </w:rPr>
        <w:t xml:space="preserve"> ocenie, proponowana procedura ewaluacyjna nale</w:t>
      </w:r>
      <w:r w:rsidRPr="00B30EBE">
        <w:rPr>
          <w:rFonts w:asciiTheme="minorHAnsi" w:hAnsiTheme="minorHAnsi" w:hint="eastAsia"/>
          <w:sz w:val="22"/>
        </w:rPr>
        <w:t>ż</w:t>
      </w:r>
      <w:r w:rsidRPr="00B30EBE">
        <w:rPr>
          <w:rFonts w:asciiTheme="minorHAnsi" w:hAnsiTheme="minorHAnsi"/>
          <w:sz w:val="22"/>
        </w:rPr>
        <w:t xml:space="preserve">y do typu </w:t>
      </w:r>
      <w:r w:rsidRPr="00B30EBE">
        <w:rPr>
          <w:rFonts w:asciiTheme="minorHAnsi" w:hAnsiTheme="minorHAnsi"/>
          <w:i/>
          <w:sz w:val="22"/>
        </w:rPr>
        <w:t>ex-post</w:t>
      </w:r>
      <w:r w:rsidRPr="00B30EBE">
        <w:rPr>
          <w:rFonts w:asciiTheme="minorHAnsi" w:hAnsiTheme="minorHAnsi"/>
          <w:sz w:val="22"/>
        </w:rPr>
        <w:t xml:space="preserve"> (po). Ten typ ewaluacji pokazuje czy i w jaki sposób, uda</w:t>
      </w:r>
      <w:r w:rsidRPr="00B30EBE">
        <w:rPr>
          <w:rFonts w:asciiTheme="minorHAnsi" w:hAnsiTheme="minorHAnsi" w:hint="eastAsia"/>
          <w:sz w:val="22"/>
        </w:rPr>
        <w:t>ł</w:t>
      </w:r>
      <w:r w:rsidRPr="00B30EBE">
        <w:rPr>
          <w:rFonts w:asciiTheme="minorHAnsi" w:hAnsiTheme="minorHAnsi"/>
          <w:sz w:val="22"/>
        </w:rPr>
        <w:t>o si</w:t>
      </w:r>
      <w:r w:rsidRPr="00B30EBE">
        <w:rPr>
          <w:rFonts w:asciiTheme="minorHAnsi" w:hAnsiTheme="minorHAnsi" w:hint="eastAsia"/>
          <w:sz w:val="22"/>
        </w:rPr>
        <w:t>ę</w:t>
      </w:r>
      <w:r w:rsidRPr="00B30EBE">
        <w:rPr>
          <w:rFonts w:asciiTheme="minorHAnsi" w:hAnsiTheme="minorHAnsi"/>
          <w:sz w:val="22"/>
        </w:rPr>
        <w:t xml:space="preserve"> nam osi</w:t>
      </w:r>
      <w:r w:rsidRPr="00B30EBE">
        <w:rPr>
          <w:rFonts w:asciiTheme="minorHAnsi" w:hAnsiTheme="minorHAnsi" w:hint="eastAsia"/>
          <w:sz w:val="22"/>
        </w:rPr>
        <w:t>ą</w:t>
      </w:r>
      <w:r w:rsidRPr="00B30EBE">
        <w:rPr>
          <w:rFonts w:asciiTheme="minorHAnsi" w:hAnsiTheme="minorHAnsi"/>
          <w:sz w:val="22"/>
        </w:rPr>
        <w:t>gn</w:t>
      </w:r>
      <w:r w:rsidRPr="00B30EBE">
        <w:rPr>
          <w:rFonts w:asciiTheme="minorHAnsi" w:hAnsiTheme="minorHAnsi" w:hint="eastAsia"/>
          <w:sz w:val="22"/>
        </w:rPr>
        <w:t>ąć</w:t>
      </w:r>
      <w:r w:rsidRPr="00B30EBE">
        <w:rPr>
          <w:rFonts w:asciiTheme="minorHAnsi" w:hAnsiTheme="minorHAnsi"/>
          <w:sz w:val="22"/>
        </w:rPr>
        <w:t xml:space="preserve"> zamierzone cele, jakim kosztem a tak</w:t>
      </w:r>
      <w:r w:rsidRPr="00B30EBE">
        <w:rPr>
          <w:rFonts w:asciiTheme="minorHAnsi" w:hAnsiTheme="minorHAnsi" w:hint="eastAsia"/>
          <w:sz w:val="22"/>
        </w:rPr>
        <w:t>ż</w:t>
      </w:r>
      <w:r w:rsidRPr="00B30EBE">
        <w:rPr>
          <w:rFonts w:asciiTheme="minorHAnsi" w:hAnsiTheme="minorHAnsi"/>
          <w:sz w:val="22"/>
        </w:rPr>
        <w:t>e, czego i z jakich powodów nie uda</w:t>
      </w:r>
      <w:r w:rsidRPr="00B30EBE">
        <w:rPr>
          <w:rFonts w:asciiTheme="minorHAnsi" w:hAnsiTheme="minorHAnsi" w:hint="eastAsia"/>
          <w:sz w:val="22"/>
        </w:rPr>
        <w:t>ł</w:t>
      </w:r>
      <w:r w:rsidRPr="00B30EBE">
        <w:rPr>
          <w:rFonts w:asciiTheme="minorHAnsi" w:hAnsiTheme="minorHAnsi"/>
          <w:sz w:val="22"/>
        </w:rPr>
        <w:t>o si</w:t>
      </w:r>
      <w:r w:rsidRPr="00B30EBE">
        <w:rPr>
          <w:rFonts w:asciiTheme="minorHAnsi" w:hAnsiTheme="minorHAnsi" w:hint="eastAsia"/>
          <w:sz w:val="22"/>
        </w:rPr>
        <w:t>ę</w:t>
      </w:r>
      <w:r w:rsidRPr="00B30EBE">
        <w:rPr>
          <w:rFonts w:asciiTheme="minorHAnsi" w:hAnsiTheme="minorHAnsi"/>
          <w:sz w:val="22"/>
        </w:rPr>
        <w:t xml:space="preserve"> zrealizowa</w:t>
      </w:r>
      <w:r w:rsidRPr="00B30EBE">
        <w:rPr>
          <w:rFonts w:asciiTheme="minorHAnsi" w:hAnsiTheme="minorHAnsi" w:hint="eastAsia"/>
          <w:sz w:val="22"/>
        </w:rPr>
        <w:t>ć</w:t>
      </w:r>
      <w:r w:rsidRPr="00B30EBE">
        <w:rPr>
          <w:rFonts w:asciiTheme="minorHAnsi" w:hAnsiTheme="minorHAnsi"/>
          <w:sz w:val="22"/>
        </w:rPr>
        <w:t>, jaki wp</w:t>
      </w:r>
      <w:r w:rsidRPr="00B30EBE">
        <w:rPr>
          <w:rFonts w:asciiTheme="minorHAnsi" w:hAnsiTheme="minorHAnsi" w:hint="eastAsia"/>
          <w:sz w:val="22"/>
        </w:rPr>
        <w:t>ł</w:t>
      </w:r>
      <w:r w:rsidRPr="00B30EBE">
        <w:rPr>
          <w:rFonts w:asciiTheme="minorHAnsi" w:hAnsiTheme="minorHAnsi"/>
          <w:sz w:val="22"/>
        </w:rPr>
        <w:t>yw realizacja projektów strategicznych mia</w:t>
      </w:r>
      <w:r w:rsidRPr="00B30EBE">
        <w:rPr>
          <w:rFonts w:asciiTheme="minorHAnsi" w:hAnsiTheme="minorHAnsi" w:hint="eastAsia"/>
          <w:sz w:val="22"/>
        </w:rPr>
        <w:t>ł</w:t>
      </w:r>
      <w:r w:rsidRPr="00B30EBE">
        <w:rPr>
          <w:rFonts w:asciiTheme="minorHAnsi" w:hAnsiTheme="minorHAnsi"/>
          <w:sz w:val="22"/>
        </w:rPr>
        <w:t>a na interesariuszy (mieszka</w:t>
      </w:r>
      <w:r w:rsidRPr="00B30EBE">
        <w:rPr>
          <w:rFonts w:asciiTheme="minorHAnsi" w:hAnsiTheme="minorHAnsi" w:hint="eastAsia"/>
          <w:sz w:val="22"/>
        </w:rPr>
        <w:t>ń</w:t>
      </w:r>
      <w:r w:rsidRPr="00B30EBE">
        <w:rPr>
          <w:rFonts w:asciiTheme="minorHAnsi" w:hAnsiTheme="minorHAnsi"/>
          <w:sz w:val="22"/>
        </w:rPr>
        <w:t>ców, przedsi</w:t>
      </w:r>
      <w:r w:rsidRPr="00B30EBE">
        <w:rPr>
          <w:rFonts w:asciiTheme="minorHAnsi" w:hAnsiTheme="minorHAnsi" w:hint="eastAsia"/>
          <w:sz w:val="22"/>
        </w:rPr>
        <w:t>ę</w:t>
      </w:r>
      <w:r w:rsidRPr="00B30EBE">
        <w:rPr>
          <w:rFonts w:asciiTheme="minorHAnsi" w:hAnsiTheme="minorHAnsi"/>
          <w:sz w:val="22"/>
        </w:rPr>
        <w:t xml:space="preserve">biorców, itd.). Z uwagi na charakter oceny </w:t>
      </w:r>
      <w:r w:rsidRPr="00B30EBE">
        <w:rPr>
          <w:rFonts w:asciiTheme="minorHAnsi" w:hAnsiTheme="minorHAnsi"/>
          <w:i/>
          <w:sz w:val="22"/>
        </w:rPr>
        <w:t>ex-post</w:t>
      </w:r>
      <w:r w:rsidRPr="00B30EBE">
        <w:rPr>
          <w:rFonts w:asciiTheme="minorHAnsi" w:hAnsiTheme="minorHAnsi"/>
          <w:sz w:val="22"/>
        </w:rPr>
        <w:t>, pe</w:t>
      </w:r>
      <w:r w:rsidRPr="00B30EBE">
        <w:rPr>
          <w:rFonts w:asciiTheme="minorHAnsi" w:hAnsiTheme="minorHAnsi" w:hint="eastAsia"/>
          <w:sz w:val="22"/>
        </w:rPr>
        <w:t>ł</w:t>
      </w:r>
      <w:r w:rsidRPr="00B30EBE">
        <w:rPr>
          <w:rFonts w:asciiTheme="minorHAnsi" w:hAnsiTheme="minorHAnsi"/>
          <w:sz w:val="22"/>
        </w:rPr>
        <w:t>na ewaluacja b</w:t>
      </w:r>
      <w:r w:rsidRPr="00B30EBE">
        <w:rPr>
          <w:rFonts w:asciiTheme="minorHAnsi" w:hAnsiTheme="minorHAnsi" w:hint="eastAsia"/>
          <w:sz w:val="22"/>
        </w:rPr>
        <w:t>ę</w:t>
      </w:r>
      <w:r w:rsidRPr="00B30EBE">
        <w:rPr>
          <w:rFonts w:asciiTheme="minorHAnsi" w:hAnsiTheme="minorHAnsi"/>
          <w:sz w:val="22"/>
        </w:rPr>
        <w:t>dzie mo</w:t>
      </w:r>
      <w:r w:rsidRPr="00B30EBE">
        <w:rPr>
          <w:rFonts w:asciiTheme="minorHAnsi" w:hAnsiTheme="minorHAnsi" w:hint="eastAsia"/>
          <w:sz w:val="22"/>
        </w:rPr>
        <w:t>ż</w:t>
      </w:r>
      <w:r w:rsidRPr="00B30EBE">
        <w:rPr>
          <w:rFonts w:asciiTheme="minorHAnsi" w:hAnsiTheme="minorHAnsi"/>
          <w:sz w:val="22"/>
        </w:rPr>
        <w:t>liwa dopiero po zako</w:t>
      </w:r>
      <w:r w:rsidRPr="00B30EBE">
        <w:rPr>
          <w:rFonts w:asciiTheme="minorHAnsi" w:hAnsiTheme="minorHAnsi" w:hint="eastAsia"/>
          <w:sz w:val="22"/>
        </w:rPr>
        <w:t>ń</w:t>
      </w:r>
      <w:r w:rsidRPr="00B30EBE">
        <w:rPr>
          <w:rFonts w:asciiTheme="minorHAnsi" w:hAnsiTheme="minorHAnsi"/>
          <w:sz w:val="22"/>
        </w:rPr>
        <w:t>czeniu okresu programowania Strategii, po zrealizowaniu wi</w:t>
      </w:r>
      <w:r w:rsidRPr="00B30EBE">
        <w:rPr>
          <w:rFonts w:asciiTheme="minorHAnsi" w:hAnsiTheme="minorHAnsi" w:hint="eastAsia"/>
          <w:sz w:val="22"/>
        </w:rPr>
        <w:t>ę</w:t>
      </w:r>
      <w:r w:rsidRPr="00B30EBE">
        <w:rPr>
          <w:rFonts w:asciiTheme="minorHAnsi" w:hAnsiTheme="minorHAnsi"/>
          <w:sz w:val="22"/>
        </w:rPr>
        <w:t>kszo</w:t>
      </w:r>
      <w:r w:rsidRPr="00B30EBE">
        <w:rPr>
          <w:rFonts w:asciiTheme="minorHAnsi" w:hAnsiTheme="minorHAnsi" w:hint="eastAsia"/>
          <w:sz w:val="22"/>
        </w:rPr>
        <w:t>ś</w:t>
      </w:r>
      <w:r w:rsidRPr="00B30EBE">
        <w:rPr>
          <w:rFonts w:asciiTheme="minorHAnsi" w:hAnsiTheme="minorHAnsi"/>
          <w:sz w:val="22"/>
        </w:rPr>
        <w:t>ci projektów i zgromadzeniu informacji monitoringowych. W przypadku prowadzenia badania w innych okoliczno</w:t>
      </w:r>
      <w:r w:rsidRPr="00B30EBE">
        <w:rPr>
          <w:rFonts w:asciiTheme="minorHAnsi" w:hAnsiTheme="minorHAnsi" w:hint="eastAsia"/>
          <w:sz w:val="22"/>
        </w:rPr>
        <w:t>ś</w:t>
      </w:r>
      <w:r w:rsidRPr="00B30EBE">
        <w:rPr>
          <w:rFonts w:asciiTheme="minorHAnsi" w:hAnsiTheme="minorHAnsi"/>
          <w:sz w:val="22"/>
        </w:rPr>
        <w:t>ciach, raport ewaluacyjny powinien zosta</w:t>
      </w:r>
      <w:r w:rsidRPr="00B30EBE">
        <w:rPr>
          <w:rFonts w:asciiTheme="minorHAnsi" w:hAnsiTheme="minorHAnsi" w:hint="eastAsia"/>
          <w:sz w:val="22"/>
        </w:rPr>
        <w:t>ć</w:t>
      </w:r>
      <w:r w:rsidRPr="00B30EBE">
        <w:rPr>
          <w:rFonts w:asciiTheme="minorHAnsi" w:hAnsiTheme="minorHAnsi"/>
          <w:sz w:val="22"/>
        </w:rPr>
        <w:t xml:space="preserve"> dostosowany do stanu realizacji projektu oraz zakresu zebranych danych.</w:t>
      </w:r>
    </w:p>
    <w:p w:rsidR="00B30EBE" w:rsidRPr="00B30EBE" w:rsidRDefault="00B30EBE" w:rsidP="00B30EBE">
      <w:pPr>
        <w:autoSpaceDE w:val="0"/>
        <w:autoSpaceDN w:val="0"/>
        <w:adjustRightInd w:val="0"/>
        <w:rPr>
          <w:rFonts w:asciiTheme="minorHAnsi" w:hAnsiTheme="minorHAnsi"/>
          <w:sz w:val="22"/>
        </w:rPr>
      </w:pP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 xml:space="preserve">Raport z ewaluacji Strategii będzie wykonywany wg. metodologii przyjętej przez podmiot (zespół) wskazany do jej opracowania. Jego treść oparta będzie zarówno na przeprowadzanych badaniach ewaluacyjnych, jak i na ocenie danych zastanych, tj. przede wszystkim danych z corocznych raportów </w:t>
      </w:r>
      <w:r w:rsidRPr="00B30EBE">
        <w:rPr>
          <w:rFonts w:asciiTheme="minorHAnsi" w:hAnsiTheme="minorHAnsi"/>
          <w:sz w:val="22"/>
        </w:rPr>
        <w:lastRenderedPageBreak/>
        <w:t xml:space="preserve">monitoringowych, ewidencji i statystyk. Analiza powinna objąć także stopień zgodności zapisów sporządzanych w danym okresie programów operacyjnych z zapisami Strategii. </w:t>
      </w: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Podstawowymi kryteriami jakie powinien uwzględniać zestaw pytań użyty w przypadku badania ewaluacyjnego są:</w:t>
      </w:r>
    </w:p>
    <w:p w:rsidR="00B30EBE" w:rsidRPr="00B30EBE" w:rsidRDefault="00B30EBE" w:rsidP="0062416A">
      <w:pPr>
        <w:numPr>
          <w:ilvl w:val="0"/>
          <w:numId w:val="126"/>
        </w:numPr>
        <w:autoSpaceDE w:val="0"/>
        <w:autoSpaceDN w:val="0"/>
        <w:adjustRightInd w:val="0"/>
        <w:spacing w:after="160"/>
        <w:contextualSpacing/>
        <w:jc w:val="left"/>
        <w:rPr>
          <w:rFonts w:asciiTheme="minorHAnsi" w:hAnsiTheme="minorHAnsi"/>
          <w:sz w:val="22"/>
        </w:rPr>
      </w:pPr>
      <w:r w:rsidRPr="00B30EBE">
        <w:rPr>
          <w:rFonts w:asciiTheme="minorHAnsi" w:hAnsiTheme="minorHAnsi"/>
          <w:sz w:val="22"/>
        </w:rPr>
        <w:t>Trafność –  czy realizowane projekty pozwoliły rozwiązać zidentyfikowane problemy i były zgodne z założeniami dokumentu Strategii i w jakim stopniu zaplanowane cele oraz zadania odpowiadają potrzebom mieszkańców i innych interesariuszy Strategii.</w:t>
      </w:r>
    </w:p>
    <w:p w:rsidR="00B30EBE" w:rsidRPr="00B30EBE" w:rsidRDefault="00B30EBE" w:rsidP="0062416A">
      <w:pPr>
        <w:numPr>
          <w:ilvl w:val="0"/>
          <w:numId w:val="126"/>
        </w:numPr>
        <w:autoSpaceDE w:val="0"/>
        <w:autoSpaceDN w:val="0"/>
        <w:adjustRightInd w:val="0"/>
        <w:spacing w:after="160"/>
        <w:contextualSpacing/>
        <w:jc w:val="left"/>
        <w:rPr>
          <w:rFonts w:asciiTheme="minorHAnsi" w:hAnsiTheme="minorHAnsi"/>
          <w:sz w:val="22"/>
        </w:rPr>
      </w:pPr>
      <w:r w:rsidRPr="00B30EBE">
        <w:rPr>
          <w:rFonts w:asciiTheme="minorHAnsi" w:hAnsiTheme="minorHAnsi"/>
          <w:sz w:val="22"/>
        </w:rPr>
        <w:t>Skuteczność – w jakim stopniu realizowane projekty przyczyniają się do osiągnięcia zakładanych celów operacyjnych i strategicznych.</w:t>
      </w:r>
    </w:p>
    <w:p w:rsidR="00B30EBE" w:rsidRPr="00B30EBE" w:rsidRDefault="00B30EBE" w:rsidP="0062416A">
      <w:pPr>
        <w:numPr>
          <w:ilvl w:val="0"/>
          <w:numId w:val="126"/>
        </w:numPr>
        <w:autoSpaceDE w:val="0"/>
        <w:autoSpaceDN w:val="0"/>
        <w:adjustRightInd w:val="0"/>
        <w:spacing w:after="160"/>
        <w:contextualSpacing/>
        <w:jc w:val="left"/>
        <w:rPr>
          <w:rFonts w:asciiTheme="minorHAnsi" w:hAnsiTheme="minorHAnsi"/>
          <w:sz w:val="22"/>
        </w:rPr>
      </w:pPr>
      <w:r w:rsidRPr="00B30EBE">
        <w:rPr>
          <w:rFonts w:asciiTheme="minorHAnsi" w:hAnsiTheme="minorHAnsi"/>
          <w:sz w:val="22"/>
        </w:rPr>
        <w:t>Efektywność – jaki jest stosunek nakładów finansowych i zasobów realizowanych projektów do osiąganych produktów i rezultatów/</w:t>
      </w:r>
    </w:p>
    <w:p w:rsidR="00B30EBE" w:rsidRPr="00B30EBE" w:rsidRDefault="00B30EBE" w:rsidP="0062416A">
      <w:pPr>
        <w:numPr>
          <w:ilvl w:val="0"/>
          <w:numId w:val="126"/>
        </w:numPr>
        <w:autoSpaceDE w:val="0"/>
        <w:autoSpaceDN w:val="0"/>
        <w:adjustRightInd w:val="0"/>
        <w:spacing w:after="160"/>
        <w:contextualSpacing/>
        <w:jc w:val="left"/>
        <w:rPr>
          <w:rFonts w:asciiTheme="minorHAnsi" w:hAnsiTheme="minorHAnsi"/>
          <w:sz w:val="22"/>
        </w:rPr>
      </w:pPr>
      <w:r w:rsidRPr="00B30EBE">
        <w:rPr>
          <w:rFonts w:asciiTheme="minorHAnsi" w:hAnsiTheme="minorHAnsi"/>
          <w:sz w:val="22"/>
        </w:rPr>
        <w:t>Użyteczność – czy pojawiły się negatywne lub pozytywne efekty uboczne  na skutek zrealizowanych zadań i czy rezultaty tych projektów są użyteczne dla mieszkańców (interesariuszy).</w:t>
      </w:r>
    </w:p>
    <w:p w:rsidR="00B30EBE" w:rsidRPr="00B30EBE" w:rsidRDefault="00B30EBE" w:rsidP="0062416A">
      <w:pPr>
        <w:numPr>
          <w:ilvl w:val="0"/>
          <w:numId w:val="126"/>
        </w:numPr>
        <w:autoSpaceDE w:val="0"/>
        <w:autoSpaceDN w:val="0"/>
        <w:adjustRightInd w:val="0"/>
        <w:spacing w:after="160"/>
        <w:contextualSpacing/>
        <w:jc w:val="left"/>
        <w:rPr>
          <w:rFonts w:asciiTheme="minorHAnsi" w:hAnsiTheme="minorHAnsi"/>
          <w:sz w:val="22"/>
        </w:rPr>
      </w:pPr>
      <w:r w:rsidRPr="00B30EBE">
        <w:rPr>
          <w:rFonts w:asciiTheme="minorHAnsi" w:hAnsiTheme="minorHAnsi"/>
          <w:sz w:val="22"/>
        </w:rPr>
        <w:t>Trwałość – czy zmiany, które zaszły na skutek realizacji projektów są trwałe i będą użyteczne przez długi czas.</w:t>
      </w:r>
    </w:p>
    <w:p w:rsidR="00B30EBE" w:rsidRPr="00B30EBE" w:rsidRDefault="00B30EBE" w:rsidP="00B30EBE">
      <w:pPr>
        <w:autoSpaceDE w:val="0"/>
        <w:autoSpaceDN w:val="0"/>
        <w:adjustRightInd w:val="0"/>
        <w:ind w:left="720"/>
        <w:contextualSpacing/>
        <w:rPr>
          <w:rFonts w:asciiTheme="minorHAnsi" w:hAnsiTheme="minorHAnsi"/>
          <w:sz w:val="22"/>
        </w:rPr>
      </w:pPr>
    </w:p>
    <w:p w:rsidR="00B30EBE" w:rsidRPr="00B30EBE" w:rsidRDefault="00B30EBE" w:rsidP="00B30EBE">
      <w:pPr>
        <w:autoSpaceDE w:val="0"/>
        <w:autoSpaceDN w:val="0"/>
        <w:adjustRightInd w:val="0"/>
        <w:rPr>
          <w:rFonts w:asciiTheme="minorHAnsi" w:hAnsiTheme="minorHAnsi"/>
          <w:sz w:val="22"/>
        </w:rPr>
      </w:pPr>
      <w:r w:rsidRPr="00B30EBE">
        <w:rPr>
          <w:rFonts w:asciiTheme="minorHAnsi" w:hAnsiTheme="minorHAnsi"/>
          <w:sz w:val="22"/>
        </w:rPr>
        <w:t>Ponadto ważnym elementem ewaluacji jest analiza wskaźników kontekstowych. Wskaźniki kontekstowe odnoszą się do oddziaływania na rozwój Legnicy w znacznie szerszym rozumieniu, wykraczającym poza poziom poszczególnych projektów i ich bezpośredniego oddziaływania. Obrazują bowiem rozwój miasta w ujęciu całościowym, tj. uwzględniaj</w:t>
      </w:r>
      <w:r w:rsidR="00A961FB">
        <w:rPr>
          <w:rFonts w:asciiTheme="minorHAnsi" w:hAnsiTheme="minorHAnsi"/>
          <w:sz w:val="22"/>
        </w:rPr>
        <w:t>ąc działania innych podmiotów i </w:t>
      </w:r>
      <w:r w:rsidRPr="00B30EBE">
        <w:rPr>
          <w:rFonts w:asciiTheme="minorHAnsi" w:hAnsiTheme="minorHAnsi"/>
          <w:sz w:val="22"/>
        </w:rPr>
        <w:t xml:space="preserve">interesariuszy, niekoniecznie wskazanych wprost w Strategii, ale mających wpływ na zrównoważony rozwój Miasta i jego otoczenia. </w:t>
      </w:r>
    </w:p>
    <w:p w:rsidR="00B30EBE" w:rsidRPr="00B30EBE" w:rsidRDefault="00B30EBE" w:rsidP="00B30EBE">
      <w:pPr>
        <w:autoSpaceDE w:val="0"/>
        <w:autoSpaceDN w:val="0"/>
        <w:adjustRightInd w:val="0"/>
        <w:rPr>
          <w:rFonts w:asciiTheme="minorHAnsi" w:hAnsiTheme="minorHAnsi"/>
          <w:sz w:val="22"/>
        </w:rPr>
      </w:pPr>
    </w:p>
    <w:p w:rsidR="009B1741" w:rsidRDefault="00B30EBE" w:rsidP="00B30EBE">
      <w:pPr>
        <w:autoSpaceDE w:val="0"/>
        <w:autoSpaceDN w:val="0"/>
        <w:adjustRightInd w:val="0"/>
        <w:rPr>
          <w:rFonts w:asciiTheme="minorHAnsi" w:hAnsiTheme="minorHAnsi"/>
          <w:sz w:val="22"/>
        </w:rPr>
      </w:pPr>
      <w:r w:rsidRPr="00B30EBE">
        <w:rPr>
          <w:rFonts w:asciiTheme="minorHAnsi" w:hAnsiTheme="minorHAnsi"/>
          <w:sz w:val="22"/>
        </w:rPr>
        <w:t xml:space="preserve">Podstawową rolą raportu ewaluacyjnego jest zidentyfikowanie niedoskonałości i braków przyjętego programu strategicznego oraz wskazanie i wprowadzenie odpowiednich rozwiązań i udoskonaleń służących ich zniwelowaniu, po to, aby proces zarządzania strategicznego przebiegał sprawnie i nie blokował dynamiki rozwoju miasta. Wnioski płynące z przeprowadzonej analizy ewaluacyjnej </w:t>
      </w:r>
      <w:r w:rsidRPr="00B30EBE">
        <w:rPr>
          <w:rFonts w:asciiTheme="minorHAnsi" w:hAnsiTheme="minorHAnsi"/>
          <w:i/>
          <w:sz w:val="22"/>
        </w:rPr>
        <w:t xml:space="preserve">ex-post </w:t>
      </w:r>
      <w:r w:rsidRPr="00B30EBE">
        <w:rPr>
          <w:rFonts w:asciiTheme="minorHAnsi" w:hAnsiTheme="minorHAnsi"/>
          <w:sz w:val="22"/>
        </w:rPr>
        <w:t>stanowią także niezwykle istotny materiał pomocny przy aktualizacji zapisów Strategii lub formułowaniu jej na nowo, pod kątem zmieniającej się sytuacji w Mieście i jego otoczeniu oraz pojawiających się nowyc</w:t>
      </w:r>
      <w:r w:rsidR="007E17F4">
        <w:rPr>
          <w:rFonts w:asciiTheme="minorHAnsi" w:hAnsiTheme="minorHAnsi"/>
          <w:sz w:val="22"/>
        </w:rPr>
        <w:t>h potrzeb i wyzwań rozwojowych.</w:t>
      </w:r>
    </w:p>
    <w:p w:rsidR="00B30EBE" w:rsidRPr="00B30EBE" w:rsidRDefault="00B30EBE" w:rsidP="00B30EBE">
      <w:pPr>
        <w:spacing w:after="160" w:line="259" w:lineRule="auto"/>
        <w:jc w:val="left"/>
        <w:rPr>
          <w:rFonts w:asciiTheme="minorHAnsi" w:hAnsiTheme="minorHAnsi"/>
          <w:sz w:val="22"/>
        </w:rPr>
      </w:pPr>
    </w:p>
    <w:sectPr w:rsidR="00B30EBE" w:rsidRPr="00B30E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F2" w:rsidRDefault="00A469F2" w:rsidP="00DA284E">
      <w:pPr>
        <w:spacing w:line="240" w:lineRule="auto"/>
      </w:pPr>
      <w:r>
        <w:separator/>
      </w:r>
    </w:p>
  </w:endnote>
  <w:endnote w:type="continuationSeparator" w:id="0">
    <w:p w:rsidR="00A469F2" w:rsidRDefault="00A469F2" w:rsidP="00DA2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TimesNewRomanPS-BoldMT">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rsidP="007E17F4">
    <w:pPr>
      <w:pStyle w:val="Stopk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r>
      <w:fldChar w:fldCharType="begin"/>
    </w:r>
    <w:r>
      <w:instrText xml:space="preserve"> PAGE   \* MERGEFORMAT </w:instrText>
    </w:r>
    <w:r>
      <w:fldChar w:fldCharType="separate"/>
    </w:r>
    <w:r w:rsidR="007B2916">
      <w:rPr>
        <w:noProof/>
      </w:rPr>
      <w:t>120</w:t>
    </w:r>
    <w:r>
      <w:rPr>
        <w:noProof/>
      </w:rPr>
      <w:fldChar w:fldCharType="end"/>
    </w:r>
  </w:p>
  <w:p w:rsidR="00A469F2" w:rsidRDefault="00A469F2">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226787"/>
      <w:docPartObj>
        <w:docPartGallery w:val="Page Numbers (Bottom of Page)"/>
        <w:docPartUnique/>
      </w:docPartObj>
    </w:sdtPr>
    <w:sdtEndPr/>
    <w:sdtContent>
      <w:p w:rsidR="00A469F2" w:rsidRDefault="00A469F2">
        <w:pPr>
          <w:pStyle w:val="Stopka"/>
          <w:jc w:val="center"/>
        </w:pPr>
        <w:r>
          <w:fldChar w:fldCharType="begin"/>
        </w:r>
        <w:r>
          <w:instrText>PAGE   \* MERGEFORMAT</w:instrText>
        </w:r>
        <w:r>
          <w:fldChar w:fldCharType="separate"/>
        </w:r>
        <w:r w:rsidR="007B2916">
          <w:rPr>
            <w:noProof/>
          </w:rPr>
          <w:t>178</w:t>
        </w:r>
        <w:r>
          <w:fldChar w:fldCharType="end"/>
        </w:r>
      </w:p>
    </w:sdtContent>
  </w:sdt>
  <w:p w:rsidR="00A469F2" w:rsidRDefault="00A469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048307"/>
      <w:docPartObj>
        <w:docPartGallery w:val="Page Numbers (Bottom of Page)"/>
        <w:docPartUnique/>
      </w:docPartObj>
    </w:sdtPr>
    <w:sdtEndPr/>
    <w:sdtContent>
      <w:p w:rsidR="00A469F2" w:rsidRDefault="00A469F2">
        <w:pPr>
          <w:pStyle w:val="Stopka"/>
          <w:jc w:val="center"/>
        </w:pPr>
        <w:r>
          <w:fldChar w:fldCharType="begin"/>
        </w:r>
        <w:r>
          <w:instrText xml:space="preserve"> PAGE   \* MERGEFORMAT </w:instrText>
        </w:r>
        <w:r>
          <w:fldChar w:fldCharType="separate"/>
        </w:r>
        <w:r w:rsidR="007B2916">
          <w:rPr>
            <w:noProof/>
          </w:rPr>
          <w:t>10</w:t>
        </w:r>
        <w:r>
          <w:rPr>
            <w:noProof/>
          </w:rPr>
          <w:fldChar w:fldCharType="end"/>
        </w:r>
      </w:p>
    </w:sdtContent>
  </w:sdt>
  <w:p w:rsidR="00A469F2" w:rsidRDefault="00A469F2" w:rsidP="007E17F4">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618550"/>
      <w:docPartObj>
        <w:docPartGallery w:val="Page Numbers (Bottom of Page)"/>
        <w:docPartUnique/>
      </w:docPartObj>
    </w:sdtPr>
    <w:sdtEndPr/>
    <w:sdtContent>
      <w:p w:rsidR="00A469F2" w:rsidRDefault="00A469F2">
        <w:pPr>
          <w:pStyle w:val="Stopka"/>
          <w:jc w:val="center"/>
        </w:pPr>
        <w:r>
          <w:fldChar w:fldCharType="begin"/>
        </w:r>
        <w:r>
          <w:instrText xml:space="preserve"> PAGE   \* MERGEFORMAT </w:instrText>
        </w:r>
        <w:r>
          <w:fldChar w:fldCharType="separate"/>
        </w:r>
        <w:r w:rsidR="007B2916">
          <w:rPr>
            <w:noProof/>
          </w:rPr>
          <w:t>6</w:t>
        </w:r>
        <w:r>
          <w:rPr>
            <w:noProof/>
          </w:rPr>
          <w:fldChar w:fldCharType="end"/>
        </w:r>
      </w:p>
    </w:sdtContent>
  </w:sdt>
  <w:p w:rsidR="00A469F2" w:rsidRDefault="00A469F2">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r>
      <w:fldChar w:fldCharType="begin"/>
    </w:r>
    <w:r>
      <w:instrText xml:space="preserve"> PAGE   \* MERGEFORMAT </w:instrText>
    </w:r>
    <w:r>
      <w:fldChar w:fldCharType="separate"/>
    </w:r>
    <w:r w:rsidR="007B2916">
      <w:rPr>
        <w:noProof/>
      </w:rPr>
      <w:t>38</w:t>
    </w:r>
    <w:r>
      <w:rPr>
        <w:noProof/>
      </w:rPr>
      <w:fldChar w:fldCharType="end"/>
    </w:r>
  </w:p>
  <w:p w:rsidR="00A469F2" w:rsidRDefault="00A469F2">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r>
      <w:fldChar w:fldCharType="begin"/>
    </w:r>
    <w:r>
      <w:instrText xml:space="preserve"> PAGE   \* MERGEFORMAT </w:instrText>
    </w:r>
    <w:r>
      <w:fldChar w:fldCharType="separate"/>
    </w:r>
    <w:r w:rsidR="007B2916">
      <w:rPr>
        <w:noProof/>
      </w:rPr>
      <w:t>107</w:t>
    </w:r>
    <w:r>
      <w:rPr>
        <w:noProof/>
      </w:rPr>
      <w:fldChar w:fldCharType="end"/>
    </w:r>
  </w:p>
  <w:p w:rsidR="00A469F2" w:rsidRDefault="00A469F2">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pPr>
      <w:pStyle w:val="Stopka"/>
      <w:jc w:val="center"/>
    </w:pPr>
  </w:p>
  <w:p w:rsidR="00A469F2" w:rsidRDefault="00A469F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F2" w:rsidRDefault="00A469F2" w:rsidP="00DA284E">
      <w:pPr>
        <w:spacing w:line="240" w:lineRule="auto"/>
      </w:pPr>
      <w:r>
        <w:separator/>
      </w:r>
    </w:p>
  </w:footnote>
  <w:footnote w:type="continuationSeparator" w:id="0">
    <w:p w:rsidR="00A469F2" w:rsidRDefault="00A469F2" w:rsidP="00DA284E">
      <w:pPr>
        <w:spacing w:line="240" w:lineRule="auto"/>
      </w:pPr>
      <w:r>
        <w:continuationSeparator/>
      </w:r>
    </w:p>
  </w:footnote>
  <w:footnote w:id="1">
    <w:p w:rsidR="00A469F2" w:rsidRPr="006A4088" w:rsidRDefault="00A469F2" w:rsidP="009413A6">
      <w:pPr>
        <w:pStyle w:val="Tekstprzypisudolnego"/>
        <w:rPr>
          <w:rFonts w:asciiTheme="minorHAnsi" w:hAnsiTheme="minorHAnsi"/>
        </w:rPr>
      </w:pPr>
      <w:r>
        <w:rPr>
          <w:rStyle w:val="Odwoanieprzypisudolnego"/>
        </w:rPr>
        <w:footnoteRef/>
      </w:r>
      <w:r>
        <w:t xml:space="preserve"> </w:t>
      </w:r>
      <w:r w:rsidRPr="006A4088">
        <w:rPr>
          <w:rFonts w:asciiTheme="minorHAnsi" w:hAnsiTheme="minorHAnsi"/>
        </w:rPr>
        <w:t xml:space="preserve">„Obszary funkcjonalne ośrodków regionalnych tworzone są wokół ośrodków niepełniących funkcji ośrodków wojewódzkich, ale mających duży potencjał i duże znaczenie dla rozwoju kraju z punktu widzenia celów polityki przestrzennego zagospodarowania kraju – zasadniczo liczących między 100, a 300 tys. mieszkańców. Są to miasta pełniące ważne role administracyjne, gospodarcze i społeczne, koncentrujące niektóre funkcje metropolitalne, ale o skali oddziaływania znacznie mniejszej (przeważnie regionalnej) niż ośrodki metropolitalne czy pozostałe wojewódzkie”  </w:t>
      </w:r>
      <w:r w:rsidRPr="006A4088">
        <w:rPr>
          <w:rFonts w:asciiTheme="minorHAnsi" w:hAnsiTheme="minorHAnsi"/>
          <w:i/>
        </w:rPr>
        <w:t>Koncepcja Przestrzenne</w:t>
      </w:r>
      <w:r>
        <w:rPr>
          <w:rFonts w:asciiTheme="minorHAnsi" w:hAnsiTheme="minorHAnsi"/>
          <w:i/>
        </w:rPr>
        <w:t xml:space="preserve">go Zagospodarowania Kraju 2030, </w:t>
      </w:r>
      <w:r>
        <w:rPr>
          <w:rFonts w:asciiTheme="minorHAnsi" w:hAnsiTheme="minorHAnsi"/>
        </w:rPr>
        <w:t>Ministerstwo Infrastruktury i Rozwoju.</w:t>
      </w:r>
    </w:p>
    <w:p w:rsidR="00A469F2" w:rsidRDefault="00A469F2" w:rsidP="009413A6">
      <w:pPr>
        <w:pStyle w:val="Tekstprzypisudolnego"/>
      </w:pPr>
    </w:p>
  </w:footnote>
  <w:footnote w:id="2">
    <w:p w:rsidR="00A469F2" w:rsidRPr="00DA7B68" w:rsidRDefault="00A469F2" w:rsidP="009413A6">
      <w:pPr>
        <w:rPr>
          <w:rFonts w:asciiTheme="minorHAnsi" w:hAnsiTheme="minorHAnsi"/>
          <w:sz w:val="20"/>
          <w:szCs w:val="20"/>
        </w:rPr>
      </w:pPr>
      <w:r w:rsidRPr="00DA7B68">
        <w:rPr>
          <w:rStyle w:val="Odwoanieprzypisudolnego"/>
          <w:sz w:val="20"/>
          <w:szCs w:val="20"/>
        </w:rPr>
        <w:footnoteRef/>
      </w:r>
      <w:r w:rsidRPr="00DA7B68">
        <w:rPr>
          <w:sz w:val="20"/>
          <w:szCs w:val="20"/>
        </w:rPr>
        <w:t xml:space="preserve"> </w:t>
      </w:r>
      <w:r w:rsidRPr="00DA7B68">
        <w:rPr>
          <w:rFonts w:asciiTheme="minorHAnsi" w:hAnsiTheme="minorHAnsi"/>
          <w:sz w:val="20"/>
          <w:szCs w:val="20"/>
        </w:rPr>
        <w:t>Miasto Wrocław zostało włączone do analiz jako stolica województwa, choć nie objęto go rankingiem</w:t>
      </w:r>
      <w:r>
        <w:rPr>
          <w:rFonts w:asciiTheme="minorHAnsi" w:hAnsiTheme="minorHAnsi"/>
          <w:sz w:val="20"/>
          <w:szCs w:val="20"/>
        </w:rPr>
        <w:t>,</w:t>
      </w:r>
      <w:r w:rsidRPr="00DA7B68">
        <w:rPr>
          <w:rFonts w:asciiTheme="minorHAnsi" w:hAnsiTheme="minorHAnsi"/>
          <w:sz w:val="20"/>
          <w:szCs w:val="20"/>
        </w:rPr>
        <w:t xml:space="preserve"> to umieszczono jego wynik w celach porównawczych. </w:t>
      </w:r>
    </w:p>
    <w:p w:rsidR="00A469F2" w:rsidRDefault="00A469F2" w:rsidP="009413A6">
      <w:pPr>
        <w:pStyle w:val="Tekstprzypisudolnego"/>
      </w:pPr>
    </w:p>
  </w:footnote>
  <w:footnote w:id="3">
    <w:p w:rsidR="00A469F2" w:rsidRPr="00B335D3" w:rsidRDefault="00A469F2" w:rsidP="009413A6">
      <w:pPr>
        <w:pStyle w:val="Tekstprzypisudolnego"/>
        <w:rPr>
          <w:rFonts w:ascii="Calibri" w:hAnsi="Calibri"/>
        </w:rPr>
      </w:pPr>
      <w:r w:rsidRPr="00B335D3">
        <w:rPr>
          <w:rStyle w:val="Odwoanieprzypisudolnego"/>
          <w:rFonts w:ascii="Calibri" w:hAnsi="Calibri"/>
        </w:rPr>
        <w:footnoteRef/>
      </w:r>
      <w:r w:rsidRPr="00B335D3">
        <w:rPr>
          <w:rFonts w:ascii="Calibri" w:hAnsi="Calibri"/>
        </w:rPr>
        <w:t xml:space="preserve"> </w:t>
      </w:r>
      <w:r w:rsidRPr="00B335D3">
        <w:rPr>
          <w:rFonts w:ascii="Calibri" w:hAnsi="Calibri"/>
          <w:i/>
        </w:rPr>
        <w:t>Atrakcyjność inwestycyjna regionów 2012 województwo podkarpackie</w:t>
      </w:r>
      <w:r w:rsidRPr="00B335D3">
        <w:rPr>
          <w:rFonts w:ascii="Calibri" w:hAnsi="Calibri"/>
        </w:rPr>
        <w:t xml:space="preserve">, </w:t>
      </w:r>
      <w:r>
        <w:rPr>
          <w:rFonts w:ascii="Calibri" w:hAnsi="Calibri"/>
        </w:rPr>
        <w:t>Centrum Analiz Regionalnych i </w:t>
      </w:r>
      <w:r w:rsidRPr="00B335D3">
        <w:rPr>
          <w:rFonts w:ascii="Calibri" w:hAnsi="Calibri"/>
        </w:rPr>
        <w:t>Lokalnych, Dr hab. prof. SGH Hanna Godlewska-Majkowska</w:t>
      </w:r>
    </w:p>
  </w:footnote>
  <w:footnote w:id="4">
    <w:p w:rsidR="00A469F2" w:rsidRPr="00EF729B" w:rsidRDefault="00A469F2">
      <w:pPr>
        <w:pStyle w:val="Tekstprzypisudolnego"/>
        <w:rPr>
          <w:rFonts w:asciiTheme="minorHAnsi" w:hAnsiTheme="minorHAnsi"/>
        </w:rPr>
      </w:pPr>
      <w:r w:rsidRPr="00EF729B">
        <w:rPr>
          <w:rStyle w:val="Odwoanieprzypisudolnego"/>
          <w:rFonts w:asciiTheme="minorHAnsi" w:hAnsiTheme="minorHAnsi"/>
        </w:rPr>
        <w:footnoteRef/>
      </w:r>
      <w:r w:rsidRPr="00EF729B">
        <w:rPr>
          <w:rFonts w:asciiTheme="minorHAnsi" w:hAnsiTheme="minorHAnsi"/>
        </w:rPr>
        <w:t xml:space="preserve"> http://zabytki.legnica.eu/o-lengicy</w:t>
      </w:r>
    </w:p>
  </w:footnote>
  <w:footnote w:id="5">
    <w:p w:rsidR="00A469F2" w:rsidRPr="000959F0" w:rsidRDefault="00A469F2" w:rsidP="00EA6DD4">
      <w:pPr>
        <w:pStyle w:val="Tekstprzypisudolnego"/>
        <w:rPr>
          <w:rFonts w:asciiTheme="minorHAnsi" w:hAnsiTheme="minorHAnsi"/>
        </w:rPr>
      </w:pPr>
      <w:r w:rsidRPr="000959F0">
        <w:rPr>
          <w:rStyle w:val="Odwoanieprzypisudolnego"/>
          <w:rFonts w:asciiTheme="minorHAnsi" w:hAnsiTheme="minorHAnsi"/>
        </w:rPr>
        <w:footnoteRef/>
      </w:r>
      <w:r w:rsidRPr="000959F0">
        <w:rPr>
          <w:rFonts w:asciiTheme="minorHAnsi" w:hAnsiTheme="minorHAnsi"/>
        </w:rPr>
        <w:t xml:space="preserve">http://zabytki.legnica.eu/historia-legnicy;http://legnica.lca.pl/?tresc=opowiecie; http://pl.wikipedia.org/wiki/Historia_Legnicy;  http://www.liegnitz.pl;  </w:t>
      </w:r>
      <w:r w:rsidRPr="000959F0">
        <w:rPr>
          <w:rFonts w:asciiTheme="minorHAnsi" w:hAnsiTheme="minorHAnsi"/>
          <w:i/>
        </w:rPr>
        <w:t>Studium uwarunkowań i kierunków zagospodarowania przestrzennego</w:t>
      </w:r>
      <w:r w:rsidRPr="000959F0">
        <w:rPr>
          <w:rFonts w:asciiTheme="minorHAnsi" w:hAnsiTheme="minorHAnsi"/>
        </w:rPr>
        <w:t xml:space="preserve">, UML, 2014; </w:t>
      </w:r>
    </w:p>
  </w:footnote>
  <w:footnote w:id="6">
    <w:p w:rsidR="00A469F2" w:rsidRPr="00EB06A5" w:rsidRDefault="00A469F2">
      <w:pPr>
        <w:pStyle w:val="Tekstprzypisudolnego"/>
        <w:rPr>
          <w:rFonts w:asciiTheme="minorHAnsi" w:hAnsiTheme="minorHAnsi"/>
        </w:rPr>
      </w:pPr>
      <w:r w:rsidRPr="00EB06A5">
        <w:rPr>
          <w:rStyle w:val="Odwoanieprzypisudolnego"/>
          <w:rFonts w:asciiTheme="minorHAnsi" w:hAnsiTheme="minorHAnsi"/>
        </w:rPr>
        <w:footnoteRef/>
      </w:r>
      <w:r w:rsidRPr="00EB06A5">
        <w:rPr>
          <w:rFonts w:asciiTheme="minorHAnsi" w:hAnsiTheme="minorHAnsi"/>
        </w:rPr>
        <w:t xml:space="preserve"> Bank Danych Lokalnych, GUS.</w:t>
      </w:r>
    </w:p>
  </w:footnote>
  <w:footnote w:id="7">
    <w:p w:rsidR="00A469F2" w:rsidRPr="00055E50" w:rsidRDefault="00A469F2">
      <w:pPr>
        <w:pStyle w:val="Tekstprzypisudolnego"/>
        <w:rPr>
          <w:rFonts w:asciiTheme="minorHAnsi" w:hAnsiTheme="minorHAnsi"/>
        </w:rPr>
      </w:pPr>
      <w:r w:rsidRPr="00055E50">
        <w:rPr>
          <w:rStyle w:val="Odwoanieprzypisudolnego"/>
          <w:rFonts w:asciiTheme="minorHAnsi" w:hAnsiTheme="minorHAnsi"/>
        </w:rPr>
        <w:footnoteRef/>
      </w:r>
      <w:r w:rsidRPr="00055E50">
        <w:rPr>
          <w:rFonts w:asciiTheme="minorHAnsi" w:hAnsiTheme="minorHAnsi"/>
        </w:rPr>
        <w:t xml:space="preserve"> http://www.szpital.legnica.pl</w:t>
      </w:r>
    </w:p>
  </w:footnote>
  <w:footnote w:id="8">
    <w:p w:rsidR="00A469F2" w:rsidRDefault="00A469F2">
      <w:pPr>
        <w:pStyle w:val="Tekstprzypisudolnego"/>
      </w:pPr>
      <w:r w:rsidRPr="00055E50">
        <w:rPr>
          <w:rStyle w:val="Odwoanieprzypisudolnego"/>
          <w:rFonts w:asciiTheme="minorHAnsi" w:hAnsiTheme="minorHAnsi"/>
        </w:rPr>
        <w:footnoteRef/>
      </w:r>
      <w:r w:rsidRPr="00055E50">
        <w:rPr>
          <w:rFonts w:asciiTheme="minorHAnsi" w:hAnsiTheme="minorHAnsi"/>
        </w:rPr>
        <w:t xml:space="preserve"> </w:t>
      </w:r>
      <w:r w:rsidRPr="0064065B">
        <w:rPr>
          <w:rFonts w:asciiTheme="minorHAnsi" w:hAnsiTheme="minorHAnsi"/>
          <w:i/>
        </w:rPr>
        <w:t>Informacja dodatkowa do Sprawozdania finansowego za rok 2012</w:t>
      </w:r>
      <w:r w:rsidRPr="00055E50">
        <w:rPr>
          <w:rFonts w:asciiTheme="minorHAnsi" w:hAnsiTheme="minorHAnsi"/>
        </w:rPr>
        <w:t>, Wojewódzki Szpital Specjalist</w:t>
      </w:r>
      <w:r>
        <w:rPr>
          <w:rFonts w:asciiTheme="minorHAnsi" w:hAnsiTheme="minorHAnsi"/>
        </w:rPr>
        <w:t>yczny w </w:t>
      </w:r>
      <w:r w:rsidRPr="00055E50">
        <w:rPr>
          <w:rFonts w:asciiTheme="minorHAnsi" w:hAnsiTheme="minorHAnsi"/>
        </w:rPr>
        <w:t>Legnicy</w:t>
      </w:r>
    </w:p>
  </w:footnote>
  <w:footnote w:id="9">
    <w:p w:rsidR="00A469F2" w:rsidRPr="00214581" w:rsidRDefault="00A469F2" w:rsidP="00214581">
      <w:pPr>
        <w:rPr>
          <w:rFonts w:asciiTheme="minorHAnsi" w:hAnsiTheme="minorHAnsi"/>
          <w:sz w:val="22"/>
        </w:rPr>
      </w:pPr>
      <w:r>
        <w:rPr>
          <w:rStyle w:val="Odwoanieprzypisudolnego"/>
        </w:rPr>
        <w:footnoteRef/>
      </w:r>
      <w:r>
        <w:t xml:space="preserve"> </w:t>
      </w:r>
      <w:r w:rsidRPr="00546BC9">
        <w:rPr>
          <w:rFonts w:asciiTheme="minorHAnsi" w:hAnsiTheme="minorHAnsi"/>
          <w:i/>
          <w:sz w:val="20"/>
        </w:rPr>
        <w:t>Sprawozdanie z działalności MOPS w Legnicy w 2012 r.</w:t>
      </w:r>
      <w:r>
        <w:rPr>
          <w:rFonts w:asciiTheme="minorHAnsi" w:hAnsiTheme="minorHAnsi"/>
          <w:i/>
          <w:sz w:val="20"/>
        </w:rPr>
        <w:t xml:space="preserve">, </w:t>
      </w:r>
      <w:r w:rsidRPr="00546BC9">
        <w:rPr>
          <w:rFonts w:asciiTheme="minorHAnsi" w:hAnsiTheme="minorHAnsi"/>
          <w:sz w:val="20"/>
        </w:rPr>
        <w:t>MOPS, Legnica, 2013 r.</w:t>
      </w:r>
    </w:p>
  </w:footnote>
  <w:footnote w:id="10">
    <w:p w:rsidR="00A469F2" w:rsidRPr="00DC289B" w:rsidRDefault="00A469F2">
      <w:pPr>
        <w:pStyle w:val="Tekstprzypisudolnego"/>
        <w:rPr>
          <w:rFonts w:asciiTheme="minorHAnsi" w:hAnsiTheme="minorHAnsi"/>
        </w:rPr>
      </w:pPr>
      <w:r w:rsidRPr="00DC289B">
        <w:rPr>
          <w:rStyle w:val="Odwoanieprzypisudolnego"/>
          <w:rFonts w:asciiTheme="minorHAnsi" w:hAnsiTheme="minorHAnsi"/>
        </w:rPr>
        <w:footnoteRef/>
      </w:r>
      <w:r w:rsidRPr="00DC289B">
        <w:rPr>
          <w:rFonts w:asciiTheme="minorHAnsi" w:hAnsiTheme="minorHAnsi"/>
        </w:rPr>
        <w:t xml:space="preserve"> http://kurier-legnicki.pl/2012/03/pierwszy-w-legnicy-jeden-z-pierwszych-w-kraju/</w:t>
      </w:r>
    </w:p>
  </w:footnote>
  <w:footnote w:id="11">
    <w:p w:rsidR="00A469F2" w:rsidRPr="003948A4" w:rsidRDefault="00A469F2">
      <w:pPr>
        <w:pStyle w:val="Tekstprzypisudolnego"/>
        <w:rPr>
          <w:rFonts w:asciiTheme="minorHAnsi" w:hAnsiTheme="minorHAnsi"/>
        </w:rPr>
      </w:pPr>
      <w:r w:rsidRPr="003948A4">
        <w:rPr>
          <w:rStyle w:val="Odwoanieprzypisudolnego"/>
          <w:rFonts w:asciiTheme="minorHAnsi" w:hAnsiTheme="minorHAnsi"/>
        </w:rPr>
        <w:footnoteRef/>
      </w:r>
      <w:r w:rsidRPr="003948A4">
        <w:rPr>
          <w:rFonts w:asciiTheme="minorHAnsi" w:hAnsiTheme="minorHAnsi"/>
        </w:rPr>
        <w:t xml:space="preserve"> Model funkcjonowania sportu w Legnicy</w:t>
      </w:r>
    </w:p>
  </w:footnote>
  <w:footnote w:id="12">
    <w:p w:rsidR="00A469F2" w:rsidRPr="003948A4" w:rsidRDefault="00A469F2">
      <w:pPr>
        <w:pStyle w:val="Tekstprzypisudolnego"/>
        <w:rPr>
          <w:rFonts w:asciiTheme="minorHAnsi" w:hAnsiTheme="minorHAnsi"/>
        </w:rPr>
      </w:pPr>
      <w:r w:rsidRPr="003948A4">
        <w:rPr>
          <w:rStyle w:val="Odwoanieprzypisudolnego"/>
          <w:rFonts w:asciiTheme="minorHAnsi" w:hAnsiTheme="minorHAnsi"/>
        </w:rPr>
        <w:footnoteRef/>
      </w:r>
      <w:r w:rsidRPr="003948A4">
        <w:rPr>
          <w:rFonts w:asciiTheme="minorHAnsi" w:hAnsiTheme="minorHAnsi"/>
        </w:rPr>
        <w:t xml:space="preserve"> http://zabytki.legnica.eu/</w:t>
      </w:r>
    </w:p>
  </w:footnote>
  <w:footnote w:id="13">
    <w:p w:rsidR="00A469F2" w:rsidRPr="008567C3" w:rsidRDefault="00A469F2">
      <w:pPr>
        <w:pStyle w:val="Tekstprzypisudolnego"/>
        <w:rPr>
          <w:rFonts w:asciiTheme="minorHAnsi" w:hAnsiTheme="minorHAnsi"/>
        </w:rPr>
      </w:pPr>
      <w:r w:rsidRPr="008567C3">
        <w:rPr>
          <w:rStyle w:val="Odwoanieprzypisudolnego"/>
          <w:rFonts w:asciiTheme="minorHAnsi" w:hAnsiTheme="minorHAnsi"/>
        </w:rPr>
        <w:footnoteRef/>
      </w:r>
      <w:r w:rsidRPr="008567C3">
        <w:rPr>
          <w:rFonts w:asciiTheme="minorHAnsi" w:hAnsiTheme="minorHAnsi"/>
        </w:rPr>
        <w:t xml:space="preserve"> http://www.portal.legnica.eu/strona-402-zarzadzanie_kryzysowe_bezpieczenstwo.html</w:t>
      </w:r>
    </w:p>
  </w:footnote>
  <w:footnote w:id="14">
    <w:p w:rsidR="00A469F2" w:rsidRPr="008567C3" w:rsidRDefault="00A469F2">
      <w:pPr>
        <w:pStyle w:val="Tekstprzypisudolnego"/>
        <w:rPr>
          <w:rFonts w:asciiTheme="minorHAnsi" w:hAnsiTheme="minorHAnsi"/>
        </w:rPr>
      </w:pPr>
      <w:r w:rsidRPr="008567C3">
        <w:rPr>
          <w:rStyle w:val="Odwoanieprzypisudolnego"/>
          <w:rFonts w:asciiTheme="minorHAnsi" w:hAnsiTheme="minorHAnsi"/>
        </w:rPr>
        <w:footnoteRef/>
      </w:r>
      <w:r w:rsidRPr="008567C3">
        <w:rPr>
          <w:rFonts w:asciiTheme="minorHAnsi" w:hAnsiTheme="minorHAnsi"/>
        </w:rPr>
        <w:t xml:space="preserve"> http://statystyka.legnica.eu/statobr_K.htm</w:t>
      </w:r>
    </w:p>
  </w:footnote>
  <w:footnote w:id="15">
    <w:p w:rsidR="00A469F2" w:rsidRDefault="00A469F2">
      <w:pPr>
        <w:pStyle w:val="Tekstprzypisudolnego"/>
      </w:pPr>
      <w:r w:rsidRPr="008567C3">
        <w:rPr>
          <w:rStyle w:val="Odwoanieprzypisudolnego"/>
          <w:rFonts w:asciiTheme="minorHAnsi" w:hAnsiTheme="minorHAnsi"/>
        </w:rPr>
        <w:footnoteRef/>
      </w:r>
      <w:r w:rsidRPr="008567C3">
        <w:rPr>
          <w:rFonts w:asciiTheme="minorHAnsi" w:hAnsiTheme="minorHAnsi"/>
        </w:rPr>
        <w:t xml:space="preserve"> http://www.straz.legnica.eu/index.php?id=232</w:t>
      </w:r>
    </w:p>
  </w:footnote>
  <w:footnote w:id="16">
    <w:p w:rsidR="00A469F2" w:rsidRPr="004D38C6" w:rsidRDefault="00A469F2">
      <w:pPr>
        <w:pStyle w:val="Tekstprzypisudolnego"/>
        <w:rPr>
          <w:rFonts w:asciiTheme="minorHAnsi" w:hAnsiTheme="minorHAnsi"/>
        </w:rPr>
      </w:pPr>
      <w:r w:rsidRPr="004D38C6">
        <w:rPr>
          <w:rStyle w:val="Odwoanieprzypisudolnego"/>
          <w:rFonts w:asciiTheme="minorHAnsi" w:hAnsiTheme="minorHAnsi"/>
        </w:rPr>
        <w:footnoteRef/>
      </w:r>
      <w:r w:rsidRPr="004D38C6">
        <w:rPr>
          <w:rFonts w:asciiTheme="minorHAnsi" w:hAnsiTheme="minorHAnsi"/>
        </w:rPr>
        <w:t xml:space="preserve"> http://www.muzeum-miedzi.art.pl/historia.html</w:t>
      </w:r>
    </w:p>
  </w:footnote>
  <w:footnote w:id="17">
    <w:p w:rsidR="00A469F2" w:rsidRDefault="00A469F2" w:rsidP="008418CA">
      <w:pPr>
        <w:pStyle w:val="Tekstprzypisudolnego"/>
      </w:pPr>
      <w:r>
        <w:rPr>
          <w:rStyle w:val="Odwoanieprzypisudolnego"/>
        </w:rPr>
        <w:footnoteRef/>
      </w:r>
      <w:r>
        <w:t xml:space="preserve"> </w:t>
      </w:r>
      <w:r w:rsidRPr="008418CA">
        <w:rPr>
          <w:rFonts w:asciiTheme="minorHAnsi" w:hAnsiTheme="minorHAnsi"/>
        </w:rPr>
        <w:t>Strategia rozwoju kultury na lata 2007-2013 (2020), Urząd Miasta Legnicy, 2006</w:t>
      </w:r>
    </w:p>
  </w:footnote>
  <w:footnote w:id="18">
    <w:p w:rsidR="00A469F2" w:rsidRDefault="00A469F2">
      <w:pPr>
        <w:pStyle w:val="Tekstprzypisudolnego"/>
      </w:pPr>
      <w:r>
        <w:rPr>
          <w:rStyle w:val="Odwoanieprzypisudolnego"/>
        </w:rPr>
        <w:footnoteRef/>
      </w:r>
      <w:r>
        <w:t xml:space="preserve"> </w:t>
      </w:r>
      <w:r w:rsidRPr="008418CA">
        <w:rPr>
          <w:rFonts w:asciiTheme="minorHAnsi" w:hAnsiTheme="minorHAnsi"/>
        </w:rPr>
        <w:t>http://www.galeria.legnica.pl/portal/cms2/?O_galerii;</w:t>
      </w:r>
    </w:p>
  </w:footnote>
  <w:footnote w:id="19">
    <w:p w:rsidR="00A469F2" w:rsidRPr="008418CA" w:rsidRDefault="00A469F2">
      <w:pPr>
        <w:pStyle w:val="Tekstprzypisudolnego"/>
        <w:rPr>
          <w:rFonts w:asciiTheme="minorHAnsi" w:hAnsiTheme="minorHAnsi"/>
        </w:rPr>
      </w:pPr>
      <w:r>
        <w:rPr>
          <w:rStyle w:val="Odwoanieprzypisudolnego"/>
        </w:rPr>
        <w:footnoteRef/>
      </w:r>
      <w:r>
        <w:t xml:space="preserve"> </w:t>
      </w:r>
      <w:r w:rsidRPr="008418CA">
        <w:rPr>
          <w:rFonts w:asciiTheme="minorHAnsi" w:hAnsiTheme="minorHAnsi"/>
        </w:rPr>
        <w:t>Strategia rozwoju kultury na lata 2007-2013 (2020), Urząd Miasta Legnicy, 2006</w:t>
      </w:r>
    </w:p>
  </w:footnote>
  <w:footnote w:id="20">
    <w:p w:rsidR="00A469F2" w:rsidRDefault="00A469F2">
      <w:pPr>
        <w:pStyle w:val="Tekstprzypisudolnego"/>
      </w:pPr>
      <w:r w:rsidRPr="008418CA">
        <w:rPr>
          <w:rStyle w:val="Odwoanieprzypisudolnego"/>
          <w:rFonts w:asciiTheme="minorHAnsi" w:hAnsiTheme="minorHAnsi"/>
        </w:rPr>
        <w:footnoteRef/>
      </w:r>
      <w:r w:rsidRPr="008418CA">
        <w:rPr>
          <w:rFonts w:asciiTheme="minorHAnsi" w:hAnsiTheme="minorHAnsi"/>
        </w:rPr>
        <w:t xml:space="preserve"> http://www.galeria.legnica.pl/portal/cms2/?O_galerii;</w:t>
      </w:r>
      <w:r>
        <w:t xml:space="preserve"> </w:t>
      </w:r>
    </w:p>
  </w:footnote>
  <w:footnote w:id="21">
    <w:p w:rsidR="00A469F2" w:rsidRPr="004D38C6" w:rsidRDefault="00A469F2" w:rsidP="008418CA">
      <w:pPr>
        <w:pStyle w:val="Tekstprzypisudolnego"/>
        <w:rPr>
          <w:rFonts w:asciiTheme="minorHAnsi" w:hAnsiTheme="minorHAnsi"/>
        </w:rPr>
      </w:pPr>
      <w:r w:rsidRPr="004D38C6">
        <w:rPr>
          <w:rStyle w:val="Odwoanieprzypisudolnego"/>
          <w:rFonts w:asciiTheme="minorHAnsi" w:hAnsiTheme="minorHAnsi"/>
        </w:rPr>
        <w:footnoteRef/>
      </w:r>
      <w:r w:rsidRPr="004D38C6">
        <w:rPr>
          <w:rFonts w:asciiTheme="minorHAnsi" w:hAnsiTheme="minorHAnsi"/>
        </w:rPr>
        <w:t xml:space="preserve"> </w:t>
      </w:r>
      <w:r w:rsidRPr="00BB11E8">
        <w:rPr>
          <w:rFonts w:asciiTheme="minorHAnsi" w:hAnsiTheme="minorHAnsi"/>
          <w:i/>
        </w:rPr>
        <w:t>Strategia rozwoju kultury na lata 2007-2013 (2020),</w:t>
      </w:r>
      <w:r w:rsidRPr="004D38C6">
        <w:rPr>
          <w:rFonts w:asciiTheme="minorHAnsi" w:hAnsiTheme="minorHAnsi"/>
        </w:rPr>
        <w:t xml:space="preserve"> Urząd Miasta Legnicy, 2006</w:t>
      </w:r>
    </w:p>
  </w:footnote>
  <w:footnote w:id="22">
    <w:p w:rsidR="00A469F2" w:rsidRPr="00E96088" w:rsidRDefault="00A469F2">
      <w:pPr>
        <w:pStyle w:val="Tekstprzypisudolnego"/>
        <w:rPr>
          <w:rFonts w:asciiTheme="minorHAnsi" w:hAnsiTheme="minorHAnsi"/>
        </w:rPr>
      </w:pPr>
      <w:r w:rsidRPr="00E96088">
        <w:rPr>
          <w:rStyle w:val="Odwoanieprzypisudolnego"/>
          <w:rFonts w:asciiTheme="minorHAnsi" w:hAnsiTheme="minorHAnsi"/>
        </w:rPr>
        <w:footnoteRef/>
      </w:r>
      <w:r w:rsidRPr="00E96088">
        <w:rPr>
          <w:rFonts w:asciiTheme="minorHAnsi" w:hAnsiTheme="minorHAnsi"/>
        </w:rPr>
        <w:t xml:space="preserve"> http://www.sag.legnica.pl/sag.htm</w:t>
      </w:r>
    </w:p>
  </w:footnote>
  <w:footnote w:id="23">
    <w:p w:rsidR="00A469F2" w:rsidRPr="00E96088" w:rsidRDefault="00A469F2">
      <w:pPr>
        <w:pStyle w:val="Tekstprzypisudolnego"/>
        <w:rPr>
          <w:rFonts w:asciiTheme="minorHAnsi" w:hAnsiTheme="minorHAnsi"/>
        </w:rPr>
      </w:pPr>
      <w:r w:rsidRPr="00E96088">
        <w:rPr>
          <w:rStyle w:val="Odwoanieprzypisudolnego"/>
          <w:rFonts w:asciiTheme="minorHAnsi" w:hAnsiTheme="minorHAnsi"/>
        </w:rPr>
        <w:footnoteRef/>
      </w:r>
      <w:r w:rsidRPr="00E96088">
        <w:rPr>
          <w:rFonts w:asciiTheme="minorHAnsi" w:hAnsiTheme="minorHAnsi"/>
        </w:rPr>
        <w:t xml:space="preserve"> http://www.letia.pl/pl/?siteid=212&amp;dzial=2</w:t>
      </w:r>
    </w:p>
  </w:footnote>
  <w:footnote w:id="24">
    <w:p w:rsidR="00A469F2" w:rsidRDefault="00A469F2">
      <w:pPr>
        <w:pStyle w:val="Tekstprzypisudolnego"/>
      </w:pPr>
      <w:r>
        <w:rPr>
          <w:rStyle w:val="Odwoanieprzypisudolnego"/>
        </w:rPr>
        <w:footnoteRef/>
      </w:r>
      <w:r>
        <w:t xml:space="preserve"> </w:t>
      </w:r>
      <w:r>
        <w:rPr>
          <w:rFonts w:asciiTheme="minorHAnsi" w:hAnsiTheme="minorHAnsi"/>
          <w:szCs w:val="22"/>
        </w:rPr>
        <w:t>wg stanu na dzień VI</w:t>
      </w:r>
      <w:r w:rsidRPr="003863E7">
        <w:rPr>
          <w:rFonts w:asciiTheme="minorHAnsi" w:hAnsiTheme="minorHAnsi"/>
          <w:szCs w:val="22"/>
        </w:rPr>
        <w:t xml:space="preserve"> 2014 r. deficyt budżetowy kształtował się na poziomie </w:t>
      </w:r>
      <w:r>
        <w:rPr>
          <w:rFonts w:asciiTheme="minorHAnsi" w:hAnsiTheme="minorHAnsi"/>
          <w:szCs w:val="22"/>
        </w:rPr>
        <w:t>-</w:t>
      </w:r>
      <w:r w:rsidRPr="003863E7">
        <w:rPr>
          <w:rFonts w:asciiTheme="minorHAnsi" w:hAnsiTheme="minorHAnsi"/>
          <w:szCs w:val="22"/>
        </w:rPr>
        <w:t xml:space="preserve"> 23 760</w:t>
      </w:r>
      <w:r>
        <w:rPr>
          <w:rFonts w:asciiTheme="minorHAnsi" w:hAnsiTheme="minorHAnsi"/>
          <w:szCs w:val="22"/>
        </w:rPr>
        <w:t> </w:t>
      </w:r>
      <w:r w:rsidRPr="003863E7">
        <w:rPr>
          <w:rFonts w:asciiTheme="minorHAnsi" w:hAnsiTheme="minorHAnsi"/>
          <w:szCs w:val="22"/>
        </w:rPr>
        <w:t>000</w:t>
      </w:r>
      <w:r>
        <w:rPr>
          <w:rFonts w:asciiTheme="minorHAnsi" w:hAnsiTheme="minorHAnsi"/>
          <w:szCs w:val="22"/>
        </w:rPr>
        <w:t xml:space="preserve"> zł</w:t>
      </w:r>
    </w:p>
  </w:footnote>
  <w:footnote w:id="25">
    <w:p w:rsidR="00A469F2" w:rsidRPr="00BB2FEC" w:rsidRDefault="00A469F2">
      <w:pPr>
        <w:pStyle w:val="Tekstprzypisudolnego"/>
        <w:rPr>
          <w:rFonts w:asciiTheme="minorHAnsi" w:hAnsiTheme="minorHAnsi"/>
        </w:rPr>
      </w:pPr>
      <w:r w:rsidRPr="00BB2FEC">
        <w:rPr>
          <w:rStyle w:val="Odwoanieprzypisudolnego"/>
          <w:rFonts w:asciiTheme="minorHAnsi" w:hAnsiTheme="minorHAnsi"/>
        </w:rPr>
        <w:footnoteRef/>
      </w:r>
      <w:r w:rsidRPr="00BB2FEC">
        <w:rPr>
          <w:rFonts w:asciiTheme="minorHAnsi" w:hAnsiTheme="minorHAnsi"/>
        </w:rPr>
        <w:t xml:space="preserve"> </w:t>
      </w:r>
      <w:r w:rsidRPr="00BB2FEC">
        <w:rPr>
          <w:rFonts w:asciiTheme="minorHAnsi" w:hAnsiTheme="minorHAnsi"/>
          <w:i/>
        </w:rPr>
        <w:t>Plan Zagospodarowania Przestrzennego Województwa Dolnośląskiego – Perspektywa 2020</w:t>
      </w:r>
      <w:r w:rsidRPr="00BB2FEC">
        <w:rPr>
          <w:rFonts w:asciiTheme="minorHAnsi" w:hAnsiTheme="minorHAnsi"/>
        </w:rPr>
        <w:t xml:space="preserve">, Urząd Marszałkowski Województwa Dolnośląskiego we Wrocławiu. </w:t>
      </w:r>
    </w:p>
  </w:footnote>
  <w:footnote w:id="26">
    <w:p w:rsidR="00A469F2" w:rsidRPr="00BB2FEC" w:rsidRDefault="00A469F2">
      <w:pPr>
        <w:pStyle w:val="Tekstprzypisudolnego"/>
        <w:rPr>
          <w:rFonts w:asciiTheme="minorHAnsi" w:hAnsiTheme="minorHAnsi"/>
        </w:rPr>
      </w:pPr>
      <w:r w:rsidRPr="00BB2FEC">
        <w:rPr>
          <w:rStyle w:val="Odwoanieprzypisudolnego"/>
          <w:rFonts w:asciiTheme="minorHAnsi" w:hAnsiTheme="minorHAnsi"/>
        </w:rPr>
        <w:footnoteRef/>
      </w:r>
      <w:r w:rsidRPr="00BB2FEC">
        <w:rPr>
          <w:rFonts w:asciiTheme="minorHAnsi" w:hAnsiTheme="minorHAnsi"/>
        </w:rPr>
        <w:t xml:space="preserve"> www.lgof.pl</w:t>
      </w:r>
    </w:p>
  </w:footnote>
  <w:footnote w:id="27">
    <w:p w:rsidR="00A469F2" w:rsidRPr="00BB2FEC" w:rsidRDefault="00A469F2">
      <w:pPr>
        <w:pStyle w:val="Tekstprzypisudolnego"/>
        <w:rPr>
          <w:rFonts w:asciiTheme="minorHAnsi" w:hAnsiTheme="minorHAnsi"/>
        </w:rPr>
      </w:pPr>
      <w:r w:rsidRPr="00BB2FEC">
        <w:rPr>
          <w:rStyle w:val="Odwoanieprzypisudolnego"/>
          <w:rFonts w:asciiTheme="minorHAnsi" w:hAnsiTheme="minorHAnsi"/>
        </w:rPr>
        <w:footnoteRef/>
      </w:r>
      <w:r w:rsidRPr="00BB2FEC">
        <w:rPr>
          <w:rFonts w:asciiTheme="minorHAnsi" w:hAnsiTheme="minorHAnsi"/>
        </w:rPr>
        <w:t xml:space="preserve"> </w:t>
      </w:r>
      <w:r w:rsidRPr="00BB2FEC">
        <w:rPr>
          <w:rFonts w:asciiTheme="minorHAnsi" w:hAnsiTheme="minorHAnsi"/>
          <w:i/>
        </w:rPr>
        <w:t>Studium uwarunkowań i kierunków zagospodarowania przestrzennego miasta Legnicy</w:t>
      </w:r>
      <w:r w:rsidRPr="00BB2FEC">
        <w:rPr>
          <w:rFonts w:asciiTheme="minorHAnsi" w:hAnsiTheme="minorHAnsi"/>
        </w:rPr>
        <w:t xml:space="preserve"> – do wyłożenia, Urząd Miasta Legnicy, 2014 r.</w:t>
      </w:r>
    </w:p>
  </w:footnote>
  <w:footnote w:id="28">
    <w:p w:rsidR="00A469F2" w:rsidRDefault="00A469F2">
      <w:pPr>
        <w:pStyle w:val="Tekstprzypisudolnego"/>
      </w:pPr>
      <w:r w:rsidRPr="00BB2FEC">
        <w:rPr>
          <w:rStyle w:val="Odwoanieprzypisudolnego"/>
          <w:rFonts w:asciiTheme="minorHAnsi" w:hAnsiTheme="minorHAnsi"/>
        </w:rPr>
        <w:footnoteRef/>
      </w:r>
      <w:r w:rsidRPr="00BB2FEC">
        <w:rPr>
          <w:rFonts w:asciiTheme="minorHAnsi" w:hAnsiTheme="minorHAnsi"/>
        </w:rPr>
        <w:t xml:space="preserve"> </w:t>
      </w:r>
      <w:r w:rsidRPr="00BB2FEC">
        <w:rPr>
          <w:rFonts w:asciiTheme="minorHAnsi" w:hAnsiTheme="minorHAnsi"/>
          <w:i/>
        </w:rPr>
        <w:t>Studium uwarunkowań i kierunków zagospodarowania przestrzennego miasta Legnicy</w:t>
      </w:r>
      <w:r w:rsidRPr="00BB2FEC">
        <w:rPr>
          <w:rFonts w:asciiTheme="minorHAnsi" w:hAnsiTheme="minorHAnsi"/>
        </w:rPr>
        <w:t xml:space="preserve"> – do wyłożenia, Urząd Miasta Legnicy, 2014 r.</w:t>
      </w:r>
    </w:p>
  </w:footnote>
  <w:footnote w:id="29">
    <w:p w:rsidR="00A469F2" w:rsidRPr="004066A4" w:rsidRDefault="00A469F2">
      <w:pPr>
        <w:pStyle w:val="Tekstprzypisudolnego"/>
        <w:rPr>
          <w:rFonts w:asciiTheme="minorHAnsi" w:hAnsiTheme="minorHAnsi"/>
        </w:rPr>
      </w:pPr>
      <w:r w:rsidRPr="004066A4">
        <w:rPr>
          <w:rStyle w:val="Odwoanieprzypisudolnego"/>
          <w:rFonts w:asciiTheme="minorHAnsi" w:hAnsiTheme="minorHAnsi"/>
        </w:rPr>
        <w:footnoteRef/>
      </w:r>
      <w:r w:rsidRPr="004066A4">
        <w:rPr>
          <w:rFonts w:asciiTheme="minorHAnsi" w:hAnsiTheme="minorHAnsi"/>
        </w:rPr>
        <w:t xml:space="preserve"> http://www.lpgk.nazwa.pl/RIPOK</w:t>
      </w:r>
    </w:p>
  </w:footnote>
  <w:footnote w:id="30">
    <w:p w:rsidR="00A469F2" w:rsidRDefault="00A469F2">
      <w:pPr>
        <w:pStyle w:val="Tekstprzypisudolnego"/>
      </w:pPr>
      <w:r w:rsidRPr="004066A4">
        <w:rPr>
          <w:rStyle w:val="Odwoanieprzypisudolnego"/>
          <w:rFonts w:asciiTheme="minorHAnsi" w:hAnsiTheme="minorHAnsi"/>
        </w:rPr>
        <w:footnoteRef/>
      </w:r>
      <w:r>
        <w:t xml:space="preserve"> </w:t>
      </w:r>
      <w:r w:rsidRPr="004066A4">
        <w:rPr>
          <w:rFonts w:asciiTheme="minorHAnsi" w:hAnsiTheme="minorHAnsi"/>
        </w:rPr>
        <w:t>http://www.lpgk.nazwa.pl/RIPOK</w:t>
      </w:r>
    </w:p>
  </w:footnote>
  <w:footnote w:id="31">
    <w:p w:rsidR="00A469F2" w:rsidRDefault="00A469F2"/>
    <w:p w:rsidR="00A469F2" w:rsidRDefault="00A469F2">
      <w:pPr>
        <w:pStyle w:val="Tekstprzypisudolnego"/>
      </w:pPr>
    </w:p>
  </w:footnote>
  <w:footnote w:id="32">
    <w:p w:rsidR="00A469F2" w:rsidRPr="00BB2FEC" w:rsidRDefault="00A469F2" w:rsidP="00420307">
      <w:pPr>
        <w:pStyle w:val="Tekstprzypisudolnego"/>
        <w:rPr>
          <w:rFonts w:asciiTheme="minorHAnsi" w:hAnsiTheme="minorHAnsi"/>
        </w:rPr>
      </w:pPr>
      <w:r w:rsidRPr="00BB2FEC">
        <w:rPr>
          <w:rStyle w:val="Odwoanieprzypisudolnego"/>
          <w:rFonts w:asciiTheme="minorHAnsi" w:hAnsiTheme="minorHAnsi"/>
        </w:rPr>
        <w:footnoteRef/>
      </w:r>
      <w:r w:rsidRPr="00BB2FEC">
        <w:rPr>
          <w:rFonts w:asciiTheme="minorHAnsi" w:hAnsiTheme="minorHAnsi"/>
        </w:rPr>
        <w:t xml:space="preserve"> </w:t>
      </w:r>
      <w:r w:rsidRPr="00BB2FEC">
        <w:rPr>
          <w:rFonts w:asciiTheme="minorHAnsi" w:hAnsiTheme="minorHAnsi"/>
          <w:i/>
        </w:rPr>
        <w:t>Użytki ekologiczne (na dzień 18.06.2013 r</w:t>
      </w:r>
      <w:r w:rsidRPr="00BB2FEC">
        <w:rPr>
          <w:rFonts w:asciiTheme="minorHAnsi" w:hAnsiTheme="minorHAnsi"/>
        </w:rPr>
        <w:t>.), Regionalna Dyrekcja Ochrony Środowiska we Wrocławiu.</w:t>
      </w:r>
    </w:p>
  </w:footnote>
  <w:footnote w:id="33">
    <w:p w:rsidR="00A469F2" w:rsidRDefault="00A469F2" w:rsidP="00420307">
      <w:pPr>
        <w:pStyle w:val="Tekstprzypisudolnego"/>
      </w:pPr>
      <w:r w:rsidRPr="00BB2FEC">
        <w:rPr>
          <w:rStyle w:val="Odwoanieprzypisudolnego"/>
          <w:rFonts w:asciiTheme="minorHAnsi" w:hAnsiTheme="minorHAnsi"/>
        </w:rPr>
        <w:footnoteRef/>
      </w:r>
      <w:r w:rsidRPr="00BB2FEC">
        <w:rPr>
          <w:rFonts w:asciiTheme="minorHAnsi" w:hAnsiTheme="minorHAnsi"/>
        </w:rPr>
        <w:t xml:space="preserve"> </w:t>
      </w:r>
      <w:r w:rsidRPr="00BB2FEC">
        <w:rPr>
          <w:rFonts w:asciiTheme="minorHAnsi" w:hAnsiTheme="minorHAnsi"/>
          <w:i/>
        </w:rPr>
        <w:t>Rejestr pomników przyrody (na dzień 28.10.2013 r</w:t>
      </w:r>
      <w:r w:rsidRPr="00BB2FEC">
        <w:rPr>
          <w:rFonts w:asciiTheme="minorHAnsi" w:hAnsiTheme="minorHAnsi"/>
        </w:rPr>
        <w:t>.), Regionalna Dyrekcja Ochrony Środowiska we Wrocławiu.</w:t>
      </w:r>
    </w:p>
  </w:footnote>
  <w:footnote w:id="34">
    <w:p w:rsidR="00A469F2" w:rsidRPr="007F212F" w:rsidRDefault="00A469F2">
      <w:pPr>
        <w:pStyle w:val="Tekstprzypisudolnego"/>
        <w:rPr>
          <w:rFonts w:asciiTheme="minorHAnsi" w:hAnsiTheme="minorHAnsi"/>
        </w:rPr>
      </w:pPr>
      <w:r w:rsidRPr="007F212F">
        <w:rPr>
          <w:rStyle w:val="Odwoanieprzypisudolnego"/>
          <w:rFonts w:asciiTheme="minorHAnsi" w:hAnsiTheme="minorHAnsi"/>
        </w:rPr>
        <w:footnoteRef/>
      </w:r>
      <w:r w:rsidRPr="007F212F">
        <w:rPr>
          <w:rFonts w:asciiTheme="minorHAnsi" w:hAnsiTheme="minorHAnsi"/>
        </w:rPr>
        <w:t xml:space="preserve"> </w:t>
      </w:r>
      <w:r w:rsidRPr="007F212F">
        <w:rPr>
          <w:rFonts w:asciiTheme="minorHAnsi" w:hAnsiTheme="minorHAnsi"/>
          <w:i/>
        </w:rPr>
        <w:t>Studium uwarunkowań i kierunków zagospodarowania przestrzennego miasta Legnicy</w:t>
      </w:r>
      <w:r w:rsidRPr="007F212F">
        <w:rPr>
          <w:rFonts w:asciiTheme="minorHAnsi" w:hAnsiTheme="minorHAnsi"/>
        </w:rPr>
        <w:t xml:space="preserve"> – do wyłożenia, Urząd Miasta Legnicy, 2014 r.</w:t>
      </w:r>
    </w:p>
  </w:footnote>
  <w:footnote w:id="35">
    <w:p w:rsidR="00A469F2" w:rsidRDefault="00A469F2" w:rsidP="009F33F3">
      <w:pPr>
        <w:pStyle w:val="Tekstprzypisudolnego"/>
      </w:pPr>
      <w:r>
        <w:rPr>
          <w:rStyle w:val="Odwoanieprzypisudolnego"/>
        </w:rPr>
        <w:footnoteRef/>
      </w:r>
      <w:r>
        <w:t xml:space="preserve"> </w:t>
      </w:r>
      <w:r w:rsidRPr="007F212F">
        <w:rPr>
          <w:rFonts w:asciiTheme="minorHAnsi" w:hAnsiTheme="minorHAnsi"/>
          <w:i/>
        </w:rPr>
        <w:t>Studium uwarunkowań i kierunków zagospodarowania przestrzennego miasta Legnicy</w:t>
      </w:r>
      <w:r w:rsidRPr="007F212F">
        <w:rPr>
          <w:rFonts w:asciiTheme="minorHAnsi" w:hAnsiTheme="minorHAnsi"/>
        </w:rPr>
        <w:t xml:space="preserve"> – do wyłożenia, Urząd Miasta Legnicy, 2014 r.</w:t>
      </w:r>
    </w:p>
  </w:footnote>
  <w:footnote w:id="36">
    <w:p w:rsidR="00A469F2" w:rsidRPr="009C2839" w:rsidRDefault="00A469F2">
      <w:pPr>
        <w:pStyle w:val="Tekstprzypisudolnego"/>
        <w:rPr>
          <w:rFonts w:asciiTheme="minorHAnsi" w:hAnsiTheme="minorHAnsi"/>
        </w:rPr>
      </w:pPr>
      <w:r w:rsidRPr="009C2839">
        <w:rPr>
          <w:rStyle w:val="Odwoanieprzypisudolnego"/>
          <w:rFonts w:asciiTheme="minorHAnsi" w:hAnsiTheme="minorHAnsi"/>
        </w:rPr>
        <w:footnoteRef/>
      </w:r>
      <w:r w:rsidRPr="009C2839">
        <w:rPr>
          <w:rFonts w:asciiTheme="minorHAnsi" w:hAnsiTheme="minorHAnsi"/>
        </w:rPr>
        <w:t xml:space="preserve"> Studium uwarunkowań i kierunków zagospodarowania przestrzennego Miasta Legnicy</w:t>
      </w:r>
    </w:p>
  </w:footnote>
  <w:footnote w:id="37">
    <w:p w:rsidR="00A469F2" w:rsidRPr="00194C4C" w:rsidRDefault="00A469F2" w:rsidP="00194C4C">
      <w:pPr>
        <w:rPr>
          <w:rFonts w:asciiTheme="minorHAnsi" w:hAnsiTheme="minorHAnsi"/>
          <w:i/>
          <w:sz w:val="20"/>
          <w:szCs w:val="20"/>
        </w:rPr>
      </w:pPr>
      <w:r>
        <w:rPr>
          <w:rStyle w:val="Odwoanieprzypisudolnego"/>
        </w:rPr>
        <w:footnoteRef/>
      </w:r>
      <w:r>
        <w:t xml:space="preserve"> </w:t>
      </w:r>
      <w:r>
        <w:rPr>
          <w:rFonts w:asciiTheme="minorHAnsi" w:hAnsiTheme="minorHAnsi"/>
          <w:i/>
          <w:sz w:val="20"/>
          <w:szCs w:val="20"/>
        </w:rPr>
        <w:t>Program</w:t>
      </w:r>
      <w:r w:rsidRPr="00194C4C">
        <w:rPr>
          <w:rFonts w:asciiTheme="minorHAnsi" w:hAnsiTheme="minorHAnsi"/>
          <w:i/>
          <w:sz w:val="20"/>
          <w:szCs w:val="20"/>
        </w:rPr>
        <w:t xml:space="preserve"> Ochrony Środowiska dla Miasta Legnicy za lata 2008-2011</w:t>
      </w:r>
      <w:r w:rsidRPr="00194C4C">
        <w:rPr>
          <w:rFonts w:asciiTheme="minorHAnsi" w:hAnsiTheme="minorHAnsi"/>
          <w:sz w:val="20"/>
          <w:szCs w:val="20"/>
        </w:rPr>
        <w:t xml:space="preserve">, </w:t>
      </w:r>
      <w:r>
        <w:rPr>
          <w:rFonts w:asciiTheme="minorHAnsi" w:hAnsiTheme="minorHAnsi"/>
          <w:sz w:val="20"/>
          <w:szCs w:val="20"/>
        </w:rPr>
        <w:t>Urząd Miasta Legnicy, 2008</w:t>
      </w:r>
      <w:r w:rsidRPr="00194C4C">
        <w:rPr>
          <w:rFonts w:asciiTheme="minorHAnsi" w:hAnsiTheme="minorHAnsi"/>
          <w:sz w:val="20"/>
          <w:szCs w:val="20"/>
        </w:rPr>
        <w:t xml:space="preserve"> r.</w:t>
      </w:r>
      <w:r>
        <w:rPr>
          <w:rFonts w:asciiTheme="minorHAnsi" w:hAnsiTheme="minorHAnsi"/>
          <w:sz w:val="20"/>
          <w:szCs w:val="20"/>
        </w:rPr>
        <w:t xml:space="preserve">; </w:t>
      </w:r>
      <w:r>
        <w:rPr>
          <w:rFonts w:asciiTheme="minorHAnsi" w:hAnsiTheme="minorHAnsi"/>
          <w:i/>
          <w:sz w:val="20"/>
          <w:szCs w:val="20"/>
        </w:rPr>
        <w:t xml:space="preserve">Ocena stopnia zanieczyszczenia gleb w województwie dolnośląskim w 2008 r. Obszary bezpośrednio zagrożone zanieczyszczeniami, </w:t>
      </w:r>
      <w:r>
        <w:rPr>
          <w:rFonts w:asciiTheme="minorHAnsi" w:hAnsiTheme="minorHAnsi"/>
          <w:sz w:val="20"/>
          <w:szCs w:val="20"/>
        </w:rPr>
        <w:t>Wojewódzki Inspektorat Ochrony Środowiska we Wrocławiu</w:t>
      </w:r>
      <w:r>
        <w:rPr>
          <w:rFonts w:asciiTheme="minorHAnsi" w:hAnsiTheme="minorHAnsi"/>
          <w:i/>
          <w:sz w:val="20"/>
          <w:szCs w:val="20"/>
        </w:rPr>
        <w:t>, 2009 r.</w:t>
      </w:r>
    </w:p>
    <w:p w:rsidR="00A469F2" w:rsidRDefault="00A469F2">
      <w:pPr>
        <w:pStyle w:val="Tekstprzypisudolnego"/>
      </w:pPr>
    </w:p>
  </w:footnote>
  <w:footnote w:id="38">
    <w:p w:rsidR="00A469F2" w:rsidRPr="004E1079" w:rsidRDefault="00A469F2">
      <w:pPr>
        <w:pStyle w:val="Tekstprzypisudolnego"/>
      </w:pPr>
      <w:r>
        <w:rPr>
          <w:rStyle w:val="Odwoanieprzypisudolnego"/>
        </w:rPr>
        <w:footnoteRef/>
      </w:r>
      <w:r>
        <w:t xml:space="preserve"> </w:t>
      </w:r>
      <w:r w:rsidRPr="00EA02C9">
        <w:rPr>
          <w:rFonts w:asciiTheme="minorHAnsi" w:hAnsiTheme="minorHAnsi"/>
          <w:i/>
        </w:rPr>
        <w:t>Program Ochrony Środowiska dla M</w:t>
      </w:r>
      <w:r>
        <w:rPr>
          <w:rFonts w:asciiTheme="minorHAnsi" w:hAnsiTheme="minorHAnsi"/>
          <w:i/>
        </w:rPr>
        <w:t>iasta Legnicy za lata 2008-2011,</w:t>
      </w:r>
      <w:r w:rsidRPr="00EA02C9">
        <w:rPr>
          <w:rFonts w:asciiTheme="minorHAnsi" w:hAnsiTheme="minorHAnsi"/>
          <w:i/>
        </w:rPr>
        <w:t xml:space="preserve"> </w:t>
      </w:r>
      <w:r w:rsidRPr="00EA02C9">
        <w:rPr>
          <w:rFonts w:asciiTheme="minorHAnsi" w:hAnsiTheme="minorHAnsi"/>
        </w:rPr>
        <w:t>Urząd Miasta Legnicy, 2007 r.</w:t>
      </w:r>
    </w:p>
  </w:footnote>
  <w:footnote w:id="39">
    <w:p w:rsidR="00A469F2" w:rsidRPr="00A7518C" w:rsidRDefault="00A469F2">
      <w:pPr>
        <w:pStyle w:val="Tekstprzypisudolnego"/>
      </w:pPr>
      <w:r>
        <w:rPr>
          <w:rStyle w:val="Odwoanieprzypisudolnego"/>
        </w:rPr>
        <w:footnoteRef/>
      </w:r>
      <w:r>
        <w:t xml:space="preserve"> </w:t>
      </w:r>
      <w:r w:rsidRPr="00A7518C">
        <w:rPr>
          <w:rFonts w:asciiTheme="minorHAnsi" w:hAnsiTheme="minorHAnsi"/>
          <w:i/>
        </w:rPr>
        <w:t xml:space="preserve">Raport z wykonania Programu Ochrony Środowiska dla Miasta Legnicy za lata 2008-2011, </w:t>
      </w:r>
      <w:r w:rsidRPr="00A7518C">
        <w:rPr>
          <w:rFonts w:asciiTheme="minorHAnsi" w:hAnsiTheme="minorHAnsi"/>
        </w:rPr>
        <w:t>Urząd Miasta Legnicy, 2012 r.</w:t>
      </w:r>
    </w:p>
  </w:footnote>
  <w:footnote w:id="40">
    <w:p w:rsidR="00A469F2" w:rsidRPr="00EC5484" w:rsidRDefault="00A469F2">
      <w:pPr>
        <w:pStyle w:val="Tekstprzypisudolnego"/>
        <w:rPr>
          <w:rFonts w:asciiTheme="minorHAnsi" w:hAnsiTheme="minorHAnsi"/>
        </w:rPr>
      </w:pPr>
      <w:r w:rsidRPr="00EC5484">
        <w:rPr>
          <w:rStyle w:val="Odwoanieprzypisudolnego"/>
          <w:rFonts w:asciiTheme="minorHAnsi" w:hAnsiTheme="minorHAnsi"/>
        </w:rPr>
        <w:footnoteRef/>
      </w:r>
      <w:r w:rsidRPr="00EC5484">
        <w:rPr>
          <w:rFonts w:asciiTheme="minorHAnsi" w:hAnsiTheme="minorHAnsi"/>
        </w:rPr>
        <w:t xml:space="preserve"> </w:t>
      </w:r>
      <w:r w:rsidRPr="00EC5484">
        <w:rPr>
          <w:rFonts w:asciiTheme="minorHAnsi" w:hAnsiTheme="minorHAnsi"/>
          <w:i/>
        </w:rPr>
        <w:t>Studium uwarunkowań i kierunków zagospodarowania przestrzennego miasta Legnicy</w:t>
      </w:r>
      <w:r w:rsidRPr="00EC5484">
        <w:rPr>
          <w:rFonts w:asciiTheme="minorHAnsi" w:hAnsiTheme="minorHAnsi"/>
        </w:rPr>
        <w:t xml:space="preserve"> – do wyłożenia, Urząd Miasta Legnicy, 2014 r.</w:t>
      </w:r>
    </w:p>
  </w:footnote>
  <w:footnote w:id="41">
    <w:p w:rsidR="00A469F2" w:rsidRDefault="00A469F2">
      <w:pPr>
        <w:pStyle w:val="Tekstprzypisudolnego"/>
      </w:pPr>
      <w:r>
        <w:rPr>
          <w:rStyle w:val="Odwoanieprzypisudolnego"/>
        </w:rPr>
        <w:footnoteRef/>
      </w:r>
      <w:r>
        <w:t xml:space="preserve"> </w:t>
      </w:r>
      <w:r w:rsidRPr="00D60066">
        <w:rPr>
          <w:rFonts w:asciiTheme="minorHAnsi" w:hAnsiTheme="minorHAnsi"/>
          <w:i/>
        </w:rPr>
        <w:t>Program ograniczenia niskiej emisji dla Miasta Legnicy</w:t>
      </w:r>
      <w:r>
        <w:rPr>
          <w:rFonts w:asciiTheme="minorHAnsi" w:hAnsiTheme="minorHAnsi"/>
        </w:rPr>
        <w:t>, Urząd Miasta Legnicy, 2014 r.</w:t>
      </w:r>
    </w:p>
  </w:footnote>
  <w:footnote w:id="42">
    <w:p w:rsidR="00A469F2" w:rsidRPr="008E5F4F" w:rsidRDefault="00A469F2" w:rsidP="00950AA7">
      <w:pPr>
        <w:pStyle w:val="Tekstprzypisudolnego"/>
        <w:rPr>
          <w:rFonts w:asciiTheme="minorHAnsi" w:hAnsiTheme="minorHAnsi"/>
          <w:i/>
        </w:rPr>
      </w:pPr>
      <w:r w:rsidRPr="008E5F4F">
        <w:rPr>
          <w:rStyle w:val="Odwoanieprzypisudolnego"/>
          <w:rFonts w:asciiTheme="minorHAnsi" w:hAnsiTheme="minorHAnsi"/>
          <w:i/>
        </w:rPr>
        <w:footnoteRef/>
      </w:r>
      <w:r w:rsidRPr="008E5F4F">
        <w:rPr>
          <w:rFonts w:asciiTheme="minorHAnsi" w:hAnsiTheme="minorHAnsi"/>
          <w:i/>
        </w:rPr>
        <w:t xml:space="preserve"> </w:t>
      </w:r>
      <w:r w:rsidRPr="00AC3F48">
        <w:rPr>
          <w:rFonts w:asciiTheme="minorHAnsi" w:hAnsiTheme="minorHAnsi"/>
          <w:i/>
        </w:rPr>
        <w:t xml:space="preserve">Mapa akustyczna Miasta Legnica,  </w:t>
      </w:r>
      <w:r w:rsidRPr="00AC3F48">
        <w:rPr>
          <w:rFonts w:asciiTheme="minorHAnsi" w:hAnsiTheme="minorHAnsi"/>
          <w:szCs w:val="18"/>
        </w:rPr>
        <w:t>Urząd Miasta w Legnicy, 2012 r.</w:t>
      </w:r>
    </w:p>
  </w:footnote>
  <w:footnote w:id="43">
    <w:p w:rsidR="00A469F2" w:rsidRDefault="00A469F2" w:rsidP="00B64958">
      <w:pPr>
        <w:pStyle w:val="Tekstprzypisudolnego"/>
      </w:pPr>
      <w:r>
        <w:rPr>
          <w:rStyle w:val="Odwoanieprzypisudolnego"/>
        </w:rPr>
        <w:footnoteRef/>
      </w:r>
      <w:r>
        <w:t xml:space="preserve"> </w:t>
      </w:r>
      <w:r w:rsidRPr="008E5F4F">
        <w:rPr>
          <w:rFonts w:asciiTheme="minorHAnsi" w:hAnsiTheme="minorHAnsi"/>
          <w:i/>
          <w:sz w:val="18"/>
          <w:szCs w:val="18"/>
        </w:rPr>
        <w:t>Program Ochrony Środowiska Przed Hałasem Dla Miasta Legnicy Na Lata 2012 – 2017</w:t>
      </w:r>
      <w:r>
        <w:rPr>
          <w:rFonts w:asciiTheme="minorHAnsi" w:hAnsiTheme="minorHAnsi"/>
          <w:i/>
          <w:sz w:val="18"/>
          <w:szCs w:val="18"/>
        </w:rPr>
        <w:t xml:space="preserve">, </w:t>
      </w:r>
      <w:r>
        <w:rPr>
          <w:rFonts w:asciiTheme="minorHAnsi" w:hAnsiTheme="minorHAnsi"/>
          <w:sz w:val="18"/>
          <w:szCs w:val="18"/>
        </w:rPr>
        <w:t>Urząd Miasta Legnicy, 2014 r.</w:t>
      </w:r>
    </w:p>
    <w:p w:rsidR="00A469F2" w:rsidRDefault="00A469F2">
      <w:pPr>
        <w:pStyle w:val="Tekstprzypisudolnego"/>
      </w:pPr>
    </w:p>
  </w:footnote>
  <w:footnote w:id="44">
    <w:p w:rsidR="00A469F2" w:rsidRPr="008E5F4F" w:rsidRDefault="00A469F2" w:rsidP="00B64958">
      <w:pPr>
        <w:pStyle w:val="Tekstprzypisudolnego"/>
        <w:rPr>
          <w:rFonts w:asciiTheme="minorHAnsi" w:hAnsiTheme="minorHAnsi"/>
          <w:b/>
          <w:sz w:val="18"/>
          <w:szCs w:val="18"/>
        </w:rPr>
      </w:pPr>
      <w:r w:rsidRPr="008E5F4F">
        <w:rPr>
          <w:rStyle w:val="Odwoanieprzypisudolnego"/>
          <w:rFonts w:asciiTheme="minorHAnsi" w:hAnsiTheme="minorHAnsi"/>
          <w:b/>
          <w:i/>
          <w:sz w:val="18"/>
          <w:szCs w:val="18"/>
        </w:rPr>
        <w:footnoteRef/>
      </w:r>
      <w:r w:rsidRPr="008E5F4F">
        <w:rPr>
          <w:rFonts w:asciiTheme="minorHAnsi" w:hAnsiTheme="minorHAnsi"/>
          <w:b/>
          <w:i/>
          <w:sz w:val="18"/>
          <w:szCs w:val="18"/>
        </w:rPr>
        <w:t xml:space="preserve"> </w:t>
      </w:r>
      <w:r w:rsidRPr="008E5F4F">
        <w:rPr>
          <w:rFonts w:asciiTheme="minorHAnsi" w:hAnsiTheme="minorHAnsi"/>
          <w:i/>
          <w:sz w:val="18"/>
          <w:szCs w:val="18"/>
        </w:rPr>
        <w:t>Program Ochrony Środowiska Przed Hałasem Dla Miasta Legnicy Na Lata 2012 – 2017</w:t>
      </w:r>
      <w:r>
        <w:rPr>
          <w:rFonts w:asciiTheme="minorHAnsi" w:hAnsiTheme="minorHAnsi"/>
          <w:i/>
          <w:sz w:val="18"/>
          <w:szCs w:val="18"/>
        </w:rPr>
        <w:t xml:space="preserve">, </w:t>
      </w:r>
      <w:r>
        <w:rPr>
          <w:rFonts w:asciiTheme="minorHAnsi" w:hAnsiTheme="minorHAnsi"/>
          <w:sz w:val="18"/>
          <w:szCs w:val="18"/>
        </w:rPr>
        <w:t>Urząd Miasta Legnicy, 2014 r.</w:t>
      </w:r>
    </w:p>
  </w:footnote>
  <w:footnote w:id="45">
    <w:p w:rsidR="00A469F2" w:rsidRPr="00F43A19" w:rsidRDefault="00A469F2">
      <w:pPr>
        <w:pStyle w:val="Tekstprzypisudolnego"/>
        <w:rPr>
          <w:rFonts w:asciiTheme="minorHAnsi" w:hAnsiTheme="minorHAnsi"/>
        </w:rPr>
      </w:pPr>
      <w:r w:rsidRPr="00F43A19">
        <w:rPr>
          <w:rStyle w:val="Odwoanieprzypisudolnego"/>
          <w:rFonts w:asciiTheme="minorHAnsi" w:hAnsiTheme="minorHAnsi"/>
        </w:rPr>
        <w:footnoteRef/>
      </w:r>
      <w:r w:rsidRPr="00F43A19">
        <w:rPr>
          <w:rFonts w:asciiTheme="minorHAnsi" w:hAnsiTheme="minorHAnsi"/>
        </w:rPr>
        <w:t xml:space="preserve"> </w:t>
      </w:r>
      <w:r>
        <w:rPr>
          <w:rFonts w:asciiTheme="minorHAnsi" w:hAnsiTheme="minorHAnsi"/>
        </w:rPr>
        <w:t xml:space="preserve">Opis procesu monitoringu i ewaluacji dokumentu </w:t>
      </w:r>
      <w:r w:rsidRPr="00F43A19">
        <w:rPr>
          <w:rFonts w:asciiTheme="minorHAnsi" w:hAnsiTheme="minorHAnsi"/>
          <w:i/>
        </w:rPr>
        <w:t xml:space="preserve">Strategii </w:t>
      </w:r>
      <w:r>
        <w:rPr>
          <w:rFonts w:asciiTheme="minorHAnsi" w:hAnsiTheme="minorHAnsi"/>
        </w:rPr>
        <w:t>stanowi odrębny rozdział niniejszego opracowania.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rsidP="00DA284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rsidP="00DA284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9F2" w:rsidRDefault="00A469F2" w:rsidP="00DA28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08"/>
        </w:tabs>
        <w:ind w:left="1430" w:hanging="360"/>
      </w:pPr>
      <w:rPr>
        <w:rFonts w:ascii="Symbol" w:hAnsi="Symbol" w:cs="OpenSymbol"/>
      </w:rPr>
    </w:lvl>
  </w:abstractNum>
  <w:abstractNum w:abstractNumId="1">
    <w:nsid w:val="00000011"/>
    <w:multiLevelType w:val="singleLevel"/>
    <w:tmpl w:val="00000011"/>
    <w:name w:val="WW8Num17"/>
    <w:lvl w:ilvl="0">
      <w:start w:val="1"/>
      <w:numFmt w:val="bullet"/>
      <w:lvlText w:val=""/>
      <w:lvlJc w:val="left"/>
      <w:pPr>
        <w:tabs>
          <w:tab w:val="num" w:pos="1219"/>
        </w:tabs>
        <w:ind w:left="1219" w:hanging="511"/>
      </w:pPr>
      <w:rPr>
        <w:rFonts w:ascii="Wingdings" w:hAnsi="Wingdings"/>
      </w:rPr>
    </w:lvl>
  </w:abstractNum>
  <w:abstractNum w:abstractNumId="2">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color w:val="FF0000"/>
        <w:sz w:val="20"/>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sz w:val="20"/>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sz w:val="20"/>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1731EF"/>
    <w:multiLevelType w:val="hybridMultilevel"/>
    <w:tmpl w:val="DAA20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02E0EA7"/>
    <w:multiLevelType w:val="hybridMultilevel"/>
    <w:tmpl w:val="82B49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734450"/>
    <w:multiLevelType w:val="hybridMultilevel"/>
    <w:tmpl w:val="F0BE68EE"/>
    <w:lvl w:ilvl="0" w:tplc="F7A05E8A">
      <w:start w:val="1"/>
      <w:numFmt w:val="bullet"/>
      <w:lvlText w:val="•"/>
      <w:lvlJc w:val="left"/>
      <w:pPr>
        <w:tabs>
          <w:tab w:val="num" w:pos="720"/>
        </w:tabs>
        <w:ind w:left="720" w:hanging="360"/>
      </w:pPr>
      <w:rPr>
        <w:rFonts w:ascii="Arial" w:hAnsi="Arial" w:hint="default"/>
      </w:rPr>
    </w:lvl>
    <w:lvl w:ilvl="1" w:tplc="52D2BE8E" w:tentative="1">
      <w:start w:val="1"/>
      <w:numFmt w:val="bullet"/>
      <w:lvlText w:val="•"/>
      <w:lvlJc w:val="left"/>
      <w:pPr>
        <w:tabs>
          <w:tab w:val="num" w:pos="1440"/>
        </w:tabs>
        <w:ind w:left="1440" w:hanging="360"/>
      </w:pPr>
      <w:rPr>
        <w:rFonts w:ascii="Arial" w:hAnsi="Arial" w:hint="default"/>
      </w:rPr>
    </w:lvl>
    <w:lvl w:ilvl="2" w:tplc="E854791A" w:tentative="1">
      <w:start w:val="1"/>
      <w:numFmt w:val="bullet"/>
      <w:lvlText w:val="•"/>
      <w:lvlJc w:val="left"/>
      <w:pPr>
        <w:tabs>
          <w:tab w:val="num" w:pos="2160"/>
        </w:tabs>
        <w:ind w:left="2160" w:hanging="360"/>
      </w:pPr>
      <w:rPr>
        <w:rFonts w:ascii="Arial" w:hAnsi="Arial" w:hint="default"/>
      </w:rPr>
    </w:lvl>
    <w:lvl w:ilvl="3" w:tplc="76A07CAC" w:tentative="1">
      <w:start w:val="1"/>
      <w:numFmt w:val="bullet"/>
      <w:lvlText w:val="•"/>
      <w:lvlJc w:val="left"/>
      <w:pPr>
        <w:tabs>
          <w:tab w:val="num" w:pos="2880"/>
        </w:tabs>
        <w:ind w:left="2880" w:hanging="360"/>
      </w:pPr>
      <w:rPr>
        <w:rFonts w:ascii="Arial" w:hAnsi="Arial" w:hint="default"/>
      </w:rPr>
    </w:lvl>
    <w:lvl w:ilvl="4" w:tplc="6A48B3AE" w:tentative="1">
      <w:start w:val="1"/>
      <w:numFmt w:val="bullet"/>
      <w:lvlText w:val="•"/>
      <w:lvlJc w:val="left"/>
      <w:pPr>
        <w:tabs>
          <w:tab w:val="num" w:pos="3600"/>
        </w:tabs>
        <w:ind w:left="3600" w:hanging="360"/>
      </w:pPr>
      <w:rPr>
        <w:rFonts w:ascii="Arial" w:hAnsi="Arial" w:hint="default"/>
      </w:rPr>
    </w:lvl>
    <w:lvl w:ilvl="5" w:tplc="D1289054" w:tentative="1">
      <w:start w:val="1"/>
      <w:numFmt w:val="bullet"/>
      <w:lvlText w:val="•"/>
      <w:lvlJc w:val="left"/>
      <w:pPr>
        <w:tabs>
          <w:tab w:val="num" w:pos="4320"/>
        </w:tabs>
        <w:ind w:left="4320" w:hanging="360"/>
      </w:pPr>
      <w:rPr>
        <w:rFonts w:ascii="Arial" w:hAnsi="Arial" w:hint="default"/>
      </w:rPr>
    </w:lvl>
    <w:lvl w:ilvl="6" w:tplc="904A10AE" w:tentative="1">
      <w:start w:val="1"/>
      <w:numFmt w:val="bullet"/>
      <w:lvlText w:val="•"/>
      <w:lvlJc w:val="left"/>
      <w:pPr>
        <w:tabs>
          <w:tab w:val="num" w:pos="5040"/>
        </w:tabs>
        <w:ind w:left="5040" w:hanging="360"/>
      </w:pPr>
      <w:rPr>
        <w:rFonts w:ascii="Arial" w:hAnsi="Arial" w:hint="default"/>
      </w:rPr>
    </w:lvl>
    <w:lvl w:ilvl="7" w:tplc="26A04516" w:tentative="1">
      <w:start w:val="1"/>
      <w:numFmt w:val="bullet"/>
      <w:lvlText w:val="•"/>
      <w:lvlJc w:val="left"/>
      <w:pPr>
        <w:tabs>
          <w:tab w:val="num" w:pos="5760"/>
        </w:tabs>
        <w:ind w:left="5760" w:hanging="360"/>
      </w:pPr>
      <w:rPr>
        <w:rFonts w:ascii="Arial" w:hAnsi="Arial" w:hint="default"/>
      </w:rPr>
    </w:lvl>
    <w:lvl w:ilvl="8" w:tplc="D9E22BC8" w:tentative="1">
      <w:start w:val="1"/>
      <w:numFmt w:val="bullet"/>
      <w:lvlText w:val="•"/>
      <w:lvlJc w:val="left"/>
      <w:pPr>
        <w:tabs>
          <w:tab w:val="num" w:pos="6480"/>
        </w:tabs>
        <w:ind w:left="6480" w:hanging="360"/>
      </w:pPr>
      <w:rPr>
        <w:rFonts w:ascii="Arial" w:hAnsi="Arial" w:hint="default"/>
      </w:rPr>
    </w:lvl>
  </w:abstractNum>
  <w:abstractNum w:abstractNumId="6">
    <w:nsid w:val="01B10CD5"/>
    <w:multiLevelType w:val="hybridMultilevel"/>
    <w:tmpl w:val="BC685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F61C41"/>
    <w:multiLevelType w:val="hybridMultilevel"/>
    <w:tmpl w:val="4E20B35E"/>
    <w:lvl w:ilvl="0" w:tplc="91829AB8">
      <w:start w:val="1"/>
      <w:numFmt w:val="bullet"/>
      <w:lvlText w:val="•"/>
      <w:lvlJc w:val="left"/>
      <w:pPr>
        <w:tabs>
          <w:tab w:val="num" w:pos="720"/>
        </w:tabs>
        <w:ind w:left="720" w:hanging="360"/>
      </w:pPr>
      <w:rPr>
        <w:rFonts w:ascii="Arial" w:hAnsi="Arial" w:hint="default"/>
      </w:rPr>
    </w:lvl>
    <w:lvl w:ilvl="1" w:tplc="01BA8BBC" w:tentative="1">
      <w:start w:val="1"/>
      <w:numFmt w:val="bullet"/>
      <w:lvlText w:val="•"/>
      <w:lvlJc w:val="left"/>
      <w:pPr>
        <w:tabs>
          <w:tab w:val="num" w:pos="1440"/>
        </w:tabs>
        <w:ind w:left="1440" w:hanging="360"/>
      </w:pPr>
      <w:rPr>
        <w:rFonts w:ascii="Arial" w:hAnsi="Arial" w:hint="default"/>
      </w:rPr>
    </w:lvl>
    <w:lvl w:ilvl="2" w:tplc="4D4AA17C" w:tentative="1">
      <w:start w:val="1"/>
      <w:numFmt w:val="bullet"/>
      <w:lvlText w:val="•"/>
      <w:lvlJc w:val="left"/>
      <w:pPr>
        <w:tabs>
          <w:tab w:val="num" w:pos="2160"/>
        </w:tabs>
        <w:ind w:left="2160" w:hanging="360"/>
      </w:pPr>
      <w:rPr>
        <w:rFonts w:ascii="Arial" w:hAnsi="Arial" w:hint="default"/>
      </w:rPr>
    </w:lvl>
    <w:lvl w:ilvl="3" w:tplc="A66C13FE" w:tentative="1">
      <w:start w:val="1"/>
      <w:numFmt w:val="bullet"/>
      <w:lvlText w:val="•"/>
      <w:lvlJc w:val="left"/>
      <w:pPr>
        <w:tabs>
          <w:tab w:val="num" w:pos="2880"/>
        </w:tabs>
        <w:ind w:left="2880" w:hanging="360"/>
      </w:pPr>
      <w:rPr>
        <w:rFonts w:ascii="Arial" w:hAnsi="Arial" w:hint="default"/>
      </w:rPr>
    </w:lvl>
    <w:lvl w:ilvl="4" w:tplc="5BA2D38A" w:tentative="1">
      <w:start w:val="1"/>
      <w:numFmt w:val="bullet"/>
      <w:lvlText w:val="•"/>
      <w:lvlJc w:val="left"/>
      <w:pPr>
        <w:tabs>
          <w:tab w:val="num" w:pos="3600"/>
        </w:tabs>
        <w:ind w:left="3600" w:hanging="360"/>
      </w:pPr>
      <w:rPr>
        <w:rFonts w:ascii="Arial" w:hAnsi="Arial" w:hint="default"/>
      </w:rPr>
    </w:lvl>
    <w:lvl w:ilvl="5" w:tplc="CF101542" w:tentative="1">
      <w:start w:val="1"/>
      <w:numFmt w:val="bullet"/>
      <w:lvlText w:val="•"/>
      <w:lvlJc w:val="left"/>
      <w:pPr>
        <w:tabs>
          <w:tab w:val="num" w:pos="4320"/>
        </w:tabs>
        <w:ind w:left="4320" w:hanging="360"/>
      </w:pPr>
      <w:rPr>
        <w:rFonts w:ascii="Arial" w:hAnsi="Arial" w:hint="default"/>
      </w:rPr>
    </w:lvl>
    <w:lvl w:ilvl="6" w:tplc="C994CC94" w:tentative="1">
      <w:start w:val="1"/>
      <w:numFmt w:val="bullet"/>
      <w:lvlText w:val="•"/>
      <w:lvlJc w:val="left"/>
      <w:pPr>
        <w:tabs>
          <w:tab w:val="num" w:pos="5040"/>
        </w:tabs>
        <w:ind w:left="5040" w:hanging="360"/>
      </w:pPr>
      <w:rPr>
        <w:rFonts w:ascii="Arial" w:hAnsi="Arial" w:hint="default"/>
      </w:rPr>
    </w:lvl>
    <w:lvl w:ilvl="7" w:tplc="C6A0A5D8" w:tentative="1">
      <w:start w:val="1"/>
      <w:numFmt w:val="bullet"/>
      <w:lvlText w:val="•"/>
      <w:lvlJc w:val="left"/>
      <w:pPr>
        <w:tabs>
          <w:tab w:val="num" w:pos="5760"/>
        </w:tabs>
        <w:ind w:left="5760" w:hanging="360"/>
      </w:pPr>
      <w:rPr>
        <w:rFonts w:ascii="Arial" w:hAnsi="Arial" w:hint="default"/>
      </w:rPr>
    </w:lvl>
    <w:lvl w:ilvl="8" w:tplc="D02A9826" w:tentative="1">
      <w:start w:val="1"/>
      <w:numFmt w:val="bullet"/>
      <w:lvlText w:val="•"/>
      <w:lvlJc w:val="left"/>
      <w:pPr>
        <w:tabs>
          <w:tab w:val="num" w:pos="6480"/>
        </w:tabs>
        <w:ind w:left="6480" w:hanging="360"/>
      </w:pPr>
      <w:rPr>
        <w:rFonts w:ascii="Arial" w:hAnsi="Arial" w:hint="default"/>
      </w:rPr>
    </w:lvl>
  </w:abstractNum>
  <w:abstractNum w:abstractNumId="8">
    <w:nsid w:val="042C38B0"/>
    <w:multiLevelType w:val="hybridMultilevel"/>
    <w:tmpl w:val="FDD0A0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F24D98"/>
    <w:multiLevelType w:val="hybridMultilevel"/>
    <w:tmpl w:val="2AD6D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6790CEB"/>
    <w:multiLevelType w:val="hybridMultilevel"/>
    <w:tmpl w:val="9D5A32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C150FA"/>
    <w:multiLevelType w:val="hybridMultilevel"/>
    <w:tmpl w:val="8F1498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5977DB"/>
    <w:multiLevelType w:val="hybridMultilevel"/>
    <w:tmpl w:val="A022AC10"/>
    <w:lvl w:ilvl="0" w:tplc="756C4ADA">
      <w:start w:val="1"/>
      <w:numFmt w:val="bullet"/>
      <w:lvlText w:val="•"/>
      <w:lvlJc w:val="left"/>
      <w:pPr>
        <w:tabs>
          <w:tab w:val="num" w:pos="720"/>
        </w:tabs>
        <w:ind w:left="720" w:hanging="360"/>
      </w:pPr>
      <w:rPr>
        <w:rFonts w:ascii="Arial" w:hAnsi="Arial" w:hint="default"/>
      </w:rPr>
    </w:lvl>
    <w:lvl w:ilvl="1" w:tplc="EC9E27DC" w:tentative="1">
      <w:start w:val="1"/>
      <w:numFmt w:val="bullet"/>
      <w:lvlText w:val="•"/>
      <w:lvlJc w:val="left"/>
      <w:pPr>
        <w:tabs>
          <w:tab w:val="num" w:pos="1440"/>
        </w:tabs>
        <w:ind w:left="1440" w:hanging="360"/>
      </w:pPr>
      <w:rPr>
        <w:rFonts w:ascii="Arial" w:hAnsi="Arial" w:hint="default"/>
      </w:rPr>
    </w:lvl>
    <w:lvl w:ilvl="2" w:tplc="AFCA8C38" w:tentative="1">
      <w:start w:val="1"/>
      <w:numFmt w:val="bullet"/>
      <w:lvlText w:val="•"/>
      <w:lvlJc w:val="left"/>
      <w:pPr>
        <w:tabs>
          <w:tab w:val="num" w:pos="2160"/>
        </w:tabs>
        <w:ind w:left="2160" w:hanging="360"/>
      </w:pPr>
      <w:rPr>
        <w:rFonts w:ascii="Arial" w:hAnsi="Arial" w:hint="default"/>
      </w:rPr>
    </w:lvl>
    <w:lvl w:ilvl="3" w:tplc="B9FA58D4" w:tentative="1">
      <w:start w:val="1"/>
      <w:numFmt w:val="bullet"/>
      <w:lvlText w:val="•"/>
      <w:lvlJc w:val="left"/>
      <w:pPr>
        <w:tabs>
          <w:tab w:val="num" w:pos="2880"/>
        </w:tabs>
        <w:ind w:left="2880" w:hanging="360"/>
      </w:pPr>
      <w:rPr>
        <w:rFonts w:ascii="Arial" w:hAnsi="Arial" w:hint="default"/>
      </w:rPr>
    </w:lvl>
    <w:lvl w:ilvl="4" w:tplc="4DFA0948" w:tentative="1">
      <w:start w:val="1"/>
      <w:numFmt w:val="bullet"/>
      <w:lvlText w:val="•"/>
      <w:lvlJc w:val="left"/>
      <w:pPr>
        <w:tabs>
          <w:tab w:val="num" w:pos="3600"/>
        </w:tabs>
        <w:ind w:left="3600" w:hanging="360"/>
      </w:pPr>
      <w:rPr>
        <w:rFonts w:ascii="Arial" w:hAnsi="Arial" w:hint="default"/>
      </w:rPr>
    </w:lvl>
    <w:lvl w:ilvl="5" w:tplc="6F9E62BA" w:tentative="1">
      <w:start w:val="1"/>
      <w:numFmt w:val="bullet"/>
      <w:lvlText w:val="•"/>
      <w:lvlJc w:val="left"/>
      <w:pPr>
        <w:tabs>
          <w:tab w:val="num" w:pos="4320"/>
        </w:tabs>
        <w:ind w:left="4320" w:hanging="360"/>
      </w:pPr>
      <w:rPr>
        <w:rFonts w:ascii="Arial" w:hAnsi="Arial" w:hint="default"/>
      </w:rPr>
    </w:lvl>
    <w:lvl w:ilvl="6" w:tplc="D7A802C2" w:tentative="1">
      <w:start w:val="1"/>
      <w:numFmt w:val="bullet"/>
      <w:lvlText w:val="•"/>
      <w:lvlJc w:val="left"/>
      <w:pPr>
        <w:tabs>
          <w:tab w:val="num" w:pos="5040"/>
        </w:tabs>
        <w:ind w:left="5040" w:hanging="360"/>
      </w:pPr>
      <w:rPr>
        <w:rFonts w:ascii="Arial" w:hAnsi="Arial" w:hint="default"/>
      </w:rPr>
    </w:lvl>
    <w:lvl w:ilvl="7" w:tplc="4E2A2744" w:tentative="1">
      <w:start w:val="1"/>
      <w:numFmt w:val="bullet"/>
      <w:lvlText w:val="•"/>
      <w:lvlJc w:val="left"/>
      <w:pPr>
        <w:tabs>
          <w:tab w:val="num" w:pos="5760"/>
        </w:tabs>
        <w:ind w:left="5760" w:hanging="360"/>
      </w:pPr>
      <w:rPr>
        <w:rFonts w:ascii="Arial" w:hAnsi="Arial" w:hint="default"/>
      </w:rPr>
    </w:lvl>
    <w:lvl w:ilvl="8" w:tplc="A9A21CC4" w:tentative="1">
      <w:start w:val="1"/>
      <w:numFmt w:val="bullet"/>
      <w:lvlText w:val="•"/>
      <w:lvlJc w:val="left"/>
      <w:pPr>
        <w:tabs>
          <w:tab w:val="num" w:pos="6480"/>
        </w:tabs>
        <w:ind w:left="6480" w:hanging="360"/>
      </w:pPr>
      <w:rPr>
        <w:rFonts w:ascii="Arial" w:hAnsi="Arial" w:hint="default"/>
      </w:rPr>
    </w:lvl>
  </w:abstractNum>
  <w:abstractNum w:abstractNumId="13">
    <w:nsid w:val="088630D6"/>
    <w:multiLevelType w:val="hybridMultilevel"/>
    <w:tmpl w:val="618460DA"/>
    <w:lvl w:ilvl="0" w:tplc="ED709E62">
      <w:start w:val="1"/>
      <w:numFmt w:val="bullet"/>
      <w:lvlText w:val="•"/>
      <w:lvlJc w:val="left"/>
      <w:pPr>
        <w:tabs>
          <w:tab w:val="num" w:pos="720"/>
        </w:tabs>
        <w:ind w:left="720" w:hanging="360"/>
      </w:pPr>
      <w:rPr>
        <w:rFonts w:ascii="Arial" w:hAnsi="Arial" w:hint="default"/>
      </w:rPr>
    </w:lvl>
    <w:lvl w:ilvl="1" w:tplc="8BE0910E" w:tentative="1">
      <w:start w:val="1"/>
      <w:numFmt w:val="bullet"/>
      <w:lvlText w:val="•"/>
      <w:lvlJc w:val="left"/>
      <w:pPr>
        <w:tabs>
          <w:tab w:val="num" w:pos="1440"/>
        </w:tabs>
        <w:ind w:left="1440" w:hanging="360"/>
      </w:pPr>
      <w:rPr>
        <w:rFonts w:ascii="Arial" w:hAnsi="Arial" w:hint="default"/>
      </w:rPr>
    </w:lvl>
    <w:lvl w:ilvl="2" w:tplc="647C8222" w:tentative="1">
      <w:start w:val="1"/>
      <w:numFmt w:val="bullet"/>
      <w:lvlText w:val="•"/>
      <w:lvlJc w:val="left"/>
      <w:pPr>
        <w:tabs>
          <w:tab w:val="num" w:pos="2160"/>
        </w:tabs>
        <w:ind w:left="2160" w:hanging="360"/>
      </w:pPr>
      <w:rPr>
        <w:rFonts w:ascii="Arial" w:hAnsi="Arial" w:hint="default"/>
      </w:rPr>
    </w:lvl>
    <w:lvl w:ilvl="3" w:tplc="C98EC8B2" w:tentative="1">
      <w:start w:val="1"/>
      <w:numFmt w:val="bullet"/>
      <w:lvlText w:val="•"/>
      <w:lvlJc w:val="left"/>
      <w:pPr>
        <w:tabs>
          <w:tab w:val="num" w:pos="2880"/>
        </w:tabs>
        <w:ind w:left="2880" w:hanging="360"/>
      </w:pPr>
      <w:rPr>
        <w:rFonts w:ascii="Arial" w:hAnsi="Arial" w:hint="default"/>
      </w:rPr>
    </w:lvl>
    <w:lvl w:ilvl="4" w:tplc="03226FE4" w:tentative="1">
      <w:start w:val="1"/>
      <w:numFmt w:val="bullet"/>
      <w:lvlText w:val="•"/>
      <w:lvlJc w:val="left"/>
      <w:pPr>
        <w:tabs>
          <w:tab w:val="num" w:pos="3600"/>
        </w:tabs>
        <w:ind w:left="3600" w:hanging="360"/>
      </w:pPr>
      <w:rPr>
        <w:rFonts w:ascii="Arial" w:hAnsi="Arial" w:hint="default"/>
      </w:rPr>
    </w:lvl>
    <w:lvl w:ilvl="5" w:tplc="FE3277E0" w:tentative="1">
      <w:start w:val="1"/>
      <w:numFmt w:val="bullet"/>
      <w:lvlText w:val="•"/>
      <w:lvlJc w:val="left"/>
      <w:pPr>
        <w:tabs>
          <w:tab w:val="num" w:pos="4320"/>
        </w:tabs>
        <w:ind w:left="4320" w:hanging="360"/>
      </w:pPr>
      <w:rPr>
        <w:rFonts w:ascii="Arial" w:hAnsi="Arial" w:hint="default"/>
      </w:rPr>
    </w:lvl>
    <w:lvl w:ilvl="6" w:tplc="63F07A0E" w:tentative="1">
      <w:start w:val="1"/>
      <w:numFmt w:val="bullet"/>
      <w:lvlText w:val="•"/>
      <w:lvlJc w:val="left"/>
      <w:pPr>
        <w:tabs>
          <w:tab w:val="num" w:pos="5040"/>
        </w:tabs>
        <w:ind w:left="5040" w:hanging="360"/>
      </w:pPr>
      <w:rPr>
        <w:rFonts w:ascii="Arial" w:hAnsi="Arial" w:hint="default"/>
      </w:rPr>
    </w:lvl>
    <w:lvl w:ilvl="7" w:tplc="D26E4160" w:tentative="1">
      <w:start w:val="1"/>
      <w:numFmt w:val="bullet"/>
      <w:lvlText w:val="•"/>
      <w:lvlJc w:val="left"/>
      <w:pPr>
        <w:tabs>
          <w:tab w:val="num" w:pos="5760"/>
        </w:tabs>
        <w:ind w:left="5760" w:hanging="360"/>
      </w:pPr>
      <w:rPr>
        <w:rFonts w:ascii="Arial" w:hAnsi="Arial" w:hint="default"/>
      </w:rPr>
    </w:lvl>
    <w:lvl w:ilvl="8" w:tplc="64660606" w:tentative="1">
      <w:start w:val="1"/>
      <w:numFmt w:val="bullet"/>
      <w:lvlText w:val="•"/>
      <w:lvlJc w:val="left"/>
      <w:pPr>
        <w:tabs>
          <w:tab w:val="num" w:pos="6480"/>
        </w:tabs>
        <w:ind w:left="6480" w:hanging="360"/>
      </w:pPr>
      <w:rPr>
        <w:rFonts w:ascii="Arial" w:hAnsi="Arial" w:hint="default"/>
      </w:rPr>
    </w:lvl>
  </w:abstractNum>
  <w:abstractNum w:abstractNumId="14">
    <w:nsid w:val="09442CEC"/>
    <w:multiLevelType w:val="hybridMultilevel"/>
    <w:tmpl w:val="0E4CC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96B0CB1"/>
    <w:multiLevelType w:val="hybridMultilevel"/>
    <w:tmpl w:val="19A66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272E47"/>
    <w:multiLevelType w:val="hybridMultilevel"/>
    <w:tmpl w:val="0B32F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A6A407B"/>
    <w:multiLevelType w:val="hybridMultilevel"/>
    <w:tmpl w:val="DA3E0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6E49D3"/>
    <w:multiLevelType w:val="hybridMultilevel"/>
    <w:tmpl w:val="B4CA6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21179C"/>
    <w:multiLevelType w:val="hybridMultilevel"/>
    <w:tmpl w:val="05866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B2123BA"/>
    <w:multiLevelType w:val="hybridMultilevel"/>
    <w:tmpl w:val="A0463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B9344F1"/>
    <w:multiLevelType w:val="hybridMultilevel"/>
    <w:tmpl w:val="4BF43476"/>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BC66D69"/>
    <w:multiLevelType w:val="hybridMultilevel"/>
    <w:tmpl w:val="3DD80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73461F"/>
    <w:multiLevelType w:val="multilevel"/>
    <w:tmpl w:val="A262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E586E2A"/>
    <w:multiLevelType w:val="hybridMultilevel"/>
    <w:tmpl w:val="1E2CF59A"/>
    <w:lvl w:ilvl="0" w:tplc="9BB4F95C">
      <w:start w:val="1"/>
      <w:numFmt w:val="bullet"/>
      <w:lvlText w:val="•"/>
      <w:lvlJc w:val="left"/>
      <w:pPr>
        <w:tabs>
          <w:tab w:val="num" w:pos="720"/>
        </w:tabs>
        <w:ind w:left="720" w:hanging="360"/>
      </w:pPr>
      <w:rPr>
        <w:rFonts w:ascii="Arial" w:hAnsi="Arial" w:hint="default"/>
      </w:rPr>
    </w:lvl>
    <w:lvl w:ilvl="1" w:tplc="D8280456" w:tentative="1">
      <w:start w:val="1"/>
      <w:numFmt w:val="bullet"/>
      <w:lvlText w:val="•"/>
      <w:lvlJc w:val="left"/>
      <w:pPr>
        <w:tabs>
          <w:tab w:val="num" w:pos="1440"/>
        </w:tabs>
        <w:ind w:left="1440" w:hanging="360"/>
      </w:pPr>
      <w:rPr>
        <w:rFonts w:ascii="Arial" w:hAnsi="Arial" w:hint="default"/>
      </w:rPr>
    </w:lvl>
    <w:lvl w:ilvl="2" w:tplc="98A21B6C" w:tentative="1">
      <w:start w:val="1"/>
      <w:numFmt w:val="bullet"/>
      <w:lvlText w:val="•"/>
      <w:lvlJc w:val="left"/>
      <w:pPr>
        <w:tabs>
          <w:tab w:val="num" w:pos="2160"/>
        </w:tabs>
        <w:ind w:left="2160" w:hanging="360"/>
      </w:pPr>
      <w:rPr>
        <w:rFonts w:ascii="Arial" w:hAnsi="Arial" w:hint="default"/>
      </w:rPr>
    </w:lvl>
    <w:lvl w:ilvl="3" w:tplc="6D724F06" w:tentative="1">
      <w:start w:val="1"/>
      <w:numFmt w:val="bullet"/>
      <w:lvlText w:val="•"/>
      <w:lvlJc w:val="left"/>
      <w:pPr>
        <w:tabs>
          <w:tab w:val="num" w:pos="2880"/>
        </w:tabs>
        <w:ind w:left="2880" w:hanging="360"/>
      </w:pPr>
      <w:rPr>
        <w:rFonts w:ascii="Arial" w:hAnsi="Arial" w:hint="default"/>
      </w:rPr>
    </w:lvl>
    <w:lvl w:ilvl="4" w:tplc="2112FB06" w:tentative="1">
      <w:start w:val="1"/>
      <w:numFmt w:val="bullet"/>
      <w:lvlText w:val="•"/>
      <w:lvlJc w:val="left"/>
      <w:pPr>
        <w:tabs>
          <w:tab w:val="num" w:pos="3600"/>
        </w:tabs>
        <w:ind w:left="3600" w:hanging="360"/>
      </w:pPr>
      <w:rPr>
        <w:rFonts w:ascii="Arial" w:hAnsi="Arial" w:hint="default"/>
      </w:rPr>
    </w:lvl>
    <w:lvl w:ilvl="5" w:tplc="AFEA2AA6" w:tentative="1">
      <w:start w:val="1"/>
      <w:numFmt w:val="bullet"/>
      <w:lvlText w:val="•"/>
      <w:lvlJc w:val="left"/>
      <w:pPr>
        <w:tabs>
          <w:tab w:val="num" w:pos="4320"/>
        </w:tabs>
        <w:ind w:left="4320" w:hanging="360"/>
      </w:pPr>
      <w:rPr>
        <w:rFonts w:ascii="Arial" w:hAnsi="Arial" w:hint="default"/>
      </w:rPr>
    </w:lvl>
    <w:lvl w:ilvl="6" w:tplc="88C43604" w:tentative="1">
      <w:start w:val="1"/>
      <w:numFmt w:val="bullet"/>
      <w:lvlText w:val="•"/>
      <w:lvlJc w:val="left"/>
      <w:pPr>
        <w:tabs>
          <w:tab w:val="num" w:pos="5040"/>
        </w:tabs>
        <w:ind w:left="5040" w:hanging="360"/>
      </w:pPr>
      <w:rPr>
        <w:rFonts w:ascii="Arial" w:hAnsi="Arial" w:hint="default"/>
      </w:rPr>
    </w:lvl>
    <w:lvl w:ilvl="7" w:tplc="97D41C12" w:tentative="1">
      <w:start w:val="1"/>
      <w:numFmt w:val="bullet"/>
      <w:lvlText w:val="•"/>
      <w:lvlJc w:val="left"/>
      <w:pPr>
        <w:tabs>
          <w:tab w:val="num" w:pos="5760"/>
        </w:tabs>
        <w:ind w:left="5760" w:hanging="360"/>
      </w:pPr>
      <w:rPr>
        <w:rFonts w:ascii="Arial" w:hAnsi="Arial" w:hint="default"/>
      </w:rPr>
    </w:lvl>
    <w:lvl w:ilvl="8" w:tplc="3F1A5298" w:tentative="1">
      <w:start w:val="1"/>
      <w:numFmt w:val="bullet"/>
      <w:lvlText w:val="•"/>
      <w:lvlJc w:val="left"/>
      <w:pPr>
        <w:tabs>
          <w:tab w:val="num" w:pos="6480"/>
        </w:tabs>
        <w:ind w:left="6480" w:hanging="360"/>
      </w:pPr>
      <w:rPr>
        <w:rFonts w:ascii="Arial" w:hAnsi="Arial" w:hint="default"/>
      </w:rPr>
    </w:lvl>
  </w:abstractNum>
  <w:abstractNum w:abstractNumId="25">
    <w:nsid w:val="0EE772AB"/>
    <w:multiLevelType w:val="hybridMultilevel"/>
    <w:tmpl w:val="A880B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203204F"/>
    <w:multiLevelType w:val="hybridMultilevel"/>
    <w:tmpl w:val="671E6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2445D26"/>
    <w:multiLevelType w:val="hybridMultilevel"/>
    <w:tmpl w:val="021078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33D51A3"/>
    <w:multiLevelType w:val="hybridMultilevel"/>
    <w:tmpl w:val="62D27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55B6BBC"/>
    <w:multiLevelType w:val="hybridMultilevel"/>
    <w:tmpl w:val="B866A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14372B"/>
    <w:multiLevelType w:val="hybridMultilevel"/>
    <w:tmpl w:val="75408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6A8718A"/>
    <w:multiLevelType w:val="hybridMultilevel"/>
    <w:tmpl w:val="2A404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74866D3"/>
    <w:multiLevelType w:val="hybridMultilevel"/>
    <w:tmpl w:val="18C83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9B4446C"/>
    <w:multiLevelType w:val="hybridMultilevel"/>
    <w:tmpl w:val="4878A3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B0A12E3"/>
    <w:multiLevelType w:val="hybridMultilevel"/>
    <w:tmpl w:val="98D25906"/>
    <w:lvl w:ilvl="0" w:tplc="9EC44CA6">
      <w:start w:val="1"/>
      <w:numFmt w:val="bullet"/>
      <w:lvlText w:val="•"/>
      <w:lvlJc w:val="left"/>
      <w:pPr>
        <w:tabs>
          <w:tab w:val="num" w:pos="720"/>
        </w:tabs>
        <w:ind w:left="720" w:hanging="360"/>
      </w:pPr>
      <w:rPr>
        <w:rFonts w:ascii="Arial" w:hAnsi="Arial" w:hint="default"/>
      </w:rPr>
    </w:lvl>
    <w:lvl w:ilvl="1" w:tplc="E54889DE" w:tentative="1">
      <w:start w:val="1"/>
      <w:numFmt w:val="bullet"/>
      <w:lvlText w:val="•"/>
      <w:lvlJc w:val="left"/>
      <w:pPr>
        <w:tabs>
          <w:tab w:val="num" w:pos="1440"/>
        </w:tabs>
        <w:ind w:left="1440" w:hanging="360"/>
      </w:pPr>
      <w:rPr>
        <w:rFonts w:ascii="Arial" w:hAnsi="Arial" w:hint="default"/>
      </w:rPr>
    </w:lvl>
    <w:lvl w:ilvl="2" w:tplc="A4784118" w:tentative="1">
      <w:start w:val="1"/>
      <w:numFmt w:val="bullet"/>
      <w:lvlText w:val="•"/>
      <w:lvlJc w:val="left"/>
      <w:pPr>
        <w:tabs>
          <w:tab w:val="num" w:pos="2160"/>
        </w:tabs>
        <w:ind w:left="2160" w:hanging="360"/>
      </w:pPr>
      <w:rPr>
        <w:rFonts w:ascii="Arial" w:hAnsi="Arial" w:hint="default"/>
      </w:rPr>
    </w:lvl>
    <w:lvl w:ilvl="3" w:tplc="833E46CC" w:tentative="1">
      <w:start w:val="1"/>
      <w:numFmt w:val="bullet"/>
      <w:lvlText w:val="•"/>
      <w:lvlJc w:val="left"/>
      <w:pPr>
        <w:tabs>
          <w:tab w:val="num" w:pos="2880"/>
        </w:tabs>
        <w:ind w:left="2880" w:hanging="360"/>
      </w:pPr>
      <w:rPr>
        <w:rFonts w:ascii="Arial" w:hAnsi="Arial" w:hint="default"/>
      </w:rPr>
    </w:lvl>
    <w:lvl w:ilvl="4" w:tplc="711A7D30" w:tentative="1">
      <w:start w:val="1"/>
      <w:numFmt w:val="bullet"/>
      <w:lvlText w:val="•"/>
      <w:lvlJc w:val="left"/>
      <w:pPr>
        <w:tabs>
          <w:tab w:val="num" w:pos="3600"/>
        </w:tabs>
        <w:ind w:left="3600" w:hanging="360"/>
      </w:pPr>
      <w:rPr>
        <w:rFonts w:ascii="Arial" w:hAnsi="Arial" w:hint="default"/>
      </w:rPr>
    </w:lvl>
    <w:lvl w:ilvl="5" w:tplc="02E08EB0" w:tentative="1">
      <w:start w:val="1"/>
      <w:numFmt w:val="bullet"/>
      <w:lvlText w:val="•"/>
      <w:lvlJc w:val="left"/>
      <w:pPr>
        <w:tabs>
          <w:tab w:val="num" w:pos="4320"/>
        </w:tabs>
        <w:ind w:left="4320" w:hanging="360"/>
      </w:pPr>
      <w:rPr>
        <w:rFonts w:ascii="Arial" w:hAnsi="Arial" w:hint="default"/>
      </w:rPr>
    </w:lvl>
    <w:lvl w:ilvl="6" w:tplc="770C9518" w:tentative="1">
      <w:start w:val="1"/>
      <w:numFmt w:val="bullet"/>
      <w:lvlText w:val="•"/>
      <w:lvlJc w:val="left"/>
      <w:pPr>
        <w:tabs>
          <w:tab w:val="num" w:pos="5040"/>
        </w:tabs>
        <w:ind w:left="5040" w:hanging="360"/>
      </w:pPr>
      <w:rPr>
        <w:rFonts w:ascii="Arial" w:hAnsi="Arial" w:hint="default"/>
      </w:rPr>
    </w:lvl>
    <w:lvl w:ilvl="7" w:tplc="5B9E4E70" w:tentative="1">
      <w:start w:val="1"/>
      <w:numFmt w:val="bullet"/>
      <w:lvlText w:val="•"/>
      <w:lvlJc w:val="left"/>
      <w:pPr>
        <w:tabs>
          <w:tab w:val="num" w:pos="5760"/>
        </w:tabs>
        <w:ind w:left="5760" w:hanging="360"/>
      </w:pPr>
      <w:rPr>
        <w:rFonts w:ascii="Arial" w:hAnsi="Arial" w:hint="default"/>
      </w:rPr>
    </w:lvl>
    <w:lvl w:ilvl="8" w:tplc="726C03C2" w:tentative="1">
      <w:start w:val="1"/>
      <w:numFmt w:val="bullet"/>
      <w:lvlText w:val="•"/>
      <w:lvlJc w:val="left"/>
      <w:pPr>
        <w:tabs>
          <w:tab w:val="num" w:pos="6480"/>
        </w:tabs>
        <w:ind w:left="6480" w:hanging="360"/>
      </w:pPr>
      <w:rPr>
        <w:rFonts w:ascii="Arial" w:hAnsi="Arial" w:hint="default"/>
      </w:rPr>
    </w:lvl>
  </w:abstractNum>
  <w:abstractNum w:abstractNumId="35">
    <w:nsid w:val="1D1F599D"/>
    <w:multiLevelType w:val="hybridMultilevel"/>
    <w:tmpl w:val="4E0C7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DE040FD"/>
    <w:multiLevelType w:val="hybridMultilevel"/>
    <w:tmpl w:val="67522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E642C66"/>
    <w:multiLevelType w:val="hybridMultilevel"/>
    <w:tmpl w:val="8A205F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EF3062D"/>
    <w:multiLevelType w:val="hybridMultilevel"/>
    <w:tmpl w:val="51DCC8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F716BB3"/>
    <w:multiLevelType w:val="hybridMultilevel"/>
    <w:tmpl w:val="F6ACBF1A"/>
    <w:lvl w:ilvl="0" w:tplc="DDB89D4A">
      <w:start w:val="1"/>
      <w:numFmt w:val="bullet"/>
      <w:lvlText w:val="•"/>
      <w:lvlJc w:val="left"/>
      <w:pPr>
        <w:tabs>
          <w:tab w:val="num" w:pos="720"/>
        </w:tabs>
        <w:ind w:left="720" w:hanging="360"/>
      </w:pPr>
      <w:rPr>
        <w:rFonts w:ascii="Arial" w:hAnsi="Arial" w:hint="default"/>
      </w:rPr>
    </w:lvl>
    <w:lvl w:ilvl="1" w:tplc="9B46685A" w:tentative="1">
      <w:start w:val="1"/>
      <w:numFmt w:val="bullet"/>
      <w:lvlText w:val="•"/>
      <w:lvlJc w:val="left"/>
      <w:pPr>
        <w:tabs>
          <w:tab w:val="num" w:pos="1440"/>
        </w:tabs>
        <w:ind w:left="1440" w:hanging="360"/>
      </w:pPr>
      <w:rPr>
        <w:rFonts w:ascii="Arial" w:hAnsi="Arial" w:hint="default"/>
      </w:rPr>
    </w:lvl>
    <w:lvl w:ilvl="2" w:tplc="9ED6233A" w:tentative="1">
      <w:start w:val="1"/>
      <w:numFmt w:val="bullet"/>
      <w:lvlText w:val="•"/>
      <w:lvlJc w:val="left"/>
      <w:pPr>
        <w:tabs>
          <w:tab w:val="num" w:pos="2160"/>
        </w:tabs>
        <w:ind w:left="2160" w:hanging="360"/>
      </w:pPr>
      <w:rPr>
        <w:rFonts w:ascii="Arial" w:hAnsi="Arial" w:hint="default"/>
      </w:rPr>
    </w:lvl>
    <w:lvl w:ilvl="3" w:tplc="D450B8D4" w:tentative="1">
      <w:start w:val="1"/>
      <w:numFmt w:val="bullet"/>
      <w:lvlText w:val="•"/>
      <w:lvlJc w:val="left"/>
      <w:pPr>
        <w:tabs>
          <w:tab w:val="num" w:pos="2880"/>
        </w:tabs>
        <w:ind w:left="2880" w:hanging="360"/>
      </w:pPr>
      <w:rPr>
        <w:rFonts w:ascii="Arial" w:hAnsi="Arial" w:hint="default"/>
      </w:rPr>
    </w:lvl>
    <w:lvl w:ilvl="4" w:tplc="238C14C8" w:tentative="1">
      <w:start w:val="1"/>
      <w:numFmt w:val="bullet"/>
      <w:lvlText w:val="•"/>
      <w:lvlJc w:val="left"/>
      <w:pPr>
        <w:tabs>
          <w:tab w:val="num" w:pos="3600"/>
        </w:tabs>
        <w:ind w:left="3600" w:hanging="360"/>
      </w:pPr>
      <w:rPr>
        <w:rFonts w:ascii="Arial" w:hAnsi="Arial" w:hint="default"/>
      </w:rPr>
    </w:lvl>
    <w:lvl w:ilvl="5" w:tplc="AAF87D58" w:tentative="1">
      <w:start w:val="1"/>
      <w:numFmt w:val="bullet"/>
      <w:lvlText w:val="•"/>
      <w:lvlJc w:val="left"/>
      <w:pPr>
        <w:tabs>
          <w:tab w:val="num" w:pos="4320"/>
        </w:tabs>
        <w:ind w:left="4320" w:hanging="360"/>
      </w:pPr>
      <w:rPr>
        <w:rFonts w:ascii="Arial" w:hAnsi="Arial" w:hint="default"/>
      </w:rPr>
    </w:lvl>
    <w:lvl w:ilvl="6" w:tplc="1DCA19F0" w:tentative="1">
      <w:start w:val="1"/>
      <w:numFmt w:val="bullet"/>
      <w:lvlText w:val="•"/>
      <w:lvlJc w:val="left"/>
      <w:pPr>
        <w:tabs>
          <w:tab w:val="num" w:pos="5040"/>
        </w:tabs>
        <w:ind w:left="5040" w:hanging="360"/>
      </w:pPr>
      <w:rPr>
        <w:rFonts w:ascii="Arial" w:hAnsi="Arial" w:hint="default"/>
      </w:rPr>
    </w:lvl>
    <w:lvl w:ilvl="7" w:tplc="7BEEE48E" w:tentative="1">
      <w:start w:val="1"/>
      <w:numFmt w:val="bullet"/>
      <w:lvlText w:val="•"/>
      <w:lvlJc w:val="left"/>
      <w:pPr>
        <w:tabs>
          <w:tab w:val="num" w:pos="5760"/>
        </w:tabs>
        <w:ind w:left="5760" w:hanging="360"/>
      </w:pPr>
      <w:rPr>
        <w:rFonts w:ascii="Arial" w:hAnsi="Arial" w:hint="default"/>
      </w:rPr>
    </w:lvl>
    <w:lvl w:ilvl="8" w:tplc="DC5679A0" w:tentative="1">
      <w:start w:val="1"/>
      <w:numFmt w:val="bullet"/>
      <w:lvlText w:val="•"/>
      <w:lvlJc w:val="left"/>
      <w:pPr>
        <w:tabs>
          <w:tab w:val="num" w:pos="6480"/>
        </w:tabs>
        <w:ind w:left="6480" w:hanging="360"/>
      </w:pPr>
      <w:rPr>
        <w:rFonts w:ascii="Arial" w:hAnsi="Arial" w:hint="default"/>
      </w:rPr>
    </w:lvl>
  </w:abstractNum>
  <w:abstractNum w:abstractNumId="40">
    <w:nsid w:val="2296153E"/>
    <w:multiLevelType w:val="hybridMultilevel"/>
    <w:tmpl w:val="5BEA9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3BD4C36"/>
    <w:multiLevelType w:val="hybridMultilevel"/>
    <w:tmpl w:val="DB0A8E6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2">
    <w:nsid w:val="25EA2F0F"/>
    <w:multiLevelType w:val="hybridMultilevel"/>
    <w:tmpl w:val="36D4C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6C91CCD"/>
    <w:multiLevelType w:val="hybridMultilevel"/>
    <w:tmpl w:val="5C7A1C96"/>
    <w:lvl w:ilvl="0" w:tplc="240A212A">
      <w:start w:val="1"/>
      <w:numFmt w:val="bullet"/>
      <w:lvlText w:val="•"/>
      <w:lvlJc w:val="left"/>
      <w:pPr>
        <w:tabs>
          <w:tab w:val="num" w:pos="720"/>
        </w:tabs>
        <w:ind w:left="720" w:hanging="360"/>
      </w:pPr>
      <w:rPr>
        <w:rFonts w:ascii="Arial" w:hAnsi="Arial" w:hint="default"/>
      </w:rPr>
    </w:lvl>
    <w:lvl w:ilvl="1" w:tplc="BB425FB6" w:tentative="1">
      <w:start w:val="1"/>
      <w:numFmt w:val="bullet"/>
      <w:lvlText w:val="•"/>
      <w:lvlJc w:val="left"/>
      <w:pPr>
        <w:tabs>
          <w:tab w:val="num" w:pos="1440"/>
        </w:tabs>
        <w:ind w:left="1440" w:hanging="360"/>
      </w:pPr>
      <w:rPr>
        <w:rFonts w:ascii="Arial" w:hAnsi="Arial" w:hint="default"/>
      </w:rPr>
    </w:lvl>
    <w:lvl w:ilvl="2" w:tplc="31808B54" w:tentative="1">
      <w:start w:val="1"/>
      <w:numFmt w:val="bullet"/>
      <w:lvlText w:val="•"/>
      <w:lvlJc w:val="left"/>
      <w:pPr>
        <w:tabs>
          <w:tab w:val="num" w:pos="2160"/>
        </w:tabs>
        <w:ind w:left="2160" w:hanging="360"/>
      </w:pPr>
      <w:rPr>
        <w:rFonts w:ascii="Arial" w:hAnsi="Arial" w:hint="default"/>
      </w:rPr>
    </w:lvl>
    <w:lvl w:ilvl="3" w:tplc="9588FD14" w:tentative="1">
      <w:start w:val="1"/>
      <w:numFmt w:val="bullet"/>
      <w:lvlText w:val="•"/>
      <w:lvlJc w:val="left"/>
      <w:pPr>
        <w:tabs>
          <w:tab w:val="num" w:pos="2880"/>
        </w:tabs>
        <w:ind w:left="2880" w:hanging="360"/>
      </w:pPr>
      <w:rPr>
        <w:rFonts w:ascii="Arial" w:hAnsi="Arial" w:hint="default"/>
      </w:rPr>
    </w:lvl>
    <w:lvl w:ilvl="4" w:tplc="6F322C5E" w:tentative="1">
      <w:start w:val="1"/>
      <w:numFmt w:val="bullet"/>
      <w:lvlText w:val="•"/>
      <w:lvlJc w:val="left"/>
      <w:pPr>
        <w:tabs>
          <w:tab w:val="num" w:pos="3600"/>
        </w:tabs>
        <w:ind w:left="3600" w:hanging="360"/>
      </w:pPr>
      <w:rPr>
        <w:rFonts w:ascii="Arial" w:hAnsi="Arial" w:hint="default"/>
      </w:rPr>
    </w:lvl>
    <w:lvl w:ilvl="5" w:tplc="9566D024" w:tentative="1">
      <w:start w:val="1"/>
      <w:numFmt w:val="bullet"/>
      <w:lvlText w:val="•"/>
      <w:lvlJc w:val="left"/>
      <w:pPr>
        <w:tabs>
          <w:tab w:val="num" w:pos="4320"/>
        </w:tabs>
        <w:ind w:left="4320" w:hanging="360"/>
      </w:pPr>
      <w:rPr>
        <w:rFonts w:ascii="Arial" w:hAnsi="Arial" w:hint="default"/>
      </w:rPr>
    </w:lvl>
    <w:lvl w:ilvl="6" w:tplc="9AC4EA36" w:tentative="1">
      <w:start w:val="1"/>
      <w:numFmt w:val="bullet"/>
      <w:lvlText w:val="•"/>
      <w:lvlJc w:val="left"/>
      <w:pPr>
        <w:tabs>
          <w:tab w:val="num" w:pos="5040"/>
        </w:tabs>
        <w:ind w:left="5040" w:hanging="360"/>
      </w:pPr>
      <w:rPr>
        <w:rFonts w:ascii="Arial" w:hAnsi="Arial" w:hint="default"/>
      </w:rPr>
    </w:lvl>
    <w:lvl w:ilvl="7" w:tplc="DF4E4BCA" w:tentative="1">
      <w:start w:val="1"/>
      <w:numFmt w:val="bullet"/>
      <w:lvlText w:val="•"/>
      <w:lvlJc w:val="left"/>
      <w:pPr>
        <w:tabs>
          <w:tab w:val="num" w:pos="5760"/>
        </w:tabs>
        <w:ind w:left="5760" w:hanging="360"/>
      </w:pPr>
      <w:rPr>
        <w:rFonts w:ascii="Arial" w:hAnsi="Arial" w:hint="default"/>
      </w:rPr>
    </w:lvl>
    <w:lvl w:ilvl="8" w:tplc="03FA0956" w:tentative="1">
      <w:start w:val="1"/>
      <w:numFmt w:val="bullet"/>
      <w:lvlText w:val="•"/>
      <w:lvlJc w:val="left"/>
      <w:pPr>
        <w:tabs>
          <w:tab w:val="num" w:pos="6480"/>
        </w:tabs>
        <w:ind w:left="6480" w:hanging="360"/>
      </w:pPr>
      <w:rPr>
        <w:rFonts w:ascii="Arial" w:hAnsi="Arial" w:hint="default"/>
      </w:rPr>
    </w:lvl>
  </w:abstractNum>
  <w:abstractNum w:abstractNumId="44">
    <w:nsid w:val="27A92764"/>
    <w:multiLevelType w:val="hybridMultilevel"/>
    <w:tmpl w:val="C46C0300"/>
    <w:lvl w:ilvl="0" w:tplc="84B80B94">
      <w:start w:val="1"/>
      <w:numFmt w:val="bullet"/>
      <w:lvlText w:val="•"/>
      <w:lvlJc w:val="left"/>
      <w:pPr>
        <w:tabs>
          <w:tab w:val="num" w:pos="720"/>
        </w:tabs>
        <w:ind w:left="720" w:hanging="360"/>
      </w:pPr>
      <w:rPr>
        <w:rFonts w:ascii="Arial" w:hAnsi="Arial" w:hint="default"/>
      </w:rPr>
    </w:lvl>
    <w:lvl w:ilvl="1" w:tplc="A4B43926" w:tentative="1">
      <w:start w:val="1"/>
      <w:numFmt w:val="bullet"/>
      <w:lvlText w:val="•"/>
      <w:lvlJc w:val="left"/>
      <w:pPr>
        <w:tabs>
          <w:tab w:val="num" w:pos="1440"/>
        </w:tabs>
        <w:ind w:left="1440" w:hanging="360"/>
      </w:pPr>
      <w:rPr>
        <w:rFonts w:ascii="Arial" w:hAnsi="Arial" w:hint="default"/>
      </w:rPr>
    </w:lvl>
    <w:lvl w:ilvl="2" w:tplc="E9E453EA" w:tentative="1">
      <w:start w:val="1"/>
      <w:numFmt w:val="bullet"/>
      <w:lvlText w:val="•"/>
      <w:lvlJc w:val="left"/>
      <w:pPr>
        <w:tabs>
          <w:tab w:val="num" w:pos="2160"/>
        </w:tabs>
        <w:ind w:left="2160" w:hanging="360"/>
      </w:pPr>
      <w:rPr>
        <w:rFonts w:ascii="Arial" w:hAnsi="Arial" w:hint="default"/>
      </w:rPr>
    </w:lvl>
    <w:lvl w:ilvl="3" w:tplc="A0068770" w:tentative="1">
      <w:start w:val="1"/>
      <w:numFmt w:val="bullet"/>
      <w:lvlText w:val="•"/>
      <w:lvlJc w:val="left"/>
      <w:pPr>
        <w:tabs>
          <w:tab w:val="num" w:pos="2880"/>
        </w:tabs>
        <w:ind w:left="2880" w:hanging="360"/>
      </w:pPr>
      <w:rPr>
        <w:rFonts w:ascii="Arial" w:hAnsi="Arial" w:hint="default"/>
      </w:rPr>
    </w:lvl>
    <w:lvl w:ilvl="4" w:tplc="596CFD30" w:tentative="1">
      <w:start w:val="1"/>
      <w:numFmt w:val="bullet"/>
      <w:lvlText w:val="•"/>
      <w:lvlJc w:val="left"/>
      <w:pPr>
        <w:tabs>
          <w:tab w:val="num" w:pos="3600"/>
        </w:tabs>
        <w:ind w:left="3600" w:hanging="360"/>
      </w:pPr>
      <w:rPr>
        <w:rFonts w:ascii="Arial" w:hAnsi="Arial" w:hint="default"/>
      </w:rPr>
    </w:lvl>
    <w:lvl w:ilvl="5" w:tplc="B366CCE2" w:tentative="1">
      <w:start w:val="1"/>
      <w:numFmt w:val="bullet"/>
      <w:lvlText w:val="•"/>
      <w:lvlJc w:val="left"/>
      <w:pPr>
        <w:tabs>
          <w:tab w:val="num" w:pos="4320"/>
        </w:tabs>
        <w:ind w:left="4320" w:hanging="360"/>
      </w:pPr>
      <w:rPr>
        <w:rFonts w:ascii="Arial" w:hAnsi="Arial" w:hint="default"/>
      </w:rPr>
    </w:lvl>
    <w:lvl w:ilvl="6" w:tplc="9230E288" w:tentative="1">
      <w:start w:val="1"/>
      <w:numFmt w:val="bullet"/>
      <w:lvlText w:val="•"/>
      <w:lvlJc w:val="left"/>
      <w:pPr>
        <w:tabs>
          <w:tab w:val="num" w:pos="5040"/>
        </w:tabs>
        <w:ind w:left="5040" w:hanging="360"/>
      </w:pPr>
      <w:rPr>
        <w:rFonts w:ascii="Arial" w:hAnsi="Arial" w:hint="default"/>
      </w:rPr>
    </w:lvl>
    <w:lvl w:ilvl="7" w:tplc="38BCF3F8" w:tentative="1">
      <w:start w:val="1"/>
      <w:numFmt w:val="bullet"/>
      <w:lvlText w:val="•"/>
      <w:lvlJc w:val="left"/>
      <w:pPr>
        <w:tabs>
          <w:tab w:val="num" w:pos="5760"/>
        </w:tabs>
        <w:ind w:left="5760" w:hanging="360"/>
      </w:pPr>
      <w:rPr>
        <w:rFonts w:ascii="Arial" w:hAnsi="Arial" w:hint="default"/>
      </w:rPr>
    </w:lvl>
    <w:lvl w:ilvl="8" w:tplc="3C026DF4" w:tentative="1">
      <w:start w:val="1"/>
      <w:numFmt w:val="bullet"/>
      <w:lvlText w:val="•"/>
      <w:lvlJc w:val="left"/>
      <w:pPr>
        <w:tabs>
          <w:tab w:val="num" w:pos="6480"/>
        </w:tabs>
        <w:ind w:left="6480" w:hanging="360"/>
      </w:pPr>
      <w:rPr>
        <w:rFonts w:ascii="Arial" w:hAnsi="Arial" w:hint="default"/>
      </w:rPr>
    </w:lvl>
  </w:abstractNum>
  <w:abstractNum w:abstractNumId="45">
    <w:nsid w:val="27E77323"/>
    <w:multiLevelType w:val="hybridMultilevel"/>
    <w:tmpl w:val="A06A9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824179F"/>
    <w:multiLevelType w:val="hybridMultilevel"/>
    <w:tmpl w:val="B7ACE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8724B5A"/>
    <w:multiLevelType w:val="hybridMultilevel"/>
    <w:tmpl w:val="C7848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9C828FE"/>
    <w:multiLevelType w:val="hybridMultilevel"/>
    <w:tmpl w:val="B9688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BE94DC8"/>
    <w:multiLevelType w:val="hybridMultilevel"/>
    <w:tmpl w:val="62F6D8C8"/>
    <w:lvl w:ilvl="0" w:tplc="E962033A">
      <w:start w:val="1"/>
      <w:numFmt w:val="bullet"/>
      <w:lvlText w:val="•"/>
      <w:lvlJc w:val="left"/>
      <w:pPr>
        <w:tabs>
          <w:tab w:val="num" w:pos="720"/>
        </w:tabs>
        <w:ind w:left="720" w:hanging="360"/>
      </w:pPr>
      <w:rPr>
        <w:rFonts w:ascii="Arial" w:hAnsi="Arial" w:hint="default"/>
      </w:rPr>
    </w:lvl>
    <w:lvl w:ilvl="1" w:tplc="06E84DBC" w:tentative="1">
      <w:start w:val="1"/>
      <w:numFmt w:val="bullet"/>
      <w:lvlText w:val="•"/>
      <w:lvlJc w:val="left"/>
      <w:pPr>
        <w:tabs>
          <w:tab w:val="num" w:pos="1440"/>
        </w:tabs>
        <w:ind w:left="1440" w:hanging="360"/>
      </w:pPr>
      <w:rPr>
        <w:rFonts w:ascii="Arial" w:hAnsi="Arial" w:hint="default"/>
      </w:rPr>
    </w:lvl>
    <w:lvl w:ilvl="2" w:tplc="8A2E7618" w:tentative="1">
      <w:start w:val="1"/>
      <w:numFmt w:val="bullet"/>
      <w:lvlText w:val="•"/>
      <w:lvlJc w:val="left"/>
      <w:pPr>
        <w:tabs>
          <w:tab w:val="num" w:pos="2160"/>
        </w:tabs>
        <w:ind w:left="2160" w:hanging="360"/>
      </w:pPr>
      <w:rPr>
        <w:rFonts w:ascii="Arial" w:hAnsi="Arial" w:hint="default"/>
      </w:rPr>
    </w:lvl>
    <w:lvl w:ilvl="3" w:tplc="1BD407E6" w:tentative="1">
      <w:start w:val="1"/>
      <w:numFmt w:val="bullet"/>
      <w:lvlText w:val="•"/>
      <w:lvlJc w:val="left"/>
      <w:pPr>
        <w:tabs>
          <w:tab w:val="num" w:pos="2880"/>
        </w:tabs>
        <w:ind w:left="2880" w:hanging="360"/>
      </w:pPr>
      <w:rPr>
        <w:rFonts w:ascii="Arial" w:hAnsi="Arial" w:hint="default"/>
      </w:rPr>
    </w:lvl>
    <w:lvl w:ilvl="4" w:tplc="6CDEDE6E" w:tentative="1">
      <w:start w:val="1"/>
      <w:numFmt w:val="bullet"/>
      <w:lvlText w:val="•"/>
      <w:lvlJc w:val="left"/>
      <w:pPr>
        <w:tabs>
          <w:tab w:val="num" w:pos="3600"/>
        </w:tabs>
        <w:ind w:left="3600" w:hanging="360"/>
      </w:pPr>
      <w:rPr>
        <w:rFonts w:ascii="Arial" w:hAnsi="Arial" w:hint="default"/>
      </w:rPr>
    </w:lvl>
    <w:lvl w:ilvl="5" w:tplc="DFBA7716" w:tentative="1">
      <w:start w:val="1"/>
      <w:numFmt w:val="bullet"/>
      <w:lvlText w:val="•"/>
      <w:lvlJc w:val="left"/>
      <w:pPr>
        <w:tabs>
          <w:tab w:val="num" w:pos="4320"/>
        </w:tabs>
        <w:ind w:left="4320" w:hanging="360"/>
      </w:pPr>
      <w:rPr>
        <w:rFonts w:ascii="Arial" w:hAnsi="Arial" w:hint="default"/>
      </w:rPr>
    </w:lvl>
    <w:lvl w:ilvl="6" w:tplc="199A7C18" w:tentative="1">
      <w:start w:val="1"/>
      <w:numFmt w:val="bullet"/>
      <w:lvlText w:val="•"/>
      <w:lvlJc w:val="left"/>
      <w:pPr>
        <w:tabs>
          <w:tab w:val="num" w:pos="5040"/>
        </w:tabs>
        <w:ind w:left="5040" w:hanging="360"/>
      </w:pPr>
      <w:rPr>
        <w:rFonts w:ascii="Arial" w:hAnsi="Arial" w:hint="default"/>
      </w:rPr>
    </w:lvl>
    <w:lvl w:ilvl="7" w:tplc="49F80A8C" w:tentative="1">
      <w:start w:val="1"/>
      <w:numFmt w:val="bullet"/>
      <w:lvlText w:val="•"/>
      <w:lvlJc w:val="left"/>
      <w:pPr>
        <w:tabs>
          <w:tab w:val="num" w:pos="5760"/>
        </w:tabs>
        <w:ind w:left="5760" w:hanging="360"/>
      </w:pPr>
      <w:rPr>
        <w:rFonts w:ascii="Arial" w:hAnsi="Arial" w:hint="default"/>
      </w:rPr>
    </w:lvl>
    <w:lvl w:ilvl="8" w:tplc="0F5A5754" w:tentative="1">
      <w:start w:val="1"/>
      <w:numFmt w:val="bullet"/>
      <w:lvlText w:val="•"/>
      <w:lvlJc w:val="left"/>
      <w:pPr>
        <w:tabs>
          <w:tab w:val="num" w:pos="6480"/>
        </w:tabs>
        <w:ind w:left="6480" w:hanging="360"/>
      </w:pPr>
      <w:rPr>
        <w:rFonts w:ascii="Arial" w:hAnsi="Arial" w:hint="default"/>
      </w:rPr>
    </w:lvl>
  </w:abstractNum>
  <w:abstractNum w:abstractNumId="50">
    <w:nsid w:val="2ED611F3"/>
    <w:multiLevelType w:val="hybridMultilevel"/>
    <w:tmpl w:val="B42C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FBD1312"/>
    <w:multiLevelType w:val="hybridMultilevel"/>
    <w:tmpl w:val="8C34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0C36B85"/>
    <w:multiLevelType w:val="hybridMultilevel"/>
    <w:tmpl w:val="5A828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28A1893"/>
    <w:multiLevelType w:val="hybridMultilevel"/>
    <w:tmpl w:val="D2E67AE8"/>
    <w:lvl w:ilvl="0" w:tplc="A79CBBB2">
      <w:start w:val="1"/>
      <w:numFmt w:val="bullet"/>
      <w:lvlText w:val="•"/>
      <w:lvlJc w:val="left"/>
      <w:pPr>
        <w:tabs>
          <w:tab w:val="num" w:pos="720"/>
        </w:tabs>
        <w:ind w:left="720" w:hanging="360"/>
      </w:pPr>
      <w:rPr>
        <w:rFonts w:ascii="Arial" w:hAnsi="Arial" w:hint="default"/>
      </w:rPr>
    </w:lvl>
    <w:lvl w:ilvl="1" w:tplc="0EF8B7A4" w:tentative="1">
      <w:start w:val="1"/>
      <w:numFmt w:val="bullet"/>
      <w:lvlText w:val="•"/>
      <w:lvlJc w:val="left"/>
      <w:pPr>
        <w:tabs>
          <w:tab w:val="num" w:pos="1440"/>
        </w:tabs>
        <w:ind w:left="1440" w:hanging="360"/>
      </w:pPr>
      <w:rPr>
        <w:rFonts w:ascii="Arial" w:hAnsi="Arial" w:hint="default"/>
      </w:rPr>
    </w:lvl>
    <w:lvl w:ilvl="2" w:tplc="83746BB0" w:tentative="1">
      <w:start w:val="1"/>
      <w:numFmt w:val="bullet"/>
      <w:lvlText w:val="•"/>
      <w:lvlJc w:val="left"/>
      <w:pPr>
        <w:tabs>
          <w:tab w:val="num" w:pos="2160"/>
        </w:tabs>
        <w:ind w:left="2160" w:hanging="360"/>
      </w:pPr>
      <w:rPr>
        <w:rFonts w:ascii="Arial" w:hAnsi="Arial" w:hint="default"/>
      </w:rPr>
    </w:lvl>
    <w:lvl w:ilvl="3" w:tplc="AF027840" w:tentative="1">
      <w:start w:val="1"/>
      <w:numFmt w:val="bullet"/>
      <w:lvlText w:val="•"/>
      <w:lvlJc w:val="left"/>
      <w:pPr>
        <w:tabs>
          <w:tab w:val="num" w:pos="2880"/>
        </w:tabs>
        <w:ind w:left="2880" w:hanging="360"/>
      </w:pPr>
      <w:rPr>
        <w:rFonts w:ascii="Arial" w:hAnsi="Arial" w:hint="default"/>
      </w:rPr>
    </w:lvl>
    <w:lvl w:ilvl="4" w:tplc="BCB04678" w:tentative="1">
      <w:start w:val="1"/>
      <w:numFmt w:val="bullet"/>
      <w:lvlText w:val="•"/>
      <w:lvlJc w:val="left"/>
      <w:pPr>
        <w:tabs>
          <w:tab w:val="num" w:pos="3600"/>
        </w:tabs>
        <w:ind w:left="3600" w:hanging="360"/>
      </w:pPr>
      <w:rPr>
        <w:rFonts w:ascii="Arial" w:hAnsi="Arial" w:hint="default"/>
      </w:rPr>
    </w:lvl>
    <w:lvl w:ilvl="5" w:tplc="DF229F64" w:tentative="1">
      <w:start w:val="1"/>
      <w:numFmt w:val="bullet"/>
      <w:lvlText w:val="•"/>
      <w:lvlJc w:val="left"/>
      <w:pPr>
        <w:tabs>
          <w:tab w:val="num" w:pos="4320"/>
        </w:tabs>
        <w:ind w:left="4320" w:hanging="360"/>
      </w:pPr>
      <w:rPr>
        <w:rFonts w:ascii="Arial" w:hAnsi="Arial" w:hint="default"/>
      </w:rPr>
    </w:lvl>
    <w:lvl w:ilvl="6" w:tplc="3AAC4A22" w:tentative="1">
      <w:start w:val="1"/>
      <w:numFmt w:val="bullet"/>
      <w:lvlText w:val="•"/>
      <w:lvlJc w:val="left"/>
      <w:pPr>
        <w:tabs>
          <w:tab w:val="num" w:pos="5040"/>
        </w:tabs>
        <w:ind w:left="5040" w:hanging="360"/>
      </w:pPr>
      <w:rPr>
        <w:rFonts w:ascii="Arial" w:hAnsi="Arial" w:hint="default"/>
      </w:rPr>
    </w:lvl>
    <w:lvl w:ilvl="7" w:tplc="58DE9C5A" w:tentative="1">
      <w:start w:val="1"/>
      <w:numFmt w:val="bullet"/>
      <w:lvlText w:val="•"/>
      <w:lvlJc w:val="left"/>
      <w:pPr>
        <w:tabs>
          <w:tab w:val="num" w:pos="5760"/>
        </w:tabs>
        <w:ind w:left="5760" w:hanging="360"/>
      </w:pPr>
      <w:rPr>
        <w:rFonts w:ascii="Arial" w:hAnsi="Arial" w:hint="default"/>
      </w:rPr>
    </w:lvl>
    <w:lvl w:ilvl="8" w:tplc="D9C85404" w:tentative="1">
      <w:start w:val="1"/>
      <w:numFmt w:val="bullet"/>
      <w:lvlText w:val="•"/>
      <w:lvlJc w:val="left"/>
      <w:pPr>
        <w:tabs>
          <w:tab w:val="num" w:pos="6480"/>
        </w:tabs>
        <w:ind w:left="6480" w:hanging="360"/>
      </w:pPr>
      <w:rPr>
        <w:rFonts w:ascii="Arial" w:hAnsi="Arial" w:hint="default"/>
      </w:rPr>
    </w:lvl>
  </w:abstractNum>
  <w:abstractNum w:abstractNumId="54">
    <w:nsid w:val="3323092D"/>
    <w:multiLevelType w:val="hybridMultilevel"/>
    <w:tmpl w:val="57688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3312F7D"/>
    <w:multiLevelType w:val="hybridMultilevel"/>
    <w:tmpl w:val="19B48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53E3D61"/>
    <w:multiLevelType w:val="hybridMultilevel"/>
    <w:tmpl w:val="09A44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4D0AC3"/>
    <w:multiLevelType w:val="hybridMultilevel"/>
    <w:tmpl w:val="0A3C1E26"/>
    <w:lvl w:ilvl="0" w:tplc="024A14C6">
      <w:start w:val="1"/>
      <w:numFmt w:val="bullet"/>
      <w:lvlText w:val="•"/>
      <w:lvlJc w:val="left"/>
      <w:pPr>
        <w:tabs>
          <w:tab w:val="num" w:pos="720"/>
        </w:tabs>
        <w:ind w:left="720" w:hanging="360"/>
      </w:pPr>
      <w:rPr>
        <w:rFonts w:ascii="Arial" w:hAnsi="Arial" w:hint="default"/>
      </w:rPr>
    </w:lvl>
    <w:lvl w:ilvl="1" w:tplc="6976671E" w:tentative="1">
      <w:start w:val="1"/>
      <w:numFmt w:val="bullet"/>
      <w:lvlText w:val="•"/>
      <w:lvlJc w:val="left"/>
      <w:pPr>
        <w:tabs>
          <w:tab w:val="num" w:pos="1440"/>
        </w:tabs>
        <w:ind w:left="1440" w:hanging="360"/>
      </w:pPr>
      <w:rPr>
        <w:rFonts w:ascii="Arial" w:hAnsi="Arial" w:hint="default"/>
      </w:rPr>
    </w:lvl>
    <w:lvl w:ilvl="2" w:tplc="4FB2E718" w:tentative="1">
      <w:start w:val="1"/>
      <w:numFmt w:val="bullet"/>
      <w:lvlText w:val="•"/>
      <w:lvlJc w:val="left"/>
      <w:pPr>
        <w:tabs>
          <w:tab w:val="num" w:pos="2160"/>
        </w:tabs>
        <w:ind w:left="2160" w:hanging="360"/>
      </w:pPr>
      <w:rPr>
        <w:rFonts w:ascii="Arial" w:hAnsi="Arial" w:hint="default"/>
      </w:rPr>
    </w:lvl>
    <w:lvl w:ilvl="3" w:tplc="2E62AA6C" w:tentative="1">
      <w:start w:val="1"/>
      <w:numFmt w:val="bullet"/>
      <w:lvlText w:val="•"/>
      <w:lvlJc w:val="left"/>
      <w:pPr>
        <w:tabs>
          <w:tab w:val="num" w:pos="2880"/>
        </w:tabs>
        <w:ind w:left="2880" w:hanging="360"/>
      </w:pPr>
      <w:rPr>
        <w:rFonts w:ascii="Arial" w:hAnsi="Arial" w:hint="default"/>
      </w:rPr>
    </w:lvl>
    <w:lvl w:ilvl="4" w:tplc="A38CDE5C" w:tentative="1">
      <w:start w:val="1"/>
      <w:numFmt w:val="bullet"/>
      <w:lvlText w:val="•"/>
      <w:lvlJc w:val="left"/>
      <w:pPr>
        <w:tabs>
          <w:tab w:val="num" w:pos="3600"/>
        </w:tabs>
        <w:ind w:left="3600" w:hanging="360"/>
      </w:pPr>
      <w:rPr>
        <w:rFonts w:ascii="Arial" w:hAnsi="Arial" w:hint="default"/>
      </w:rPr>
    </w:lvl>
    <w:lvl w:ilvl="5" w:tplc="16AAEFBA" w:tentative="1">
      <w:start w:val="1"/>
      <w:numFmt w:val="bullet"/>
      <w:lvlText w:val="•"/>
      <w:lvlJc w:val="left"/>
      <w:pPr>
        <w:tabs>
          <w:tab w:val="num" w:pos="4320"/>
        </w:tabs>
        <w:ind w:left="4320" w:hanging="360"/>
      </w:pPr>
      <w:rPr>
        <w:rFonts w:ascii="Arial" w:hAnsi="Arial" w:hint="default"/>
      </w:rPr>
    </w:lvl>
    <w:lvl w:ilvl="6" w:tplc="40462F0A" w:tentative="1">
      <w:start w:val="1"/>
      <w:numFmt w:val="bullet"/>
      <w:lvlText w:val="•"/>
      <w:lvlJc w:val="left"/>
      <w:pPr>
        <w:tabs>
          <w:tab w:val="num" w:pos="5040"/>
        </w:tabs>
        <w:ind w:left="5040" w:hanging="360"/>
      </w:pPr>
      <w:rPr>
        <w:rFonts w:ascii="Arial" w:hAnsi="Arial" w:hint="default"/>
      </w:rPr>
    </w:lvl>
    <w:lvl w:ilvl="7" w:tplc="E0D62786" w:tentative="1">
      <w:start w:val="1"/>
      <w:numFmt w:val="bullet"/>
      <w:lvlText w:val="•"/>
      <w:lvlJc w:val="left"/>
      <w:pPr>
        <w:tabs>
          <w:tab w:val="num" w:pos="5760"/>
        </w:tabs>
        <w:ind w:left="5760" w:hanging="360"/>
      </w:pPr>
      <w:rPr>
        <w:rFonts w:ascii="Arial" w:hAnsi="Arial" w:hint="default"/>
      </w:rPr>
    </w:lvl>
    <w:lvl w:ilvl="8" w:tplc="82D4654E" w:tentative="1">
      <w:start w:val="1"/>
      <w:numFmt w:val="bullet"/>
      <w:lvlText w:val="•"/>
      <w:lvlJc w:val="left"/>
      <w:pPr>
        <w:tabs>
          <w:tab w:val="num" w:pos="6480"/>
        </w:tabs>
        <w:ind w:left="6480" w:hanging="360"/>
      </w:pPr>
      <w:rPr>
        <w:rFonts w:ascii="Arial" w:hAnsi="Arial" w:hint="default"/>
      </w:rPr>
    </w:lvl>
  </w:abstractNum>
  <w:abstractNum w:abstractNumId="58">
    <w:nsid w:val="377E29A4"/>
    <w:multiLevelType w:val="hybridMultilevel"/>
    <w:tmpl w:val="74EACAD0"/>
    <w:lvl w:ilvl="0" w:tplc="456CC324">
      <w:start w:val="1"/>
      <w:numFmt w:val="bullet"/>
      <w:lvlText w:val="•"/>
      <w:lvlJc w:val="left"/>
      <w:pPr>
        <w:tabs>
          <w:tab w:val="num" w:pos="720"/>
        </w:tabs>
        <w:ind w:left="720" w:hanging="360"/>
      </w:pPr>
      <w:rPr>
        <w:rFonts w:ascii="Arial" w:hAnsi="Arial" w:hint="default"/>
      </w:rPr>
    </w:lvl>
    <w:lvl w:ilvl="1" w:tplc="CE86A8FC" w:tentative="1">
      <w:start w:val="1"/>
      <w:numFmt w:val="bullet"/>
      <w:lvlText w:val="•"/>
      <w:lvlJc w:val="left"/>
      <w:pPr>
        <w:tabs>
          <w:tab w:val="num" w:pos="1440"/>
        </w:tabs>
        <w:ind w:left="1440" w:hanging="360"/>
      </w:pPr>
      <w:rPr>
        <w:rFonts w:ascii="Arial" w:hAnsi="Arial" w:hint="default"/>
      </w:rPr>
    </w:lvl>
    <w:lvl w:ilvl="2" w:tplc="6DC00274" w:tentative="1">
      <w:start w:val="1"/>
      <w:numFmt w:val="bullet"/>
      <w:lvlText w:val="•"/>
      <w:lvlJc w:val="left"/>
      <w:pPr>
        <w:tabs>
          <w:tab w:val="num" w:pos="2160"/>
        </w:tabs>
        <w:ind w:left="2160" w:hanging="360"/>
      </w:pPr>
      <w:rPr>
        <w:rFonts w:ascii="Arial" w:hAnsi="Arial" w:hint="default"/>
      </w:rPr>
    </w:lvl>
    <w:lvl w:ilvl="3" w:tplc="72DA8FA4" w:tentative="1">
      <w:start w:val="1"/>
      <w:numFmt w:val="bullet"/>
      <w:lvlText w:val="•"/>
      <w:lvlJc w:val="left"/>
      <w:pPr>
        <w:tabs>
          <w:tab w:val="num" w:pos="2880"/>
        </w:tabs>
        <w:ind w:left="2880" w:hanging="360"/>
      </w:pPr>
      <w:rPr>
        <w:rFonts w:ascii="Arial" w:hAnsi="Arial" w:hint="default"/>
      </w:rPr>
    </w:lvl>
    <w:lvl w:ilvl="4" w:tplc="27C40C60" w:tentative="1">
      <w:start w:val="1"/>
      <w:numFmt w:val="bullet"/>
      <w:lvlText w:val="•"/>
      <w:lvlJc w:val="left"/>
      <w:pPr>
        <w:tabs>
          <w:tab w:val="num" w:pos="3600"/>
        </w:tabs>
        <w:ind w:left="3600" w:hanging="360"/>
      </w:pPr>
      <w:rPr>
        <w:rFonts w:ascii="Arial" w:hAnsi="Arial" w:hint="default"/>
      </w:rPr>
    </w:lvl>
    <w:lvl w:ilvl="5" w:tplc="3C9CA4BE" w:tentative="1">
      <w:start w:val="1"/>
      <w:numFmt w:val="bullet"/>
      <w:lvlText w:val="•"/>
      <w:lvlJc w:val="left"/>
      <w:pPr>
        <w:tabs>
          <w:tab w:val="num" w:pos="4320"/>
        </w:tabs>
        <w:ind w:left="4320" w:hanging="360"/>
      </w:pPr>
      <w:rPr>
        <w:rFonts w:ascii="Arial" w:hAnsi="Arial" w:hint="default"/>
      </w:rPr>
    </w:lvl>
    <w:lvl w:ilvl="6" w:tplc="B47C9944" w:tentative="1">
      <w:start w:val="1"/>
      <w:numFmt w:val="bullet"/>
      <w:lvlText w:val="•"/>
      <w:lvlJc w:val="left"/>
      <w:pPr>
        <w:tabs>
          <w:tab w:val="num" w:pos="5040"/>
        </w:tabs>
        <w:ind w:left="5040" w:hanging="360"/>
      </w:pPr>
      <w:rPr>
        <w:rFonts w:ascii="Arial" w:hAnsi="Arial" w:hint="default"/>
      </w:rPr>
    </w:lvl>
    <w:lvl w:ilvl="7" w:tplc="37ECB0AC" w:tentative="1">
      <w:start w:val="1"/>
      <w:numFmt w:val="bullet"/>
      <w:lvlText w:val="•"/>
      <w:lvlJc w:val="left"/>
      <w:pPr>
        <w:tabs>
          <w:tab w:val="num" w:pos="5760"/>
        </w:tabs>
        <w:ind w:left="5760" w:hanging="360"/>
      </w:pPr>
      <w:rPr>
        <w:rFonts w:ascii="Arial" w:hAnsi="Arial" w:hint="default"/>
      </w:rPr>
    </w:lvl>
    <w:lvl w:ilvl="8" w:tplc="2B502206" w:tentative="1">
      <w:start w:val="1"/>
      <w:numFmt w:val="bullet"/>
      <w:lvlText w:val="•"/>
      <w:lvlJc w:val="left"/>
      <w:pPr>
        <w:tabs>
          <w:tab w:val="num" w:pos="6480"/>
        </w:tabs>
        <w:ind w:left="6480" w:hanging="360"/>
      </w:pPr>
      <w:rPr>
        <w:rFonts w:ascii="Arial" w:hAnsi="Arial" w:hint="default"/>
      </w:rPr>
    </w:lvl>
  </w:abstractNum>
  <w:abstractNum w:abstractNumId="59">
    <w:nsid w:val="37B2625F"/>
    <w:multiLevelType w:val="hybridMultilevel"/>
    <w:tmpl w:val="EA160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CDE550B"/>
    <w:multiLevelType w:val="hybridMultilevel"/>
    <w:tmpl w:val="7E5ACE8C"/>
    <w:lvl w:ilvl="0" w:tplc="6B96F534">
      <w:start w:val="1"/>
      <w:numFmt w:val="bullet"/>
      <w:lvlText w:val="•"/>
      <w:lvlJc w:val="left"/>
      <w:pPr>
        <w:tabs>
          <w:tab w:val="num" w:pos="720"/>
        </w:tabs>
        <w:ind w:left="720" w:hanging="360"/>
      </w:pPr>
      <w:rPr>
        <w:rFonts w:ascii="Arial" w:hAnsi="Arial" w:hint="default"/>
      </w:rPr>
    </w:lvl>
    <w:lvl w:ilvl="1" w:tplc="7F38F708" w:tentative="1">
      <w:start w:val="1"/>
      <w:numFmt w:val="bullet"/>
      <w:lvlText w:val="•"/>
      <w:lvlJc w:val="left"/>
      <w:pPr>
        <w:tabs>
          <w:tab w:val="num" w:pos="1440"/>
        </w:tabs>
        <w:ind w:left="1440" w:hanging="360"/>
      </w:pPr>
      <w:rPr>
        <w:rFonts w:ascii="Arial" w:hAnsi="Arial" w:hint="default"/>
      </w:rPr>
    </w:lvl>
    <w:lvl w:ilvl="2" w:tplc="81180870" w:tentative="1">
      <w:start w:val="1"/>
      <w:numFmt w:val="bullet"/>
      <w:lvlText w:val="•"/>
      <w:lvlJc w:val="left"/>
      <w:pPr>
        <w:tabs>
          <w:tab w:val="num" w:pos="2160"/>
        </w:tabs>
        <w:ind w:left="2160" w:hanging="360"/>
      </w:pPr>
      <w:rPr>
        <w:rFonts w:ascii="Arial" w:hAnsi="Arial" w:hint="default"/>
      </w:rPr>
    </w:lvl>
    <w:lvl w:ilvl="3" w:tplc="2D6CFF7E" w:tentative="1">
      <w:start w:val="1"/>
      <w:numFmt w:val="bullet"/>
      <w:lvlText w:val="•"/>
      <w:lvlJc w:val="left"/>
      <w:pPr>
        <w:tabs>
          <w:tab w:val="num" w:pos="2880"/>
        </w:tabs>
        <w:ind w:left="2880" w:hanging="360"/>
      </w:pPr>
      <w:rPr>
        <w:rFonts w:ascii="Arial" w:hAnsi="Arial" w:hint="default"/>
      </w:rPr>
    </w:lvl>
    <w:lvl w:ilvl="4" w:tplc="31AA9AC0" w:tentative="1">
      <w:start w:val="1"/>
      <w:numFmt w:val="bullet"/>
      <w:lvlText w:val="•"/>
      <w:lvlJc w:val="left"/>
      <w:pPr>
        <w:tabs>
          <w:tab w:val="num" w:pos="3600"/>
        </w:tabs>
        <w:ind w:left="3600" w:hanging="360"/>
      </w:pPr>
      <w:rPr>
        <w:rFonts w:ascii="Arial" w:hAnsi="Arial" w:hint="default"/>
      </w:rPr>
    </w:lvl>
    <w:lvl w:ilvl="5" w:tplc="3EE8D72C" w:tentative="1">
      <w:start w:val="1"/>
      <w:numFmt w:val="bullet"/>
      <w:lvlText w:val="•"/>
      <w:lvlJc w:val="left"/>
      <w:pPr>
        <w:tabs>
          <w:tab w:val="num" w:pos="4320"/>
        </w:tabs>
        <w:ind w:left="4320" w:hanging="360"/>
      </w:pPr>
      <w:rPr>
        <w:rFonts w:ascii="Arial" w:hAnsi="Arial" w:hint="default"/>
      </w:rPr>
    </w:lvl>
    <w:lvl w:ilvl="6" w:tplc="3C40B8CE" w:tentative="1">
      <w:start w:val="1"/>
      <w:numFmt w:val="bullet"/>
      <w:lvlText w:val="•"/>
      <w:lvlJc w:val="left"/>
      <w:pPr>
        <w:tabs>
          <w:tab w:val="num" w:pos="5040"/>
        </w:tabs>
        <w:ind w:left="5040" w:hanging="360"/>
      </w:pPr>
      <w:rPr>
        <w:rFonts w:ascii="Arial" w:hAnsi="Arial" w:hint="default"/>
      </w:rPr>
    </w:lvl>
    <w:lvl w:ilvl="7" w:tplc="3E440D80" w:tentative="1">
      <w:start w:val="1"/>
      <w:numFmt w:val="bullet"/>
      <w:lvlText w:val="•"/>
      <w:lvlJc w:val="left"/>
      <w:pPr>
        <w:tabs>
          <w:tab w:val="num" w:pos="5760"/>
        </w:tabs>
        <w:ind w:left="5760" w:hanging="360"/>
      </w:pPr>
      <w:rPr>
        <w:rFonts w:ascii="Arial" w:hAnsi="Arial" w:hint="default"/>
      </w:rPr>
    </w:lvl>
    <w:lvl w:ilvl="8" w:tplc="3B9AFDE6" w:tentative="1">
      <w:start w:val="1"/>
      <w:numFmt w:val="bullet"/>
      <w:lvlText w:val="•"/>
      <w:lvlJc w:val="left"/>
      <w:pPr>
        <w:tabs>
          <w:tab w:val="num" w:pos="6480"/>
        </w:tabs>
        <w:ind w:left="6480" w:hanging="360"/>
      </w:pPr>
      <w:rPr>
        <w:rFonts w:ascii="Arial" w:hAnsi="Arial" w:hint="default"/>
      </w:rPr>
    </w:lvl>
  </w:abstractNum>
  <w:abstractNum w:abstractNumId="61">
    <w:nsid w:val="3D0E00B4"/>
    <w:multiLevelType w:val="hybridMultilevel"/>
    <w:tmpl w:val="6C14B778"/>
    <w:lvl w:ilvl="0" w:tplc="16309996">
      <w:start w:val="1"/>
      <w:numFmt w:val="bullet"/>
      <w:lvlText w:val="•"/>
      <w:lvlJc w:val="left"/>
      <w:pPr>
        <w:tabs>
          <w:tab w:val="num" w:pos="720"/>
        </w:tabs>
        <w:ind w:left="720" w:hanging="360"/>
      </w:pPr>
      <w:rPr>
        <w:rFonts w:ascii="Arial" w:hAnsi="Arial" w:hint="default"/>
      </w:rPr>
    </w:lvl>
    <w:lvl w:ilvl="1" w:tplc="BE961186" w:tentative="1">
      <w:start w:val="1"/>
      <w:numFmt w:val="bullet"/>
      <w:lvlText w:val="•"/>
      <w:lvlJc w:val="left"/>
      <w:pPr>
        <w:tabs>
          <w:tab w:val="num" w:pos="1440"/>
        </w:tabs>
        <w:ind w:left="1440" w:hanging="360"/>
      </w:pPr>
      <w:rPr>
        <w:rFonts w:ascii="Arial" w:hAnsi="Arial" w:hint="default"/>
      </w:rPr>
    </w:lvl>
    <w:lvl w:ilvl="2" w:tplc="7DC0C448" w:tentative="1">
      <w:start w:val="1"/>
      <w:numFmt w:val="bullet"/>
      <w:lvlText w:val="•"/>
      <w:lvlJc w:val="left"/>
      <w:pPr>
        <w:tabs>
          <w:tab w:val="num" w:pos="2160"/>
        </w:tabs>
        <w:ind w:left="2160" w:hanging="360"/>
      </w:pPr>
      <w:rPr>
        <w:rFonts w:ascii="Arial" w:hAnsi="Arial" w:hint="default"/>
      </w:rPr>
    </w:lvl>
    <w:lvl w:ilvl="3" w:tplc="AB987DC8" w:tentative="1">
      <w:start w:val="1"/>
      <w:numFmt w:val="bullet"/>
      <w:lvlText w:val="•"/>
      <w:lvlJc w:val="left"/>
      <w:pPr>
        <w:tabs>
          <w:tab w:val="num" w:pos="2880"/>
        </w:tabs>
        <w:ind w:left="2880" w:hanging="360"/>
      </w:pPr>
      <w:rPr>
        <w:rFonts w:ascii="Arial" w:hAnsi="Arial" w:hint="default"/>
      </w:rPr>
    </w:lvl>
    <w:lvl w:ilvl="4" w:tplc="FEB2A5DA" w:tentative="1">
      <w:start w:val="1"/>
      <w:numFmt w:val="bullet"/>
      <w:lvlText w:val="•"/>
      <w:lvlJc w:val="left"/>
      <w:pPr>
        <w:tabs>
          <w:tab w:val="num" w:pos="3600"/>
        </w:tabs>
        <w:ind w:left="3600" w:hanging="360"/>
      </w:pPr>
      <w:rPr>
        <w:rFonts w:ascii="Arial" w:hAnsi="Arial" w:hint="default"/>
      </w:rPr>
    </w:lvl>
    <w:lvl w:ilvl="5" w:tplc="38B00306" w:tentative="1">
      <w:start w:val="1"/>
      <w:numFmt w:val="bullet"/>
      <w:lvlText w:val="•"/>
      <w:lvlJc w:val="left"/>
      <w:pPr>
        <w:tabs>
          <w:tab w:val="num" w:pos="4320"/>
        </w:tabs>
        <w:ind w:left="4320" w:hanging="360"/>
      </w:pPr>
      <w:rPr>
        <w:rFonts w:ascii="Arial" w:hAnsi="Arial" w:hint="default"/>
      </w:rPr>
    </w:lvl>
    <w:lvl w:ilvl="6" w:tplc="462A2BF0" w:tentative="1">
      <w:start w:val="1"/>
      <w:numFmt w:val="bullet"/>
      <w:lvlText w:val="•"/>
      <w:lvlJc w:val="left"/>
      <w:pPr>
        <w:tabs>
          <w:tab w:val="num" w:pos="5040"/>
        </w:tabs>
        <w:ind w:left="5040" w:hanging="360"/>
      </w:pPr>
      <w:rPr>
        <w:rFonts w:ascii="Arial" w:hAnsi="Arial" w:hint="default"/>
      </w:rPr>
    </w:lvl>
    <w:lvl w:ilvl="7" w:tplc="E0F482D0" w:tentative="1">
      <w:start w:val="1"/>
      <w:numFmt w:val="bullet"/>
      <w:lvlText w:val="•"/>
      <w:lvlJc w:val="left"/>
      <w:pPr>
        <w:tabs>
          <w:tab w:val="num" w:pos="5760"/>
        </w:tabs>
        <w:ind w:left="5760" w:hanging="360"/>
      </w:pPr>
      <w:rPr>
        <w:rFonts w:ascii="Arial" w:hAnsi="Arial" w:hint="default"/>
      </w:rPr>
    </w:lvl>
    <w:lvl w:ilvl="8" w:tplc="EFC85292" w:tentative="1">
      <w:start w:val="1"/>
      <w:numFmt w:val="bullet"/>
      <w:lvlText w:val="•"/>
      <w:lvlJc w:val="left"/>
      <w:pPr>
        <w:tabs>
          <w:tab w:val="num" w:pos="6480"/>
        </w:tabs>
        <w:ind w:left="6480" w:hanging="360"/>
      </w:pPr>
      <w:rPr>
        <w:rFonts w:ascii="Arial" w:hAnsi="Arial" w:hint="default"/>
      </w:rPr>
    </w:lvl>
  </w:abstractNum>
  <w:abstractNum w:abstractNumId="62">
    <w:nsid w:val="3D3C7133"/>
    <w:multiLevelType w:val="hybridMultilevel"/>
    <w:tmpl w:val="01E04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F5D0C70"/>
    <w:multiLevelType w:val="hybridMultilevel"/>
    <w:tmpl w:val="8D62601E"/>
    <w:lvl w:ilvl="0" w:tplc="BAF24596">
      <w:start w:val="1"/>
      <w:numFmt w:val="bullet"/>
      <w:lvlText w:val="•"/>
      <w:lvlJc w:val="left"/>
      <w:pPr>
        <w:tabs>
          <w:tab w:val="num" w:pos="720"/>
        </w:tabs>
        <w:ind w:left="720" w:hanging="360"/>
      </w:pPr>
      <w:rPr>
        <w:rFonts w:ascii="Arial" w:hAnsi="Arial" w:hint="default"/>
      </w:rPr>
    </w:lvl>
    <w:lvl w:ilvl="1" w:tplc="EA84664C" w:tentative="1">
      <w:start w:val="1"/>
      <w:numFmt w:val="bullet"/>
      <w:lvlText w:val="•"/>
      <w:lvlJc w:val="left"/>
      <w:pPr>
        <w:tabs>
          <w:tab w:val="num" w:pos="1440"/>
        </w:tabs>
        <w:ind w:left="1440" w:hanging="360"/>
      </w:pPr>
      <w:rPr>
        <w:rFonts w:ascii="Arial" w:hAnsi="Arial" w:hint="default"/>
      </w:rPr>
    </w:lvl>
    <w:lvl w:ilvl="2" w:tplc="DB700870" w:tentative="1">
      <w:start w:val="1"/>
      <w:numFmt w:val="bullet"/>
      <w:lvlText w:val="•"/>
      <w:lvlJc w:val="left"/>
      <w:pPr>
        <w:tabs>
          <w:tab w:val="num" w:pos="2160"/>
        </w:tabs>
        <w:ind w:left="2160" w:hanging="360"/>
      </w:pPr>
      <w:rPr>
        <w:rFonts w:ascii="Arial" w:hAnsi="Arial" w:hint="default"/>
      </w:rPr>
    </w:lvl>
    <w:lvl w:ilvl="3" w:tplc="234EAEC6" w:tentative="1">
      <w:start w:val="1"/>
      <w:numFmt w:val="bullet"/>
      <w:lvlText w:val="•"/>
      <w:lvlJc w:val="left"/>
      <w:pPr>
        <w:tabs>
          <w:tab w:val="num" w:pos="2880"/>
        </w:tabs>
        <w:ind w:left="2880" w:hanging="360"/>
      </w:pPr>
      <w:rPr>
        <w:rFonts w:ascii="Arial" w:hAnsi="Arial" w:hint="default"/>
      </w:rPr>
    </w:lvl>
    <w:lvl w:ilvl="4" w:tplc="71426062" w:tentative="1">
      <w:start w:val="1"/>
      <w:numFmt w:val="bullet"/>
      <w:lvlText w:val="•"/>
      <w:lvlJc w:val="left"/>
      <w:pPr>
        <w:tabs>
          <w:tab w:val="num" w:pos="3600"/>
        </w:tabs>
        <w:ind w:left="3600" w:hanging="360"/>
      </w:pPr>
      <w:rPr>
        <w:rFonts w:ascii="Arial" w:hAnsi="Arial" w:hint="default"/>
      </w:rPr>
    </w:lvl>
    <w:lvl w:ilvl="5" w:tplc="10FAAC64" w:tentative="1">
      <w:start w:val="1"/>
      <w:numFmt w:val="bullet"/>
      <w:lvlText w:val="•"/>
      <w:lvlJc w:val="left"/>
      <w:pPr>
        <w:tabs>
          <w:tab w:val="num" w:pos="4320"/>
        </w:tabs>
        <w:ind w:left="4320" w:hanging="360"/>
      </w:pPr>
      <w:rPr>
        <w:rFonts w:ascii="Arial" w:hAnsi="Arial" w:hint="default"/>
      </w:rPr>
    </w:lvl>
    <w:lvl w:ilvl="6" w:tplc="27A65D48" w:tentative="1">
      <w:start w:val="1"/>
      <w:numFmt w:val="bullet"/>
      <w:lvlText w:val="•"/>
      <w:lvlJc w:val="left"/>
      <w:pPr>
        <w:tabs>
          <w:tab w:val="num" w:pos="5040"/>
        </w:tabs>
        <w:ind w:left="5040" w:hanging="360"/>
      </w:pPr>
      <w:rPr>
        <w:rFonts w:ascii="Arial" w:hAnsi="Arial" w:hint="default"/>
      </w:rPr>
    </w:lvl>
    <w:lvl w:ilvl="7" w:tplc="24BCA2CA" w:tentative="1">
      <w:start w:val="1"/>
      <w:numFmt w:val="bullet"/>
      <w:lvlText w:val="•"/>
      <w:lvlJc w:val="left"/>
      <w:pPr>
        <w:tabs>
          <w:tab w:val="num" w:pos="5760"/>
        </w:tabs>
        <w:ind w:left="5760" w:hanging="360"/>
      </w:pPr>
      <w:rPr>
        <w:rFonts w:ascii="Arial" w:hAnsi="Arial" w:hint="default"/>
      </w:rPr>
    </w:lvl>
    <w:lvl w:ilvl="8" w:tplc="C39246D2" w:tentative="1">
      <w:start w:val="1"/>
      <w:numFmt w:val="bullet"/>
      <w:lvlText w:val="•"/>
      <w:lvlJc w:val="left"/>
      <w:pPr>
        <w:tabs>
          <w:tab w:val="num" w:pos="6480"/>
        </w:tabs>
        <w:ind w:left="6480" w:hanging="360"/>
      </w:pPr>
      <w:rPr>
        <w:rFonts w:ascii="Arial" w:hAnsi="Arial" w:hint="default"/>
      </w:rPr>
    </w:lvl>
  </w:abstractNum>
  <w:abstractNum w:abstractNumId="64">
    <w:nsid w:val="3F9203C1"/>
    <w:multiLevelType w:val="hybridMultilevel"/>
    <w:tmpl w:val="752ECD0C"/>
    <w:lvl w:ilvl="0" w:tplc="F34EC298">
      <w:start w:val="1"/>
      <w:numFmt w:val="bullet"/>
      <w:lvlText w:val="•"/>
      <w:lvlJc w:val="left"/>
      <w:pPr>
        <w:tabs>
          <w:tab w:val="num" w:pos="720"/>
        </w:tabs>
        <w:ind w:left="720" w:hanging="360"/>
      </w:pPr>
      <w:rPr>
        <w:rFonts w:ascii="Arial" w:hAnsi="Arial" w:hint="default"/>
      </w:rPr>
    </w:lvl>
    <w:lvl w:ilvl="1" w:tplc="DFFA274E" w:tentative="1">
      <w:start w:val="1"/>
      <w:numFmt w:val="bullet"/>
      <w:lvlText w:val="•"/>
      <w:lvlJc w:val="left"/>
      <w:pPr>
        <w:tabs>
          <w:tab w:val="num" w:pos="1440"/>
        </w:tabs>
        <w:ind w:left="1440" w:hanging="360"/>
      </w:pPr>
      <w:rPr>
        <w:rFonts w:ascii="Arial" w:hAnsi="Arial" w:hint="default"/>
      </w:rPr>
    </w:lvl>
    <w:lvl w:ilvl="2" w:tplc="5DB0B28E" w:tentative="1">
      <w:start w:val="1"/>
      <w:numFmt w:val="bullet"/>
      <w:lvlText w:val="•"/>
      <w:lvlJc w:val="left"/>
      <w:pPr>
        <w:tabs>
          <w:tab w:val="num" w:pos="2160"/>
        </w:tabs>
        <w:ind w:left="2160" w:hanging="360"/>
      </w:pPr>
      <w:rPr>
        <w:rFonts w:ascii="Arial" w:hAnsi="Arial" w:hint="default"/>
      </w:rPr>
    </w:lvl>
    <w:lvl w:ilvl="3" w:tplc="75EC41F0" w:tentative="1">
      <w:start w:val="1"/>
      <w:numFmt w:val="bullet"/>
      <w:lvlText w:val="•"/>
      <w:lvlJc w:val="left"/>
      <w:pPr>
        <w:tabs>
          <w:tab w:val="num" w:pos="2880"/>
        </w:tabs>
        <w:ind w:left="2880" w:hanging="360"/>
      </w:pPr>
      <w:rPr>
        <w:rFonts w:ascii="Arial" w:hAnsi="Arial" w:hint="default"/>
      </w:rPr>
    </w:lvl>
    <w:lvl w:ilvl="4" w:tplc="28BC1F82" w:tentative="1">
      <w:start w:val="1"/>
      <w:numFmt w:val="bullet"/>
      <w:lvlText w:val="•"/>
      <w:lvlJc w:val="left"/>
      <w:pPr>
        <w:tabs>
          <w:tab w:val="num" w:pos="3600"/>
        </w:tabs>
        <w:ind w:left="3600" w:hanging="360"/>
      </w:pPr>
      <w:rPr>
        <w:rFonts w:ascii="Arial" w:hAnsi="Arial" w:hint="default"/>
      </w:rPr>
    </w:lvl>
    <w:lvl w:ilvl="5" w:tplc="10004368" w:tentative="1">
      <w:start w:val="1"/>
      <w:numFmt w:val="bullet"/>
      <w:lvlText w:val="•"/>
      <w:lvlJc w:val="left"/>
      <w:pPr>
        <w:tabs>
          <w:tab w:val="num" w:pos="4320"/>
        </w:tabs>
        <w:ind w:left="4320" w:hanging="360"/>
      </w:pPr>
      <w:rPr>
        <w:rFonts w:ascii="Arial" w:hAnsi="Arial" w:hint="default"/>
      </w:rPr>
    </w:lvl>
    <w:lvl w:ilvl="6" w:tplc="703C2610" w:tentative="1">
      <w:start w:val="1"/>
      <w:numFmt w:val="bullet"/>
      <w:lvlText w:val="•"/>
      <w:lvlJc w:val="left"/>
      <w:pPr>
        <w:tabs>
          <w:tab w:val="num" w:pos="5040"/>
        </w:tabs>
        <w:ind w:left="5040" w:hanging="360"/>
      </w:pPr>
      <w:rPr>
        <w:rFonts w:ascii="Arial" w:hAnsi="Arial" w:hint="default"/>
      </w:rPr>
    </w:lvl>
    <w:lvl w:ilvl="7" w:tplc="BA107922" w:tentative="1">
      <w:start w:val="1"/>
      <w:numFmt w:val="bullet"/>
      <w:lvlText w:val="•"/>
      <w:lvlJc w:val="left"/>
      <w:pPr>
        <w:tabs>
          <w:tab w:val="num" w:pos="5760"/>
        </w:tabs>
        <w:ind w:left="5760" w:hanging="360"/>
      </w:pPr>
      <w:rPr>
        <w:rFonts w:ascii="Arial" w:hAnsi="Arial" w:hint="default"/>
      </w:rPr>
    </w:lvl>
    <w:lvl w:ilvl="8" w:tplc="77FC7B78" w:tentative="1">
      <w:start w:val="1"/>
      <w:numFmt w:val="bullet"/>
      <w:lvlText w:val="•"/>
      <w:lvlJc w:val="left"/>
      <w:pPr>
        <w:tabs>
          <w:tab w:val="num" w:pos="6480"/>
        </w:tabs>
        <w:ind w:left="6480" w:hanging="360"/>
      </w:pPr>
      <w:rPr>
        <w:rFonts w:ascii="Arial" w:hAnsi="Arial" w:hint="default"/>
      </w:rPr>
    </w:lvl>
  </w:abstractNum>
  <w:abstractNum w:abstractNumId="65">
    <w:nsid w:val="40181280"/>
    <w:multiLevelType w:val="hybridMultilevel"/>
    <w:tmpl w:val="BDA28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0EB41FD"/>
    <w:multiLevelType w:val="hybridMultilevel"/>
    <w:tmpl w:val="B35AF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1C265BD"/>
    <w:multiLevelType w:val="hybridMultilevel"/>
    <w:tmpl w:val="811EBCB2"/>
    <w:lvl w:ilvl="0" w:tplc="90CC7F40">
      <w:start w:val="1"/>
      <w:numFmt w:val="bullet"/>
      <w:lvlText w:val="•"/>
      <w:lvlJc w:val="left"/>
      <w:pPr>
        <w:tabs>
          <w:tab w:val="num" w:pos="720"/>
        </w:tabs>
        <w:ind w:left="720" w:hanging="360"/>
      </w:pPr>
      <w:rPr>
        <w:rFonts w:ascii="Arial" w:hAnsi="Arial" w:hint="default"/>
      </w:rPr>
    </w:lvl>
    <w:lvl w:ilvl="1" w:tplc="20BC3222" w:tentative="1">
      <w:start w:val="1"/>
      <w:numFmt w:val="bullet"/>
      <w:lvlText w:val="•"/>
      <w:lvlJc w:val="left"/>
      <w:pPr>
        <w:tabs>
          <w:tab w:val="num" w:pos="1440"/>
        </w:tabs>
        <w:ind w:left="1440" w:hanging="360"/>
      </w:pPr>
      <w:rPr>
        <w:rFonts w:ascii="Arial" w:hAnsi="Arial" w:hint="default"/>
      </w:rPr>
    </w:lvl>
    <w:lvl w:ilvl="2" w:tplc="9162F056" w:tentative="1">
      <w:start w:val="1"/>
      <w:numFmt w:val="bullet"/>
      <w:lvlText w:val="•"/>
      <w:lvlJc w:val="left"/>
      <w:pPr>
        <w:tabs>
          <w:tab w:val="num" w:pos="2160"/>
        </w:tabs>
        <w:ind w:left="2160" w:hanging="360"/>
      </w:pPr>
      <w:rPr>
        <w:rFonts w:ascii="Arial" w:hAnsi="Arial" w:hint="default"/>
      </w:rPr>
    </w:lvl>
    <w:lvl w:ilvl="3" w:tplc="BAEA12F6" w:tentative="1">
      <w:start w:val="1"/>
      <w:numFmt w:val="bullet"/>
      <w:lvlText w:val="•"/>
      <w:lvlJc w:val="left"/>
      <w:pPr>
        <w:tabs>
          <w:tab w:val="num" w:pos="2880"/>
        </w:tabs>
        <w:ind w:left="2880" w:hanging="360"/>
      </w:pPr>
      <w:rPr>
        <w:rFonts w:ascii="Arial" w:hAnsi="Arial" w:hint="default"/>
      </w:rPr>
    </w:lvl>
    <w:lvl w:ilvl="4" w:tplc="E1EE1694" w:tentative="1">
      <w:start w:val="1"/>
      <w:numFmt w:val="bullet"/>
      <w:lvlText w:val="•"/>
      <w:lvlJc w:val="left"/>
      <w:pPr>
        <w:tabs>
          <w:tab w:val="num" w:pos="3600"/>
        </w:tabs>
        <w:ind w:left="3600" w:hanging="360"/>
      </w:pPr>
      <w:rPr>
        <w:rFonts w:ascii="Arial" w:hAnsi="Arial" w:hint="default"/>
      </w:rPr>
    </w:lvl>
    <w:lvl w:ilvl="5" w:tplc="6AF6E17E" w:tentative="1">
      <w:start w:val="1"/>
      <w:numFmt w:val="bullet"/>
      <w:lvlText w:val="•"/>
      <w:lvlJc w:val="left"/>
      <w:pPr>
        <w:tabs>
          <w:tab w:val="num" w:pos="4320"/>
        </w:tabs>
        <w:ind w:left="4320" w:hanging="360"/>
      </w:pPr>
      <w:rPr>
        <w:rFonts w:ascii="Arial" w:hAnsi="Arial" w:hint="default"/>
      </w:rPr>
    </w:lvl>
    <w:lvl w:ilvl="6" w:tplc="4F2A6094" w:tentative="1">
      <w:start w:val="1"/>
      <w:numFmt w:val="bullet"/>
      <w:lvlText w:val="•"/>
      <w:lvlJc w:val="left"/>
      <w:pPr>
        <w:tabs>
          <w:tab w:val="num" w:pos="5040"/>
        </w:tabs>
        <w:ind w:left="5040" w:hanging="360"/>
      </w:pPr>
      <w:rPr>
        <w:rFonts w:ascii="Arial" w:hAnsi="Arial" w:hint="default"/>
      </w:rPr>
    </w:lvl>
    <w:lvl w:ilvl="7" w:tplc="994CA632" w:tentative="1">
      <w:start w:val="1"/>
      <w:numFmt w:val="bullet"/>
      <w:lvlText w:val="•"/>
      <w:lvlJc w:val="left"/>
      <w:pPr>
        <w:tabs>
          <w:tab w:val="num" w:pos="5760"/>
        </w:tabs>
        <w:ind w:left="5760" w:hanging="360"/>
      </w:pPr>
      <w:rPr>
        <w:rFonts w:ascii="Arial" w:hAnsi="Arial" w:hint="default"/>
      </w:rPr>
    </w:lvl>
    <w:lvl w:ilvl="8" w:tplc="3EF6C96A" w:tentative="1">
      <w:start w:val="1"/>
      <w:numFmt w:val="bullet"/>
      <w:lvlText w:val="•"/>
      <w:lvlJc w:val="left"/>
      <w:pPr>
        <w:tabs>
          <w:tab w:val="num" w:pos="6480"/>
        </w:tabs>
        <w:ind w:left="6480" w:hanging="360"/>
      </w:pPr>
      <w:rPr>
        <w:rFonts w:ascii="Arial" w:hAnsi="Arial" w:hint="default"/>
      </w:rPr>
    </w:lvl>
  </w:abstractNum>
  <w:abstractNum w:abstractNumId="68">
    <w:nsid w:val="43500FD0"/>
    <w:multiLevelType w:val="hybridMultilevel"/>
    <w:tmpl w:val="C95E9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3D92951"/>
    <w:multiLevelType w:val="hybridMultilevel"/>
    <w:tmpl w:val="76180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3E8619D"/>
    <w:multiLevelType w:val="hybridMultilevel"/>
    <w:tmpl w:val="71869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3F717F3"/>
    <w:multiLevelType w:val="hybridMultilevel"/>
    <w:tmpl w:val="EA28984E"/>
    <w:lvl w:ilvl="0" w:tplc="65AAC030">
      <w:start w:val="1"/>
      <w:numFmt w:val="bullet"/>
      <w:lvlText w:val="•"/>
      <w:lvlJc w:val="left"/>
      <w:pPr>
        <w:tabs>
          <w:tab w:val="num" w:pos="720"/>
        </w:tabs>
        <w:ind w:left="720" w:hanging="360"/>
      </w:pPr>
      <w:rPr>
        <w:rFonts w:ascii="Arial" w:hAnsi="Arial" w:hint="default"/>
      </w:rPr>
    </w:lvl>
    <w:lvl w:ilvl="1" w:tplc="798C898C" w:tentative="1">
      <w:start w:val="1"/>
      <w:numFmt w:val="bullet"/>
      <w:lvlText w:val="•"/>
      <w:lvlJc w:val="left"/>
      <w:pPr>
        <w:tabs>
          <w:tab w:val="num" w:pos="1440"/>
        </w:tabs>
        <w:ind w:left="1440" w:hanging="360"/>
      </w:pPr>
      <w:rPr>
        <w:rFonts w:ascii="Arial" w:hAnsi="Arial" w:hint="default"/>
      </w:rPr>
    </w:lvl>
    <w:lvl w:ilvl="2" w:tplc="37261D24" w:tentative="1">
      <w:start w:val="1"/>
      <w:numFmt w:val="bullet"/>
      <w:lvlText w:val="•"/>
      <w:lvlJc w:val="left"/>
      <w:pPr>
        <w:tabs>
          <w:tab w:val="num" w:pos="2160"/>
        </w:tabs>
        <w:ind w:left="2160" w:hanging="360"/>
      </w:pPr>
      <w:rPr>
        <w:rFonts w:ascii="Arial" w:hAnsi="Arial" w:hint="default"/>
      </w:rPr>
    </w:lvl>
    <w:lvl w:ilvl="3" w:tplc="520CFD50" w:tentative="1">
      <w:start w:val="1"/>
      <w:numFmt w:val="bullet"/>
      <w:lvlText w:val="•"/>
      <w:lvlJc w:val="left"/>
      <w:pPr>
        <w:tabs>
          <w:tab w:val="num" w:pos="2880"/>
        </w:tabs>
        <w:ind w:left="2880" w:hanging="360"/>
      </w:pPr>
      <w:rPr>
        <w:rFonts w:ascii="Arial" w:hAnsi="Arial" w:hint="default"/>
      </w:rPr>
    </w:lvl>
    <w:lvl w:ilvl="4" w:tplc="B166177E" w:tentative="1">
      <w:start w:val="1"/>
      <w:numFmt w:val="bullet"/>
      <w:lvlText w:val="•"/>
      <w:lvlJc w:val="left"/>
      <w:pPr>
        <w:tabs>
          <w:tab w:val="num" w:pos="3600"/>
        </w:tabs>
        <w:ind w:left="3600" w:hanging="360"/>
      </w:pPr>
      <w:rPr>
        <w:rFonts w:ascii="Arial" w:hAnsi="Arial" w:hint="default"/>
      </w:rPr>
    </w:lvl>
    <w:lvl w:ilvl="5" w:tplc="95D80660" w:tentative="1">
      <w:start w:val="1"/>
      <w:numFmt w:val="bullet"/>
      <w:lvlText w:val="•"/>
      <w:lvlJc w:val="left"/>
      <w:pPr>
        <w:tabs>
          <w:tab w:val="num" w:pos="4320"/>
        </w:tabs>
        <w:ind w:left="4320" w:hanging="360"/>
      </w:pPr>
      <w:rPr>
        <w:rFonts w:ascii="Arial" w:hAnsi="Arial" w:hint="default"/>
      </w:rPr>
    </w:lvl>
    <w:lvl w:ilvl="6" w:tplc="0956A36C" w:tentative="1">
      <w:start w:val="1"/>
      <w:numFmt w:val="bullet"/>
      <w:lvlText w:val="•"/>
      <w:lvlJc w:val="left"/>
      <w:pPr>
        <w:tabs>
          <w:tab w:val="num" w:pos="5040"/>
        </w:tabs>
        <w:ind w:left="5040" w:hanging="360"/>
      </w:pPr>
      <w:rPr>
        <w:rFonts w:ascii="Arial" w:hAnsi="Arial" w:hint="default"/>
      </w:rPr>
    </w:lvl>
    <w:lvl w:ilvl="7" w:tplc="DBFAB08E" w:tentative="1">
      <w:start w:val="1"/>
      <w:numFmt w:val="bullet"/>
      <w:lvlText w:val="•"/>
      <w:lvlJc w:val="left"/>
      <w:pPr>
        <w:tabs>
          <w:tab w:val="num" w:pos="5760"/>
        </w:tabs>
        <w:ind w:left="5760" w:hanging="360"/>
      </w:pPr>
      <w:rPr>
        <w:rFonts w:ascii="Arial" w:hAnsi="Arial" w:hint="default"/>
      </w:rPr>
    </w:lvl>
    <w:lvl w:ilvl="8" w:tplc="DAC0AC74" w:tentative="1">
      <w:start w:val="1"/>
      <w:numFmt w:val="bullet"/>
      <w:lvlText w:val="•"/>
      <w:lvlJc w:val="left"/>
      <w:pPr>
        <w:tabs>
          <w:tab w:val="num" w:pos="6480"/>
        </w:tabs>
        <w:ind w:left="6480" w:hanging="360"/>
      </w:pPr>
      <w:rPr>
        <w:rFonts w:ascii="Arial" w:hAnsi="Arial" w:hint="default"/>
      </w:rPr>
    </w:lvl>
  </w:abstractNum>
  <w:abstractNum w:abstractNumId="72">
    <w:nsid w:val="449E1E78"/>
    <w:multiLevelType w:val="hybridMultilevel"/>
    <w:tmpl w:val="2FCAE0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82A39F0"/>
    <w:multiLevelType w:val="hybridMultilevel"/>
    <w:tmpl w:val="ED6611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4">
    <w:nsid w:val="48326AFA"/>
    <w:multiLevelType w:val="hybridMultilevel"/>
    <w:tmpl w:val="ABF8CDA0"/>
    <w:lvl w:ilvl="0" w:tplc="F63267C0">
      <w:start w:val="1"/>
      <w:numFmt w:val="bullet"/>
      <w:lvlText w:val="•"/>
      <w:lvlJc w:val="left"/>
      <w:pPr>
        <w:tabs>
          <w:tab w:val="num" w:pos="720"/>
        </w:tabs>
        <w:ind w:left="720" w:hanging="360"/>
      </w:pPr>
      <w:rPr>
        <w:rFonts w:ascii="Arial" w:hAnsi="Arial" w:hint="default"/>
      </w:rPr>
    </w:lvl>
    <w:lvl w:ilvl="1" w:tplc="CB426060" w:tentative="1">
      <w:start w:val="1"/>
      <w:numFmt w:val="bullet"/>
      <w:lvlText w:val="•"/>
      <w:lvlJc w:val="left"/>
      <w:pPr>
        <w:tabs>
          <w:tab w:val="num" w:pos="1440"/>
        </w:tabs>
        <w:ind w:left="1440" w:hanging="360"/>
      </w:pPr>
      <w:rPr>
        <w:rFonts w:ascii="Arial" w:hAnsi="Arial" w:hint="default"/>
      </w:rPr>
    </w:lvl>
    <w:lvl w:ilvl="2" w:tplc="B874AB8A" w:tentative="1">
      <w:start w:val="1"/>
      <w:numFmt w:val="bullet"/>
      <w:lvlText w:val="•"/>
      <w:lvlJc w:val="left"/>
      <w:pPr>
        <w:tabs>
          <w:tab w:val="num" w:pos="2160"/>
        </w:tabs>
        <w:ind w:left="2160" w:hanging="360"/>
      </w:pPr>
      <w:rPr>
        <w:rFonts w:ascii="Arial" w:hAnsi="Arial" w:hint="default"/>
      </w:rPr>
    </w:lvl>
    <w:lvl w:ilvl="3" w:tplc="55169084" w:tentative="1">
      <w:start w:val="1"/>
      <w:numFmt w:val="bullet"/>
      <w:lvlText w:val="•"/>
      <w:lvlJc w:val="left"/>
      <w:pPr>
        <w:tabs>
          <w:tab w:val="num" w:pos="2880"/>
        </w:tabs>
        <w:ind w:left="2880" w:hanging="360"/>
      </w:pPr>
      <w:rPr>
        <w:rFonts w:ascii="Arial" w:hAnsi="Arial" w:hint="default"/>
      </w:rPr>
    </w:lvl>
    <w:lvl w:ilvl="4" w:tplc="7B2CA636" w:tentative="1">
      <w:start w:val="1"/>
      <w:numFmt w:val="bullet"/>
      <w:lvlText w:val="•"/>
      <w:lvlJc w:val="left"/>
      <w:pPr>
        <w:tabs>
          <w:tab w:val="num" w:pos="3600"/>
        </w:tabs>
        <w:ind w:left="3600" w:hanging="360"/>
      </w:pPr>
      <w:rPr>
        <w:rFonts w:ascii="Arial" w:hAnsi="Arial" w:hint="default"/>
      </w:rPr>
    </w:lvl>
    <w:lvl w:ilvl="5" w:tplc="ED64D288" w:tentative="1">
      <w:start w:val="1"/>
      <w:numFmt w:val="bullet"/>
      <w:lvlText w:val="•"/>
      <w:lvlJc w:val="left"/>
      <w:pPr>
        <w:tabs>
          <w:tab w:val="num" w:pos="4320"/>
        </w:tabs>
        <w:ind w:left="4320" w:hanging="360"/>
      </w:pPr>
      <w:rPr>
        <w:rFonts w:ascii="Arial" w:hAnsi="Arial" w:hint="default"/>
      </w:rPr>
    </w:lvl>
    <w:lvl w:ilvl="6" w:tplc="692EA372" w:tentative="1">
      <w:start w:val="1"/>
      <w:numFmt w:val="bullet"/>
      <w:lvlText w:val="•"/>
      <w:lvlJc w:val="left"/>
      <w:pPr>
        <w:tabs>
          <w:tab w:val="num" w:pos="5040"/>
        </w:tabs>
        <w:ind w:left="5040" w:hanging="360"/>
      </w:pPr>
      <w:rPr>
        <w:rFonts w:ascii="Arial" w:hAnsi="Arial" w:hint="default"/>
      </w:rPr>
    </w:lvl>
    <w:lvl w:ilvl="7" w:tplc="E16687BA" w:tentative="1">
      <w:start w:val="1"/>
      <w:numFmt w:val="bullet"/>
      <w:lvlText w:val="•"/>
      <w:lvlJc w:val="left"/>
      <w:pPr>
        <w:tabs>
          <w:tab w:val="num" w:pos="5760"/>
        </w:tabs>
        <w:ind w:left="5760" w:hanging="360"/>
      </w:pPr>
      <w:rPr>
        <w:rFonts w:ascii="Arial" w:hAnsi="Arial" w:hint="default"/>
      </w:rPr>
    </w:lvl>
    <w:lvl w:ilvl="8" w:tplc="6986D338" w:tentative="1">
      <w:start w:val="1"/>
      <w:numFmt w:val="bullet"/>
      <w:lvlText w:val="•"/>
      <w:lvlJc w:val="left"/>
      <w:pPr>
        <w:tabs>
          <w:tab w:val="num" w:pos="6480"/>
        </w:tabs>
        <w:ind w:left="6480" w:hanging="360"/>
      </w:pPr>
      <w:rPr>
        <w:rFonts w:ascii="Arial" w:hAnsi="Arial" w:hint="default"/>
      </w:rPr>
    </w:lvl>
  </w:abstractNum>
  <w:abstractNum w:abstractNumId="75">
    <w:nsid w:val="49A326AA"/>
    <w:multiLevelType w:val="hybridMultilevel"/>
    <w:tmpl w:val="039A6E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B787F64"/>
    <w:multiLevelType w:val="hybridMultilevel"/>
    <w:tmpl w:val="DF2AF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C9B0FAD"/>
    <w:multiLevelType w:val="hybridMultilevel"/>
    <w:tmpl w:val="282C7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CD53D09"/>
    <w:multiLevelType w:val="hybridMultilevel"/>
    <w:tmpl w:val="70084B7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E0A226B"/>
    <w:multiLevelType w:val="hybridMultilevel"/>
    <w:tmpl w:val="42225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ECB057D"/>
    <w:multiLevelType w:val="hybridMultilevel"/>
    <w:tmpl w:val="9A645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10E58E9"/>
    <w:multiLevelType w:val="hybridMultilevel"/>
    <w:tmpl w:val="E74E2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24D2676"/>
    <w:multiLevelType w:val="hybridMultilevel"/>
    <w:tmpl w:val="6C2ADE5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83">
    <w:nsid w:val="53911E59"/>
    <w:multiLevelType w:val="hybridMultilevel"/>
    <w:tmpl w:val="13505656"/>
    <w:lvl w:ilvl="0" w:tplc="04150005">
      <w:start w:val="1"/>
      <w:numFmt w:val="bullet"/>
      <w:lvlText w:val=""/>
      <w:lvlJc w:val="left"/>
      <w:pPr>
        <w:ind w:left="720" w:hanging="360"/>
      </w:pPr>
      <w:rPr>
        <w:rFonts w:ascii="Wingdings" w:hAnsi="Wingdings" w:hint="default"/>
      </w:rPr>
    </w:lvl>
    <w:lvl w:ilvl="1" w:tplc="A9EE802E">
      <w:numFmt w:val="bullet"/>
      <w:lvlText w:val=""/>
      <w:lvlJc w:val="left"/>
      <w:pPr>
        <w:ind w:left="1440" w:hanging="360"/>
      </w:pPr>
      <w:rPr>
        <w:rFonts w:ascii="Symbol" w:eastAsia="Times New Roman"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45B6401"/>
    <w:multiLevelType w:val="hybridMultilevel"/>
    <w:tmpl w:val="9F563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46901C3"/>
    <w:multiLevelType w:val="hybridMultilevel"/>
    <w:tmpl w:val="7284A0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nsid w:val="556C6755"/>
    <w:multiLevelType w:val="hybridMultilevel"/>
    <w:tmpl w:val="D8000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64E46EF"/>
    <w:multiLevelType w:val="hybridMultilevel"/>
    <w:tmpl w:val="11846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6BE0DE6"/>
    <w:multiLevelType w:val="hybridMultilevel"/>
    <w:tmpl w:val="A636F4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8DB1402"/>
    <w:multiLevelType w:val="hybridMultilevel"/>
    <w:tmpl w:val="A76E9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8F60FD3"/>
    <w:multiLevelType w:val="hybridMultilevel"/>
    <w:tmpl w:val="3D5EB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9706233"/>
    <w:multiLevelType w:val="hybridMultilevel"/>
    <w:tmpl w:val="E05CC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C2D7130"/>
    <w:multiLevelType w:val="hybridMultilevel"/>
    <w:tmpl w:val="341EC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DDC1A51"/>
    <w:multiLevelType w:val="hybridMultilevel"/>
    <w:tmpl w:val="AC6C56B2"/>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94">
    <w:nsid w:val="5E7D3D6D"/>
    <w:multiLevelType w:val="hybridMultilevel"/>
    <w:tmpl w:val="74A08D00"/>
    <w:lvl w:ilvl="0" w:tplc="D3D04ECE">
      <w:start w:val="1"/>
      <w:numFmt w:val="bullet"/>
      <w:lvlText w:val="•"/>
      <w:lvlJc w:val="left"/>
      <w:pPr>
        <w:tabs>
          <w:tab w:val="num" w:pos="720"/>
        </w:tabs>
        <w:ind w:left="720" w:hanging="360"/>
      </w:pPr>
      <w:rPr>
        <w:rFonts w:ascii="Arial" w:hAnsi="Arial" w:hint="default"/>
      </w:rPr>
    </w:lvl>
    <w:lvl w:ilvl="1" w:tplc="A2E260C4" w:tentative="1">
      <w:start w:val="1"/>
      <w:numFmt w:val="bullet"/>
      <w:lvlText w:val="•"/>
      <w:lvlJc w:val="left"/>
      <w:pPr>
        <w:tabs>
          <w:tab w:val="num" w:pos="1440"/>
        </w:tabs>
        <w:ind w:left="1440" w:hanging="360"/>
      </w:pPr>
      <w:rPr>
        <w:rFonts w:ascii="Arial" w:hAnsi="Arial" w:hint="default"/>
      </w:rPr>
    </w:lvl>
    <w:lvl w:ilvl="2" w:tplc="968A9B60" w:tentative="1">
      <w:start w:val="1"/>
      <w:numFmt w:val="bullet"/>
      <w:lvlText w:val="•"/>
      <w:lvlJc w:val="left"/>
      <w:pPr>
        <w:tabs>
          <w:tab w:val="num" w:pos="2160"/>
        </w:tabs>
        <w:ind w:left="2160" w:hanging="360"/>
      </w:pPr>
      <w:rPr>
        <w:rFonts w:ascii="Arial" w:hAnsi="Arial" w:hint="default"/>
      </w:rPr>
    </w:lvl>
    <w:lvl w:ilvl="3" w:tplc="30580A40" w:tentative="1">
      <w:start w:val="1"/>
      <w:numFmt w:val="bullet"/>
      <w:lvlText w:val="•"/>
      <w:lvlJc w:val="left"/>
      <w:pPr>
        <w:tabs>
          <w:tab w:val="num" w:pos="2880"/>
        </w:tabs>
        <w:ind w:left="2880" w:hanging="360"/>
      </w:pPr>
      <w:rPr>
        <w:rFonts w:ascii="Arial" w:hAnsi="Arial" w:hint="default"/>
      </w:rPr>
    </w:lvl>
    <w:lvl w:ilvl="4" w:tplc="85F0A904" w:tentative="1">
      <w:start w:val="1"/>
      <w:numFmt w:val="bullet"/>
      <w:lvlText w:val="•"/>
      <w:lvlJc w:val="left"/>
      <w:pPr>
        <w:tabs>
          <w:tab w:val="num" w:pos="3600"/>
        </w:tabs>
        <w:ind w:left="3600" w:hanging="360"/>
      </w:pPr>
      <w:rPr>
        <w:rFonts w:ascii="Arial" w:hAnsi="Arial" w:hint="default"/>
      </w:rPr>
    </w:lvl>
    <w:lvl w:ilvl="5" w:tplc="98382144" w:tentative="1">
      <w:start w:val="1"/>
      <w:numFmt w:val="bullet"/>
      <w:lvlText w:val="•"/>
      <w:lvlJc w:val="left"/>
      <w:pPr>
        <w:tabs>
          <w:tab w:val="num" w:pos="4320"/>
        </w:tabs>
        <w:ind w:left="4320" w:hanging="360"/>
      </w:pPr>
      <w:rPr>
        <w:rFonts w:ascii="Arial" w:hAnsi="Arial" w:hint="default"/>
      </w:rPr>
    </w:lvl>
    <w:lvl w:ilvl="6" w:tplc="8F565498" w:tentative="1">
      <w:start w:val="1"/>
      <w:numFmt w:val="bullet"/>
      <w:lvlText w:val="•"/>
      <w:lvlJc w:val="left"/>
      <w:pPr>
        <w:tabs>
          <w:tab w:val="num" w:pos="5040"/>
        </w:tabs>
        <w:ind w:left="5040" w:hanging="360"/>
      </w:pPr>
      <w:rPr>
        <w:rFonts w:ascii="Arial" w:hAnsi="Arial" w:hint="default"/>
      </w:rPr>
    </w:lvl>
    <w:lvl w:ilvl="7" w:tplc="BA3628DA" w:tentative="1">
      <w:start w:val="1"/>
      <w:numFmt w:val="bullet"/>
      <w:lvlText w:val="•"/>
      <w:lvlJc w:val="left"/>
      <w:pPr>
        <w:tabs>
          <w:tab w:val="num" w:pos="5760"/>
        </w:tabs>
        <w:ind w:left="5760" w:hanging="360"/>
      </w:pPr>
      <w:rPr>
        <w:rFonts w:ascii="Arial" w:hAnsi="Arial" w:hint="default"/>
      </w:rPr>
    </w:lvl>
    <w:lvl w:ilvl="8" w:tplc="B78620C2" w:tentative="1">
      <w:start w:val="1"/>
      <w:numFmt w:val="bullet"/>
      <w:lvlText w:val="•"/>
      <w:lvlJc w:val="left"/>
      <w:pPr>
        <w:tabs>
          <w:tab w:val="num" w:pos="6480"/>
        </w:tabs>
        <w:ind w:left="6480" w:hanging="360"/>
      </w:pPr>
      <w:rPr>
        <w:rFonts w:ascii="Arial" w:hAnsi="Arial" w:hint="default"/>
      </w:rPr>
    </w:lvl>
  </w:abstractNum>
  <w:abstractNum w:abstractNumId="95">
    <w:nsid w:val="5FB57530"/>
    <w:multiLevelType w:val="multilevel"/>
    <w:tmpl w:val="144E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1387E2E"/>
    <w:multiLevelType w:val="hybridMultilevel"/>
    <w:tmpl w:val="EB34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14D1427"/>
    <w:multiLevelType w:val="hybridMultilevel"/>
    <w:tmpl w:val="BDC23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2227F1B"/>
    <w:multiLevelType w:val="hybridMultilevel"/>
    <w:tmpl w:val="222E8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424115A"/>
    <w:multiLevelType w:val="hybridMultilevel"/>
    <w:tmpl w:val="DD524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2D4CA5"/>
    <w:multiLevelType w:val="hybridMultilevel"/>
    <w:tmpl w:val="4CA26A34"/>
    <w:lvl w:ilvl="0" w:tplc="C40A6082">
      <w:start w:val="1"/>
      <w:numFmt w:val="bullet"/>
      <w:lvlText w:val=""/>
      <w:lvlJc w:val="left"/>
      <w:pPr>
        <w:tabs>
          <w:tab w:val="num" w:pos="720"/>
        </w:tabs>
        <w:ind w:left="720" w:hanging="360"/>
      </w:pPr>
      <w:rPr>
        <w:rFonts w:ascii="Symbol" w:hAnsi="Symbol" w:hint="default"/>
      </w:rPr>
    </w:lvl>
    <w:lvl w:ilvl="1" w:tplc="C568DA44" w:tentative="1">
      <w:start w:val="1"/>
      <w:numFmt w:val="bullet"/>
      <w:lvlText w:val=""/>
      <w:lvlJc w:val="left"/>
      <w:pPr>
        <w:tabs>
          <w:tab w:val="num" w:pos="1440"/>
        </w:tabs>
        <w:ind w:left="1440" w:hanging="360"/>
      </w:pPr>
      <w:rPr>
        <w:rFonts w:ascii="Symbol" w:hAnsi="Symbol" w:hint="default"/>
      </w:rPr>
    </w:lvl>
    <w:lvl w:ilvl="2" w:tplc="06B25530" w:tentative="1">
      <w:start w:val="1"/>
      <w:numFmt w:val="bullet"/>
      <w:lvlText w:val=""/>
      <w:lvlJc w:val="left"/>
      <w:pPr>
        <w:tabs>
          <w:tab w:val="num" w:pos="2160"/>
        </w:tabs>
        <w:ind w:left="2160" w:hanging="360"/>
      </w:pPr>
      <w:rPr>
        <w:rFonts w:ascii="Symbol" w:hAnsi="Symbol" w:hint="default"/>
      </w:rPr>
    </w:lvl>
    <w:lvl w:ilvl="3" w:tplc="9CCE3030" w:tentative="1">
      <w:start w:val="1"/>
      <w:numFmt w:val="bullet"/>
      <w:lvlText w:val=""/>
      <w:lvlJc w:val="left"/>
      <w:pPr>
        <w:tabs>
          <w:tab w:val="num" w:pos="2880"/>
        </w:tabs>
        <w:ind w:left="2880" w:hanging="360"/>
      </w:pPr>
      <w:rPr>
        <w:rFonts w:ascii="Symbol" w:hAnsi="Symbol" w:hint="default"/>
      </w:rPr>
    </w:lvl>
    <w:lvl w:ilvl="4" w:tplc="2FBED1E0" w:tentative="1">
      <w:start w:val="1"/>
      <w:numFmt w:val="bullet"/>
      <w:lvlText w:val=""/>
      <w:lvlJc w:val="left"/>
      <w:pPr>
        <w:tabs>
          <w:tab w:val="num" w:pos="3600"/>
        </w:tabs>
        <w:ind w:left="3600" w:hanging="360"/>
      </w:pPr>
      <w:rPr>
        <w:rFonts w:ascii="Symbol" w:hAnsi="Symbol" w:hint="default"/>
      </w:rPr>
    </w:lvl>
    <w:lvl w:ilvl="5" w:tplc="0C6CE9D4" w:tentative="1">
      <w:start w:val="1"/>
      <w:numFmt w:val="bullet"/>
      <w:lvlText w:val=""/>
      <w:lvlJc w:val="left"/>
      <w:pPr>
        <w:tabs>
          <w:tab w:val="num" w:pos="4320"/>
        </w:tabs>
        <w:ind w:left="4320" w:hanging="360"/>
      </w:pPr>
      <w:rPr>
        <w:rFonts w:ascii="Symbol" w:hAnsi="Symbol" w:hint="default"/>
      </w:rPr>
    </w:lvl>
    <w:lvl w:ilvl="6" w:tplc="03AA0372" w:tentative="1">
      <w:start w:val="1"/>
      <w:numFmt w:val="bullet"/>
      <w:lvlText w:val=""/>
      <w:lvlJc w:val="left"/>
      <w:pPr>
        <w:tabs>
          <w:tab w:val="num" w:pos="5040"/>
        </w:tabs>
        <w:ind w:left="5040" w:hanging="360"/>
      </w:pPr>
      <w:rPr>
        <w:rFonts w:ascii="Symbol" w:hAnsi="Symbol" w:hint="default"/>
      </w:rPr>
    </w:lvl>
    <w:lvl w:ilvl="7" w:tplc="884E81C4" w:tentative="1">
      <w:start w:val="1"/>
      <w:numFmt w:val="bullet"/>
      <w:lvlText w:val=""/>
      <w:lvlJc w:val="left"/>
      <w:pPr>
        <w:tabs>
          <w:tab w:val="num" w:pos="5760"/>
        </w:tabs>
        <w:ind w:left="5760" w:hanging="360"/>
      </w:pPr>
      <w:rPr>
        <w:rFonts w:ascii="Symbol" w:hAnsi="Symbol" w:hint="default"/>
      </w:rPr>
    </w:lvl>
    <w:lvl w:ilvl="8" w:tplc="9B3E23DA" w:tentative="1">
      <w:start w:val="1"/>
      <w:numFmt w:val="bullet"/>
      <w:lvlText w:val=""/>
      <w:lvlJc w:val="left"/>
      <w:pPr>
        <w:tabs>
          <w:tab w:val="num" w:pos="6480"/>
        </w:tabs>
        <w:ind w:left="6480" w:hanging="360"/>
      </w:pPr>
      <w:rPr>
        <w:rFonts w:ascii="Symbol" w:hAnsi="Symbol" w:hint="default"/>
      </w:rPr>
    </w:lvl>
  </w:abstractNum>
  <w:abstractNum w:abstractNumId="101">
    <w:nsid w:val="653D2A09"/>
    <w:multiLevelType w:val="hybridMultilevel"/>
    <w:tmpl w:val="A3BCF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67C0194"/>
    <w:multiLevelType w:val="hybridMultilevel"/>
    <w:tmpl w:val="5CF48B46"/>
    <w:lvl w:ilvl="0" w:tplc="8FB6AF18">
      <w:start w:val="1"/>
      <w:numFmt w:val="bullet"/>
      <w:lvlText w:val="•"/>
      <w:lvlJc w:val="left"/>
      <w:pPr>
        <w:tabs>
          <w:tab w:val="num" w:pos="720"/>
        </w:tabs>
        <w:ind w:left="720" w:hanging="360"/>
      </w:pPr>
      <w:rPr>
        <w:rFonts w:ascii="Arial" w:hAnsi="Arial" w:hint="default"/>
      </w:rPr>
    </w:lvl>
    <w:lvl w:ilvl="1" w:tplc="CE88BE68" w:tentative="1">
      <w:start w:val="1"/>
      <w:numFmt w:val="bullet"/>
      <w:lvlText w:val="•"/>
      <w:lvlJc w:val="left"/>
      <w:pPr>
        <w:tabs>
          <w:tab w:val="num" w:pos="1440"/>
        </w:tabs>
        <w:ind w:left="1440" w:hanging="360"/>
      </w:pPr>
      <w:rPr>
        <w:rFonts w:ascii="Arial" w:hAnsi="Arial" w:hint="default"/>
      </w:rPr>
    </w:lvl>
    <w:lvl w:ilvl="2" w:tplc="3700803E" w:tentative="1">
      <w:start w:val="1"/>
      <w:numFmt w:val="bullet"/>
      <w:lvlText w:val="•"/>
      <w:lvlJc w:val="left"/>
      <w:pPr>
        <w:tabs>
          <w:tab w:val="num" w:pos="2160"/>
        </w:tabs>
        <w:ind w:left="2160" w:hanging="360"/>
      </w:pPr>
      <w:rPr>
        <w:rFonts w:ascii="Arial" w:hAnsi="Arial" w:hint="default"/>
      </w:rPr>
    </w:lvl>
    <w:lvl w:ilvl="3" w:tplc="3C169FFE" w:tentative="1">
      <w:start w:val="1"/>
      <w:numFmt w:val="bullet"/>
      <w:lvlText w:val="•"/>
      <w:lvlJc w:val="left"/>
      <w:pPr>
        <w:tabs>
          <w:tab w:val="num" w:pos="2880"/>
        </w:tabs>
        <w:ind w:left="2880" w:hanging="360"/>
      </w:pPr>
      <w:rPr>
        <w:rFonts w:ascii="Arial" w:hAnsi="Arial" w:hint="default"/>
      </w:rPr>
    </w:lvl>
    <w:lvl w:ilvl="4" w:tplc="7A26A0DA" w:tentative="1">
      <w:start w:val="1"/>
      <w:numFmt w:val="bullet"/>
      <w:lvlText w:val="•"/>
      <w:lvlJc w:val="left"/>
      <w:pPr>
        <w:tabs>
          <w:tab w:val="num" w:pos="3600"/>
        </w:tabs>
        <w:ind w:left="3600" w:hanging="360"/>
      </w:pPr>
      <w:rPr>
        <w:rFonts w:ascii="Arial" w:hAnsi="Arial" w:hint="default"/>
      </w:rPr>
    </w:lvl>
    <w:lvl w:ilvl="5" w:tplc="788E6B34" w:tentative="1">
      <w:start w:val="1"/>
      <w:numFmt w:val="bullet"/>
      <w:lvlText w:val="•"/>
      <w:lvlJc w:val="left"/>
      <w:pPr>
        <w:tabs>
          <w:tab w:val="num" w:pos="4320"/>
        </w:tabs>
        <w:ind w:left="4320" w:hanging="360"/>
      </w:pPr>
      <w:rPr>
        <w:rFonts w:ascii="Arial" w:hAnsi="Arial" w:hint="default"/>
      </w:rPr>
    </w:lvl>
    <w:lvl w:ilvl="6" w:tplc="35F66C30" w:tentative="1">
      <w:start w:val="1"/>
      <w:numFmt w:val="bullet"/>
      <w:lvlText w:val="•"/>
      <w:lvlJc w:val="left"/>
      <w:pPr>
        <w:tabs>
          <w:tab w:val="num" w:pos="5040"/>
        </w:tabs>
        <w:ind w:left="5040" w:hanging="360"/>
      </w:pPr>
      <w:rPr>
        <w:rFonts w:ascii="Arial" w:hAnsi="Arial" w:hint="default"/>
      </w:rPr>
    </w:lvl>
    <w:lvl w:ilvl="7" w:tplc="DB4A4476" w:tentative="1">
      <w:start w:val="1"/>
      <w:numFmt w:val="bullet"/>
      <w:lvlText w:val="•"/>
      <w:lvlJc w:val="left"/>
      <w:pPr>
        <w:tabs>
          <w:tab w:val="num" w:pos="5760"/>
        </w:tabs>
        <w:ind w:left="5760" w:hanging="360"/>
      </w:pPr>
      <w:rPr>
        <w:rFonts w:ascii="Arial" w:hAnsi="Arial" w:hint="default"/>
      </w:rPr>
    </w:lvl>
    <w:lvl w:ilvl="8" w:tplc="D71A9E78" w:tentative="1">
      <w:start w:val="1"/>
      <w:numFmt w:val="bullet"/>
      <w:lvlText w:val="•"/>
      <w:lvlJc w:val="left"/>
      <w:pPr>
        <w:tabs>
          <w:tab w:val="num" w:pos="6480"/>
        </w:tabs>
        <w:ind w:left="6480" w:hanging="360"/>
      </w:pPr>
      <w:rPr>
        <w:rFonts w:ascii="Arial" w:hAnsi="Arial" w:hint="default"/>
      </w:rPr>
    </w:lvl>
  </w:abstractNum>
  <w:abstractNum w:abstractNumId="103">
    <w:nsid w:val="66E47D15"/>
    <w:multiLevelType w:val="hybridMultilevel"/>
    <w:tmpl w:val="B97E8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8E61BC6"/>
    <w:multiLevelType w:val="hybridMultilevel"/>
    <w:tmpl w:val="4F421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9F77EFD"/>
    <w:multiLevelType w:val="hybridMultilevel"/>
    <w:tmpl w:val="FD2E643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06">
    <w:nsid w:val="6CD32B7F"/>
    <w:multiLevelType w:val="hybridMultilevel"/>
    <w:tmpl w:val="E5BE5F8E"/>
    <w:lvl w:ilvl="0" w:tplc="20A6E14E">
      <w:start w:val="1"/>
      <w:numFmt w:val="bullet"/>
      <w:lvlText w:val="•"/>
      <w:lvlJc w:val="left"/>
      <w:pPr>
        <w:tabs>
          <w:tab w:val="num" w:pos="720"/>
        </w:tabs>
        <w:ind w:left="720" w:hanging="360"/>
      </w:pPr>
      <w:rPr>
        <w:rFonts w:ascii="Arial" w:hAnsi="Arial" w:hint="default"/>
      </w:rPr>
    </w:lvl>
    <w:lvl w:ilvl="1" w:tplc="F7E48726" w:tentative="1">
      <w:start w:val="1"/>
      <w:numFmt w:val="bullet"/>
      <w:lvlText w:val="•"/>
      <w:lvlJc w:val="left"/>
      <w:pPr>
        <w:tabs>
          <w:tab w:val="num" w:pos="1440"/>
        </w:tabs>
        <w:ind w:left="1440" w:hanging="360"/>
      </w:pPr>
      <w:rPr>
        <w:rFonts w:ascii="Arial" w:hAnsi="Arial" w:hint="default"/>
      </w:rPr>
    </w:lvl>
    <w:lvl w:ilvl="2" w:tplc="6182533C" w:tentative="1">
      <w:start w:val="1"/>
      <w:numFmt w:val="bullet"/>
      <w:lvlText w:val="•"/>
      <w:lvlJc w:val="left"/>
      <w:pPr>
        <w:tabs>
          <w:tab w:val="num" w:pos="2160"/>
        </w:tabs>
        <w:ind w:left="2160" w:hanging="360"/>
      </w:pPr>
      <w:rPr>
        <w:rFonts w:ascii="Arial" w:hAnsi="Arial" w:hint="default"/>
      </w:rPr>
    </w:lvl>
    <w:lvl w:ilvl="3" w:tplc="8ED89330" w:tentative="1">
      <w:start w:val="1"/>
      <w:numFmt w:val="bullet"/>
      <w:lvlText w:val="•"/>
      <w:lvlJc w:val="left"/>
      <w:pPr>
        <w:tabs>
          <w:tab w:val="num" w:pos="2880"/>
        </w:tabs>
        <w:ind w:left="2880" w:hanging="360"/>
      </w:pPr>
      <w:rPr>
        <w:rFonts w:ascii="Arial" w:hAnsi="Arial" w:hint="default"/>
      </w:rPr>
    </w:lvl>
    <w:lvl w:ilvl="4" w:tplc="2432EF34" w:tentative="1">
      <w:start w:val="1"/>
      <w:numFmt w:val="bullet"/>
      <w:lvlText w:val="•"/>
      <w:lvlJc w:val="left"/>
      <w:pPr>
        <w:tabs>
          <w:tab w:val="num" w:pos="3600"/>
        </w:tabs>
        <w:ind w:left="3600" w:hanging="360"/>
      </w:pPr>
      <w:rPr>
        <w:rFonts w:ascii="Arial" w:hAnsi="Arial" w:hint="default"/>
      </w:rPr>
    </w:lvl>
    <w:lvl w:ilvl="5" w:tplc="546E6EAC" w:tentative="1">
      <w:start w:val="1"/>
      <w:numFmt w:val="bullet"/>
      <w:lvlText w:val="•"/>
      <w:lvlJc w:val="left"/>
      <w:pPr>
        <w:tabs>
          <w:tab w:val="num" w:pos="4320"/>
        </w:tabs>
        <w:ind w:left="4320" w:hanging="360"/>
      </w:pPr>
      <w:rPr>
        <w:rFonts w:ascii="Arial" w:hAnsi="Arial" w:hint="default"/>
      </w:rPr>
    </w:lvl>
    <w:lvl w:ilvl="6" w:tplc="1728A120" w:tentative="1">
      <w:start w:val="1"/>
      <w:numFmt w:val="bullet"/>
      <w:lvlText w:val="•"/>
      <w:lvlJc w:val="left"/>
      <w:pPr>
        <w:tabs>
          <w:tab w:val="num" w:pos="5040"/>
        </w:tabs>
        <w:ind w:left="5040" w:hanging="360"/>
      </w:pPr>
      <w:rPr>
        <w:rFonts w:ascii="Arial" w:hAnsi="Arial" w:hint="default"/>
      </w:rPr>
    </w:lvl>
    <w:lvl w:ilvl="7" w:tplc="EEBE8BE0" w:tentative="1">
      <w:start w:val="1"/>
      <w:numFmt w:val="bullet"/>
      <w:lvlText w:val="•"/>
      <w:lvlJc w:val="left"/>
      <w:pPr>
        <w:tabs>
          <w:tab w:val="num" w:pos="5760"/>
        </w:tabs>
        <w:ind w:left="5760" w:hanging="360"/>
      </w:pPr>
      <w:rPr>
        <w:rFonts w:ascii="Arial" w:hAnsi="Arial" w:hint="default"/>
      </w:rPr>
    </w:lvl>
    <w:lvl w:ilvl="8" w:tplc="AE768CC6" w:tentative="1">
      <w:start w:val="1"/>
      <w:numFmt w:val="bullet"/>
      <w:lvlText w:val="•"/>
      <w:lvlJc w:val="left"/>
      <w:pPr>
        <w:tabs>
          <w:tab w:val="num" w:pos="6480"/>
        </w:tabs>
        <w:ind w:left="6480" w:hanging="360"/>
      </w:pPr>
      <w:rPr>
        <w:rFonts w:ascii="Arial" w:hAnsi="Arial" w:hint="default"/>
      </w:rPr>
    </w:lvl>
  </w:abstractNum>
  <w:abstractNum w:abstractNumId="107">
    <w:nsid w:val="6D6935E2"/>
    <w:multiLevelType w:val="hybridMultilevel"/>
    <w:tmpl w:val="85409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DA47E4A"/>
    <w:multiLevelType w:val="hybridMultilevel"/>
    <w:tmpl w:val="61AC8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03276BD"/>
    <w:multiLevelType w:val="hybridMultilevel"/>
    <w:tmpl w:val="FAA88250"/>
    <w:lvl w:ilvl="0" w:tplc="A956D6B2">
      <w:start w:val="1"/>
      <w:numFmt w:val="bullet"/>
      <w:lvlText w:val="•"/>
      <w:lvlJc w:val="left"/>
      <w:pPr>
        <w:tabs>
          <w:tab w:val="num" w:pos="720"/>
        </w:tabs>
        <w:ind w:left="720" w:hanging="360"/>
      </w:pPr>
      <w:rPr>
        <w:rFonts w:ascii="Arial" w:hAnsi="Arial" w:hint="default"/>
      </w:rPr>
    </w:lvl>
    <w:lvl w:ilvl="1" w:tplc="148E030E" w:tentative="1">
      <w:start w:val="1"/>
      <w:numFmt w:val="bullet"/>
      <w:lvlText w:val="•"/>
      <w:lvlJc w:val="left"/>
      <w:pPr>
        <w:tabs>
          <w:tab w:val="num" w:pos="1440"/>
        </w:tabs>
        <w:ind w:left="1440" w:hanging="360"/>
      </w:pPr>
      <w:rPr>
        <w:rFonts w:ascii="Arial" w:hAnsi="Arial" w:hint="default"/>
      </w:rPr>
    </w:lvl>
    <w:lvl w:ilvl="2" w:tplc="861A28D4" w:tentative="1">
      <w:start w:val="1"/>
      <w:numFmt w:val="bullet"/>
      <w:lvlText w:val="•"/>
      <w:lvlJc w:val="left"/>
      <w:pPr>
        <w:tabs>
          <w:tab w:val="num" w:pos="2160"/>
        </w:tabs>
        <w:ind w:left="2160" w:hanging="360"/>
      </w:pPr>
      <w:rPr>
        <w:rFonts w:ascii="Arial" w:hAnsi="Arial" w:hint="default"/>
      </w:rPr>
    </w:lvl>
    <w:lvl w:ilvl="3" w:tplc="DB9C6CF8" w:tentative="1">
      <w:start w:val="1"/>
      <w:numFmt w:val="bullet"/>
      <w:lvlText w:val="•"/>
      <w:lvlJc w:val="left"/>
      <w:pPr>
        <w:tabs>
          <w:tab w:val="num" w:pos="2880"/>
        </w:tabs>
        <w:ind w:left="2880" w:hanging="360"/>
      </w:pPr>
      <w:rPr>
        <w:rFonts w:ascii="Arial" w:hAnsi="Arial" w:hint="default"/>
      </w:rPr>
    </w:lvl>
    <w:lvl w:ilvl="4" w:tplc="CF00BD80" w:tentative="1">
      <w:start w:val="1"/>
      <w:numFmt w:val="bullet"/>
      <w:lvlText w:val="•"/>
      <w:lvlJc w:val="left"/>
      <w:pPr>
        <w:tabs>
          <w:tab w:val="num" w:pos="3600"/>
        </w:tabs>
        <w:ind w:left="3600" w:hanging="360"/>
      </w:pPr>
      <w:rPr>
        <w:rFonts w:ascii="Arial" w:hAnsi="Arial" w:hint="default"/>
      </w:rPr>
    </w:lvl>
    <w:lvl w:ilvl="5" w:tplc="5F6E7F72" w:tentative="1">
      <w:start w:val="1"/>
      <w:numFmt w:val="bullet"/>
      <w:lvlText w:val="•"/>
      <w:lvlJc w:val="left"/>
      <w:pPr>
        <w:tabs>
          <w:tab w:val="num" w:pos="4320"/>
        </w:tabs>
        <w:ind w:left="4320" w:hanging="360"/>
      </w:pPr>
      <w:rPr>
        <w:rFonts w:ascii="Arial" w:hAnsi="Arial" w:hint="default"/>
      </w:rPr>
    </w:lvl>
    <w:lvl w:ilvl="6" w:tplc="C4046C1E" w:tentative="1">
      <w:start w:val="1"/>
      <w:numFmt w:val="bullet"/>
      <w:lvlText w:val="•"/>
      <w:lvlJc w:val="left"/>
      <w:pPr>
        <w:tabs>
          <w:tab w:val="num" w:pos="5040"/>
        </w:tabs>
        <w:ind w:left="5040" w:hanging="360"/>
      </w:pPr>
      <w:rPr>
        <w:rFonts w:ascii="Arial" w:hAnsi="Arial" w:hint="default"/>
      </w:rPr>
    </w:lvl>
    <w:lvl w:ilvl="7" w:tplc="3B407D44" w:tentative="1">
      <w:start w:val="1"/>
      <w:numFmt w:val="bullet"/>
      <w:lvlText w:val="•"/>
      <w:lvlJc w:val="left"/>
      <w:pPr>
        <w:tabs>
          <w:tab w:val="num" w:pos="5760"/>
        </w:tabs>
        <w:ind w:left="5760" w:hanging="360"/>
      </w:pPr>
      <w:rPr>
        <w:rFonts w:ascii="Arial" w:hAnsi="Arial" w:hint="default"/>
      </w:rPr>
    </w:lvl>
    <w:lvl w:ilvl="8" w:tplc="1FD235E0" w:tentative="1">
      <w:start w:val="1"/>
      <w:numFmt w:val="bullet"/>
      <w:lvlText w:val="•"/>
      <w:lvlJc w:val="left"/>
      <w:pPr>
        <w:tabs>
          <w:tab w:val="num" w:pos="6480"/>
        </w:tabs>
        <w:ind w:left="6480" w:hanging="360"/>
      </w:pPr>
      <w:rPr>
        <w:rFonts w:ascii="Arial" w:hAnsi="Arial" w:hint="default"/>
      </w:rPr>
    </w:lvl>
  </w:abstractNum>
  <w:abstractNum w:abstractNumId="110">
    <w:nsid w:val="70971B92"/>
    <w:multiLevelType w:val="hybridMultilevel"/>
    <w:tmpl w:val="D7E29BBE"/>
    <w:lvl w:ilvl="0" w:tplc="7512CE1C">
      <w:start w:val="1"/>
      <w:numFmt w:val="bullet"/>
      <w:lvlText w:val="•"/>
      <w:lvlJc w:val="left"/>
      <w:pPr>
        <w:tabs>
          <w:tab w:val="num" w:pos="720"/>
        </w:tabs>
        <w:ind w:left="720" w:hanging="360"/>
      </w:pPr>
      <w:rPr>
        <w:rFonts w:ascii="Arial" w:hAnsi="Arial" w:hint="default"/>
      </w:rPr>
    </w:lvl>
    <w:lvl w:ilvl="1" w:tplc="B706CEA4" w:tentative="1">
      <w:start w:val="1"/>
      <w:numFmt w:val="bullet"/>
      <w:lvlText w:val="•"/>
      <w:lvlJc w:val="left"/>
      <w:pPr>
        <w:tabs>
          <w:tab w:val="num" w:pos="1440"/>
        </w:tabs>
        <w:ind w:left="1440" w:hanging="360"/>
      </w:pPr>
      <w:rPr>
        <w:rFonts w:ascii="Arial" w:hAnsi="Arial" w:hint="default"/>
      </w:rPr>
    </w:lvl>
    <w:lvl w:ilvl="2" w:tplc="1D06B9A2" w:tentative="1">
      <w:start w:val="1"/>
      <w:numFmt w:val="bullet"/>
      <w:lvlText w:val="•"/>
      <w:lvlJc w:val="left"/>
      <w:pPr>
        <w:tabs>
          <w:tab w:val="num" w:pos="2160"/>
        </w:tabs>
        <w:ind w:left="2160" w:hanging="360"/>
      </w:pPr>
      <w:rPr>
        <w:rFonts w:ascii="Arial" w:hAnsi="Arial" w:hint="default"/>
      </w:rPr>
    </w:lvl>
    <w:lvl w:ilvl="3" w:tplc="149E64E8" w:tentative="1">
      <w:start w:val="1"/>
      <w:numFmt w:val="bullet"/>
      <w:lvlText w:val="•"/>
      <w:lvlJc w:val="left"/>
      <w:pPr>
        <w:tabs>
          <w:tab w:val="num" w:pos="2880"/>
        </w:tabs>
        <w:ind w:left="2880" w:hanging="360"/>
      </w:pPr>
      <w:rPr>
        <w:rFonts w:ascii="Arial" w:hAnsi="Arial" w:hint="default"/>
      </w:rPr>
    </w:lvl>
    <w:lvl w:ilvl="4" w:tplc="B8C0356C" w:tentative="1">
      <w:start w:val="1"/>
      <w:numFmt w:val="bullet"/>
      <w:lvlText w:val="•"/>
      <w:lvlJc w:val="left"/>
      <w:pPr>
        <w:tabs>
          <w:tab w:val="num" w:pos="3600"/>
        </w:tabs>
        <w:ind w:left="3600" w:hanging="360"/>
      </w:pPr>
      <w:rPr>
        <w:rFonts w:ascii="Arial" w:hAnsi="Arial" w:hint="default"/>
      </w:rPr>
    </w:lvl>
    <w:lvl w:ilvl="5" w:tplc="CC0EB2D2" w:tentative="1">
      <w:start w:val="1"/>
      <w:numFmt w:val="bullet"/>
      <w:lvlText w:val="•"/>
      <w:lvlJc w:val="left"/>
      <w:pPr>
        <w:tabs>
          <w:tab w:val="num" w:pos="4320"/>
        </w:tabs>
        <w:ind w:left="4320" w:hanging="360"/>
      </w:pPr>
      <w:rPr>
        <w:rFonts w:ascii="Arial" w:hAnsi="Arial" w:hint="default"/>
      </w:rPr>
    </w:lvl>
    <w:lvl w:ilvl="6" w:tplc="B04E1858" w:tentative="1">
      <w:start w:val="1"/>
      <w:numFmt w:val="bullet"/>
      <w:lvlText w:val="•"/>
      <w:lvlJc w:val="left"/>
      <w:pPr>
        <w:tabs>
          <w:tab w:val="num" w:pos="5040"/>
        </w:tabs>
        <w:ind w:left="5040" w:hanging="360"/>
      </w:pPr>
      <w:rPr>
        <w:rFonts w:ascii="Arial" w:hAnsi="Arial" w:hint="default"/>
      </w:rPr>
    </w:lvl>
    <w:lvl w:ilvl="7" w:tplc="44CE0BAE" w:tentative="1">
      <w:start w:val="1"/>
      <w:numFmt w:val="bullet"/>
      <w:lvlText w:val="•"/>
      <w:lvlJc w:val="left"/>
      <w:pPr>
        <w:tabs>
          <w:tab w:val="num" w:pos="5760"/>
        </w:tabs>
        <w:ind w:left="5760" w:hanging="360"/>
      </w:pPr>
      <w:rPr>
        <w:rFonts w:ascii="Arial" w:hAnsi="Arial" w:hint="default"/>
      </w:rPr>
    </w:lvl>
    <w:lvl w:ilvl="8" w:tplc="65340AFA" w:tentative="1">
      <w:start w:val="1"/>
      <w:numFmt w:val="bullet"/>
      <w:lvlText w:val="•"/>
      <w:lvlJc w:val="left"/>
      <w:pPr>
        <w:tabs>
          <w:tab w:val="num" w:pos="6480"/>
        </w:tabs>
        <w:ind w:left="6480" w:hanging="360"/>
      </w:pPr>
      <w:rPr>
        <w:rFonts w:ascii="Arial" w:hAnsi="Arial" w:hint="default"/>
      </w:rPr>
    </w:lvl>
  </w:abstractNum>
  <w:abstractNum w:abstractNumId="111">
    <w:nsid w:val="719A70AC"/>
    <w:multiLevelType w:val="hybridMultilevel"/>
    <w:tmpl w:val="89F05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2950AD7"/>
    <w:multiLevelType w:val="hybridMultilevel"/>
    <w:tmpl w:val="22022BFA"/>
    <w:lvl w:ilvl="0" w:tplc="95B2652A">
      <w:start w:val="1"/>
      <w:numFmt w:val="bullet"/>
      <w:lvlText w:val="•"/>
      <w:lvlJc w:val="left"/>
      <w:pPr>
        <w:tabs>
          <w:tab w:val="num" w:pos="720"/>
        </w:tabs>
        <w:ind w:left="720" w:hanging="360"/>
      </w:pPr>
      <w:rPr>
        <w:rFonts w:ascii="Arial" w:hAnsi="Arial" w:hint="default"/>
      </w:rPr>
    </w:lvl>
    <w:lvl w:ilvl="1" w:tplc="99C497DA" w:tentative="1">
      <w:start w:val="1"/>
      <w:numFmt w:val="bullet"/>
      <w:lvlText w:val="•"/>
      <w:lvlJc w:val="left"/>
      <w:pPr>
        <w:tabs>
          <w:tab w:val="num" w:pos="1440"/>
        </w:tabs>
        <w:ind w:left="1440" w:hanging="360"/>
      </w:pPr>
      <w:rPr>
        <w:rFonts w:ascii="Arial" w:hAnsi="Arial" w:hint="default"/>
      </w:rPr>
    </w:lvl>
    <w:lvl w:ilvl="2" w:tplc="12908594" w:tentative="1">
      <w:start w:val="1"/>
      <w:numFmt w:val="bullet"/>
      <w:lvlText w:val="•"/>
      <w:lvlJc w:val="left"/>
      <w:pPr>
        <w:tabs>
          <w:tab w:val="num" w:pos="2160"/>
        </w:tabs>
        <w:ind w:left="2160" w:hanging="360"/>
      </w:pPr>
      <w:rPr>
        <w:rFonts w:ascii="Arial" w:hAnsi="Arial" w:hint="default"/>
      </w:rPr>
    </w:lvl>
    <w:lvl w:ilvl="3" w:tplc="06B0FA66" w:tentative="1">
      <w:start w:val="1"/>
      <w:numFmt w:val="bullet"/>
      <w:lvlText w:val="•"/>
      <w:lvlJc w:val="left"/>
      <w:pPr>
        <w:tabs>
          <w:tab w:val="num" w:pos="2880"/>
        </w:tabs>
        <w:ind w:left="2880" w:hanging="360"/>
      </w:pPr>
      <w:rPr>
        <w:rFonts w:ascii="Arial" w:hAnsi="Arial" w:hint="default"/>
      </w:rPr>
    </w:lvl>
    <w:lvl w:ilvl="4" w:tplc="DA8CD006" w:tentative="1">
      <w:start w:val="1"/>
      <w:numFmt w:val="bullet"/>
      <w:lvlText w:val="•"/>
      <w:lvlJc w:val="left"/>
      <w:pPr>
        <w:tabs>
          <w:tab w:val="num" w:pos="3600"/>
        </w:tabs>
        <w:ind w:left="3600" w:hanging="360"/>
      </w:pPr>
      <w:rPr>
        <w:rFonts w:ascii="Arial" w:hAnsi="Arial" w:hint="default"/>
      </w:rPr>
    </w:lvl>
    <w:lvl w:ilvl="5" w:tplc="107A720E" w:tentative="1">
      <w:start w:val="1"/>
      <w:numFmt w:val="bullet"/>
      <w:lvlText w:val="•"/>
      <w:lvlJc w:val="left"/>
      <w:pPr>
        <w:tabs>
          <w:tab w:val="num" w:pos="4320"/>
        </w:tabs>
        <w:ind w:left="4320" w:hanging="360"/>
      </w:pPr>
      <w:rPr>
        <w:rFonts w:ascii="Arial" w:hAnsi="Arial" w:hint="default"/>
      </w:rPr>
    </w:lvl>
    <w:lvl w:ilvl="6" w:tplc="2638B6BA" w:tentative="1">
      <w:start w:val="1"/>
      <w:numFmt w:val="bullet"/>
      <w:lvlText w:val="•"/>
      <w:lvlJc w:val="left"/>
      <w:pPr>
        <w:tabs>
          <w:tab w:val="num" w:pos="5040"/>
        </w:tabs>
        <w:ind w:left="5040" w:hanging="360"/>
      </w:pPr>
      <w:rPr>
        <w:rFonts w:ascii="Arial" w:hAnsi="Arial" w:hint="default"/>
      </w:rPr>
    </w:lvl>
    <w:lvl w:ilvl="7" w:tplc="88EA0348" w:tentative="1">
      <w:start w:val="1"/>
      <w:numFmt w:val="bullet"/>
      <w:lvlText w:val="•"/>
      <w:lvlJc w:val="left"/>
      <w:pPr>
        <w:tabs>
          <w:tab w:val="num" w:pos="5760"/>
        </w:tabs>
        <w:ind w:left="5760" w:hanging="360"/>
      </w:pPr>
      <w:rPr>
        <w:rFonts w:ascii="Arial" w:hAnsi="Arial" w:hint="default"/>
      </w:rPr>
    </w:lvl>
    <w:lvl w:ilvl="8" w:tplc="34C0159E" w:tentative="1">
      <w:start w:val="1"/>
      <w:numFmt w:val="bullet"/>
      <w:lvlText w:val="•"/>
      <w:lvlJc w:val="left"/>
      <w:pPr>
        <w:tabs>
          <w:tab w:val="num" w:pos="6480"/>
        </w:tabs>
        <w:ind w:left="6480" w:hanging="360"/>
      </w:pPr>
      <w:rPr>
        <w:rFonts w:ascii="Arial" w:hAnsi="Arial" w:hint="default"/>
      </w:rPr>
    </w:lvl>
  </w:abstractNum>
  <w:abstractNum w:abstractNumId="113">
    <w:nsid w:val="72D06471"/>
    <w:multiLevelType w:val="hybridMultilevel"/>
    <w:tmpl w:val="1414A9BA"/>
    <w:lvl w:ilvl="0" w:tplc="F0023444">
      <w:start w:val="1"/>
      <w:numFmt w:val="bullet"/>
      <w:lvlText w:val="•"/>
      <w:lvlJc w:val="left"/>
      <w:pPr>
        <w:tabs>
          <w:tab w:val="num" w:pos="720"/>
        </w:tabs>
        <w:ind w:left="720" w:hanging="360"/>
      </w:pPr>
      <w:rPr>
        <w:rFonts w:ascii="Arial" w:hAnsi="Arial" w:hint="default"/>
      </w:rPr>
    </w:lvl>
    <w:lvl w:ilvl="1" w:tplc="829AF2AE" w:tentative="1">
      <w:start w:val="1"/>
      <w:numFmt w:val="bullet"/>
      <w:lvlText w:val="•"/>
      <w:lvlJc w:val="left"/>
      <w:pPr>
        <w:tabs>
          <w:tab w:val="num" w:pos="1440"/>
        </w:tabs>
        <w:ind w:left="1440" w:hanging="360"/>
      </w:pPr>
      <w:rPr>
        <w:rFonts w:ascii="Arial" w:hAnsi="Arial" w:hint="default"/>
      </w:rPr>
    </w:lvl>
    <w:lvl w:ilvl="2" w:tplc="AB684836" w:tentative="1">
      <w:start w:val="1"/>
      <w:numFmt w:val="bullet"/>
      <w:lvlText w:val="•"/>
      <w:lvlJc w:val="left"/>
      <w:pPr>
        <w:tabs>
          <w:tab w:val="num" w:pos="2160"/>
        </w:tabs>
        <w:ind w:left="2160" w:hanging="360"/>
      </w:pPr>
      <w:rPr>
        <w:rFonts w:ascii="Arial" w:hAnsi="Arial" w:hint="default"/>
      </w:rPr>
    </w:lvl>
    <w:lvl w:ilvl="3" w:tplc="B04CEDD2" w:tentative="1">
      <w:start w:val="1"/>
      <w:numFmt w:val="bullet"/>
      <w:lvlText w:val="•"/>
      <w:lvlJc w:val="left"/>
      <w:pPr>
        <w:tabs>
          <w:tab w:val="num" w:pos="2880"/>
        </w:tabs>
        <w:ind w:left="2880" w:hanging="360"/>
      </w:pPr>
      <w:rPr>
        <w:rFonts w:ascii="Arial" w:hAnsi="Arial" w:hint="default"/>
      </w:rPr>
    </w:lvl>
    <w:lvl w:ilvl="4" w:tplc="2534C642" w:tentative="1">
      <w:start w:val="1"/>
      <w:numFmt w:val="bullet"/>
      <w:lvlText w:val="•"/>
      <w:lvlJc w:val="left"/>
      <w:pPr>
        <w:tabs>
          <w:tab w:val="num" w:pos="3600"/>
        </w:tabs>
        <w:ind w:left="3600" w:hanging="360"/>
      </w:pPr>
      <w:rPr>
        <w:rFonts w:ascii="Arial" w:hAnsi="Arial" w:hint="default"/>
      </w:rPr>
    </w:lvl>
    <w:lvl w:ilvl="5" w:tplc="5BC648D6" w:tentative="1">
      <w:start w:val="1"/>
      <w:numFmt w:val="bullet"/>
      <w:lvlText w:val="•"/>
      <w:lvlJc w:val="left"/>
      <w:pPr>
        <w:tabs>
          <w:tab w:val="num" w:pos="4320"/>
        </w:tabs>
        <w:ind w:left="4320" w:hanging="360"/>
      </w:pPr>
      <w:rPr>
        <w:rFonts w:ascii="Arial" w:hAnsi="Arial" w:hint="default"/>
      </w:rPr>
    </w:lvl>
    <w:lvl w:ilvl="6" w:tplc="A39C0650" w:tentative="1">
      <w:start w:val="1"/>
      <w:numFmt w:val="bullet"/>
      <w:lvlText w:val="•"/>
      <w:lvlJc w:val="left"/>
      <w:pPr>
        <w:tabs>
          <w:tab w:val="num" w:pos="5040"/>
        </w:tabs>
        <w:ind w:left="5040" w:hanging="360"/>
      </w:pPr>
      <w:rPr>
        <w:rFonts w:ascii="Arial" w:hAnsi="Arial" w:hint="default"/>
      </w:rPr>
    </w:lvl>
    <w:lvl w:ilvl="7" w:tplc="75F47714" w:tentative="1">
      <w:start w:val="1"/>
      <w:numFmt w:val="bullet"/>
      <w:lvlText w:val="•"/>
      <w:lvlJc w:val="left"/>
      <w:pPr>
        <w:tabs>
          <w:tab w:val="num" w:pos="5760"/>
        </w:tabs>
        <w:ind w:left="5760" w:hanging="360"/>
      </w:pPr>
      <w:rPr>
        <w:rFonts w:ascii="Arial" w:hAnsi="Arial" w:hint="default"/>
      </w:rPr>
    </w:lvl>
    <w:lvl w:ilvl="8" w:tplc="ADB2F6A2" w:tentative="1">
      <w:start w:val="1"/>
      <w:numFmt w:val="bullet"/>
      <w:lvlText w:val="•"/>
      <w:lvlJc w:val="left"/>
      <w:pPr>
        <w:tabs>
          <w:tab w:val="num" w:pos="6480"/>
        </w:tabs>
        <w:ind w:left="6480" w:hanging="360"/>
      </w:pPr>
      <w:rPr>
        <w:rFonts w:ascii="Arial" w:hAnsi="Arial" w:hint="default"/>
      </w:rPr>
    </w:lvl>
  </w:abstractNum>
  <w:abstractNum w:abstractNumId="114">
    <w:nsid w:val="72E62AA6"/>
    <w:multiLevelType w:val="hybridMultilevel"/>
    <w:tmpl w:val="9A8EC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362402D"/>
    <w:multiLevelType w:val="hybridMultilevel"/>
    <w:tmpl w:val="7820E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3914DC5"/>
    <w:multiLevelType w:val="hybridMultilevel"/>
    <w:tmpl w:val="7508413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17">
    <w:nsid w:val="76283B64"/>
    <w:multiLevelType w:val="hybridMultilevel"/>
    <w:tmpl w:val="52AAC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64B6C3F"/>
    <w:multiLevelType w:val="hybridMultilevel"/>
    <w:tmpl w:val="132E49C6"/>
    <w:lvl w:ilvl="0" w:tplc="9C0AC3BC">
      <w:start w:val="1"/>
      <w:numFmt w:val="bullet"/>
      <w:lvlText w:val="•"/>
      <w:lvlJc w:val="left"/>
      <w:pPr>
        <w:tabs>
          <w:tab w:val="num" w:pos="720"/>
        </w:tabs>
        <w:ind w:left="720" w:hanging="360"/>
      </w:pPr>
      <w:rPr>
        <w:rFonts w:ascii="Arial" w:hAnsi="Arial" w:hint="default"/>
      </w:rPr>
    </w:lvl>
    <w:lvl w:ilvl="1" w:tplc="9200B1FA" w:tentative="1">
      <w:start w:val="1"/>
      <w:numFmt w:val="bullet"/>
      <w:lvlText w:val="•"/>
      <w:lvlJc w:val="left"/>
      <w:pPr>
        <w:tabs>
          <w:tab w:val="num" w:pos="1440"/>
        </w:tabs>
        <w:ind w:left="1440" w:hanging="360"/>
      </w:pPr>
      <w:rPr>
        <w:rFonts w:ascii="Arial" w:hAnsi="Arial" w:hint="default"/>
      </w:rPr>
    </w:lvl>
    <w:lvl w:ilvl="2" w:tplc="3FFCFD8E" w:tentative="1">
      <w:start w:val="1"/>
      <w:numFmt w:val="bullet"/>
      <w:lvlText w:val="•"/>
      <w:lvlJc w:val="left"/>
      <w:pPr>
        <w:tabs>
          <w:tab w:val="num" w:pos="2160"/>
        </w:tabs>
        <w:ind w:left="2160" w:hanging="360"/>
      </w:pPr>
      <w:rPr>
        <w:rFonts w:ascii="Arial" w:hAnsi="Arial" w:hint="default"/>
      </w:rPr>
    </w:lvl>
    <w:lvl w:ilvl="3" w:tplc="C83A1772" w:tentative="1">
      <w:start w:val="1"/>
      <w:numFmt w:val="bullet"/>
      <w:lvlText w:val="•"/>
      <w:lvlJc w:val="left"/>
      <w:pPr>
        <w:tabs>
          <w:tab w:val="num" w:pos="2880"/>
        </w:tabs>
        <w:ind w:left="2880" w:hanging="360"/>
      </w:pPr>
      <w:rPr>
        <w:rFonts w:ascii="Arial" w:hAnsi="Arial" w:hint="default"/>
      </w:rPr>
    </w:lvl>
    <w:lvl w:ilvl="4" w:tplc="C2F4AEF6" w:tentative="1">
      <w:start w:val="1"/>
      <w:numFmt w:val="bullet"/>
      <w:lvlText w:val="•"/>
      <w:lvlJc w:val="left"/>
      <w:pPr>
        <w:tabs>
          <w:tab w:val="num" w:pos="3600"/>
        </w:tabs>
        <w:ind w:left="3600" w:hanging="360"/>
      </w:pPr>
      <w:rPr>
        <w:rFonts w:ascii="Arial" w:hAnsi="Arial" w:hint="default"/>
      </w:rPr>
    </w:lvl>
    <w:lvl w:ilvl="5" w:tplc="A0928892" w:tentative="1">
      <w:start w:val="1"/>
      <w:numFmt w:val="bullet"/>
      <w:lvlText w:val="•"/>
      <w:lvlJc w:val="left"/>
      <w:pPr>
        <w:tabs>
          <w:tab w:val="num" w:pos="4320"/>
        </w:tabs>
        <w:ind w:left="4320" w:hanging="360"/>
      </w:pPr>
      <w:rPr>
        <w:rFonts w:ascii="Arial" w:hAnsi="Arial" w:hint="default"/>
      </w:rPr>
    </w:lvl>
    <w:lvl w:ilvl="6" w:tplc="CE7AB688" w:tentative="1">
      <w:start w:val="1"/>
      <w:numFmt w:val="bullet"/>
      <w:lvlText w:val="•"/>
      <w:lvlJc w:val="left"/>
      <w:pPr>
        <w:tabs>
          <w:tab w:val="num" w:pos="5040"/>
        </w:tabs>
        <w:ind w:left="5040" w:hanging="360"/>
      </w:pPr>
      <w:rPr>
        <w:rFonts w:ascii="Arial" w:hAnsi="Arial" w:hint="default"/>
      </w:rPr>
    </w:lvl>
    <w:lvl w:ilvl="7" w:tplc="05EEFE9E" w:tentative="1">
      <w:start w:val="1"/>
      <w:numFmt w:val="bullet"/>
      <w:lvlText w:val="•"/>
      <w:lvlJc w:val="left"/>
      <w:pPr>
        <w:tabs>
          <w:tab w:val="num" w:pos="5760"/>
        </w:tabs>
        <w:ind w:left="5760" w:hanging="360"/>
      </w:pPr>
      <w:rPr>
        <w:rFonts w:ascii="Arial" w:hAnsi="Arial" w:hint="default"/>
      </w:rPr>
    </w:lvl>
    <w:lvl w:ilvl="8" w:tplc="91BAFE3A" w:tentative="1">
      <w:start w:val="1"/>
      <w:numFmt w:val="bullet"/>
      <w:lvlText w:val="•"/>
      <w:lvlJc w:val="left"/>
      <w:pPr>
        <w:tabs>
          <w:tab w:val="num" w:pos="6480"/>
        </w:tabs>
        <w:ind w:left="6480" w:hanging="360"/>
      </w:pPr>
      <w:rPr>
        <w:rFonts w:ascii="Arial" w:hAnsi="Arial" w:hint="default"/>
      </w:rPr>
    </w:lvl>
  </w:abstractNum>
  <w:abstractNum w:abstractNumId="119">
    <w:nsid w:val="77112863"/>
    <w:multiLevelType w:val="hybridMultilevel"/>
    <w:tmpl w:val="11206364"/>
    <w:lvl w:ilvl="0" w:tplc="4D3C7974">
      <w:start w:val="1"/>
      <w:numFmt w:val="bullet"/>
      <w:lvlText w:val="•"/>
      <w:lvlJc w:val="left"/>
      <w:pPr>
        <w:tabs>
          <w:tab w:val="num" w:pos="720"/>
        </w:tabs>
        <w:ind w:left="720" w:hanging="360"/>
      </w:pPr>
      <w:rPr>
        <w:rFonts w:ascii="Arial" w:hAnsi="Arial" w:hint="default"/>
      </w:rPr>
    </w:lvl>
    <w:lvl w:ilvl="1" w:tplc="D29AD90A" w:tentative="1">
      <w:start w:val="1"/>
      <w:numFmt w:val="bullet"/>
      <w:lvlText w:val="•"/>
      <w:lvlJc w:val="left"/>
      <w:pPr>
        <w:tabs>
          <w:tab w:val="num" w:pos="1440"/>
        </w:tabs>
        <w:ind w:left="1440" w:hanging="360"/>
      </w:pPr>
      <w:rPr>
        <w:rFonts w:ascii="Arial" w:hAnsi="Arial" w:hint="default"/>
      </w:rPr>
    </w:lvl>
    <w:lvl w:ilvl="2" w:tplc="0B306CF2" w:tentative="1">
      <w:start w:val="1"/>
      <w:numFmt w:val="bullet"/>
      <w:lvlText w:val="•"/>
      <w:lvlJc w:val="left"/>
      <w:pPr>
        <w:tabs>
          <w:tab w:val="num" w:pos="2160"/>
        </w:tabs>
        <w:ind w:left="2160" w:hanging="360"/>
      </w:pPr>
      <w:rPr>
        <w:rFonts w:ascii="Arial" w:hAnsi="Arial" w:hint="default"/>
      </w:rPr>
    </w:lvl>
    <w:lvl w:ilvl="3" w:tplc="21B81C28" w:tentative="1">
      <w:start w:val="1"/>
      <w:numFmt w:val="bullet"/>
      <w:lvlText w:val="•"/>
      <w:lvlJc w:val="left"/>
      <w:pPr>
        <w:tabs>
          <w:tab w:val="num" w:pos="2880"/>
        </w:tabs>
        <w:ind w:left="2880" w:hanging="360"/>
      </w:pPr>
      <w:rPr>
        <w:rFonts w:ascii="Arial" w:hAnsi="Arial" w:hint="default"/>
      </w:rPr>
    </w:lvl>
    <w:lvl w:ilvl="4" w:tplc="AB94FB32" w:tentative="1">
      <w:start w:val="1"/>
      <w:numFmt w:val="bullet"/>
      <w:lvlText w:val="•"/>
      <w:lvlJc w:val="left"/>
      <w:pPr>
        <w:tabs>
          <w:tab w:val="num" w:pos="3600"/>
        </w:tabs>
        <w:ind w:left="3600" w:hanging="360"/>
      </w:pPr>
      <w:rPr>
        <w:rFonts w:ascii="Arial" w:hAnsi="Arial" w:hint="default"/>
      </w:rPr>
    </w:lvl>
    <w:lvl w:ilvl="5" w:tplc="346C836E" w:tentative="1">
      <w:start w:val="1"/>
      <w:numFmt w:val="bullet"/>
      <w:lvlText w:val="•"/>
      <w:lvlJc w:val="left"/>
      <w:pPr>
        <w:tabs>
          <w:tab w:val="num" w:pos="4320"/>
        </w:tabs>
        <w:ind w:left="4320" w:hanging="360"/>
      </w:pPr>
      <w:rPr>
        <w:rFonts w:ascii="Arial" w:hAnsi="Arial" w:hint="default"/>
      </w:rPr>
    </w:lvl>
    <w:lvl w:ilvl="6" w:tplc="98F8D6A6" w:tentative="1">
      <w:start w:val="1"/>
      <w:numFmt w:val="bullet"/>
      <w:lvlText w:val="•"/>
      <w:lvlJc w:val="left"/>
      <w:pPr>
        <w:tabs>
          <w:tab w:val="num" w:pos="5040"/>
        </w:tabs>
        <w:ind w:left="5040" w:hanging="360"/>
      </w:pPr>
      <w:rPr>
        <w:rFonts w:ascii="Arial" w:hAnsi="Arial" w:hint="default"/>
      </w:rPr>
    </w:lvl>
    <w:lvl w:ilvl="7" w:tplc="15D4D84C" w:tentative="1">
      <w:start w:val="1"/>
      <w:numFmt w:val="bullet"/>
      <w:lvlText w:val="•"/>
      <w:lvlJc w:val="left"/>
      <w:pPr>
        <w:tabs>
          <w:tab w:val="num" w:pos="5760"/>
        </w:tabs>
        <w:ind w:left="5760" w:hanging="360"/>
      </w:pPr>
      <w:rPr>
        <w:rFonts w:ascii="Arial" w:hAnsi="Arial" w:hint="default"/>
      </w:rPr>
    </w:lvl>
    <w:lvl w:ilvl="8" w:tplc="903AA47A" w:tentative="1">
      <w:start w:val="1"/>
      <w:numFmt w:val="bullet"/>
      <w:lvlText w:val="•"/>
      <w:lvlJc w:val="left"/>
      <w:pPr>
        <w:tabs>
          <w:tab w:val="num" w:pos="6480"/>
        </w:tabs>
        <w:ind w:left="6480" w:hanging="360"/>
      </w:pPr>
      <w:rPr>
        <w:rFonts w:ascii="Arial" w:hAnsi="Arial" w:hint="default"/>
      </w:rPr>
    </w:lvl>
  </w:abstractNum>
  <w:abstractNum w:abstractNumId="120">
    <w:nsid w:val="77913D2A"/>
    <w:multiLevelType w:val="hybridMultilevel"/>
    <w:tmpl w:val="755EF2C0"/>
    <w:lvl w:ilvl="0" w:tplc="5E14A884">
      <w:start w:val="1"/>
      <w:numFmt w:val="bullet"/>
      <w:lvlText w:val="•"/>
      <w:lvlJc w:val="left"/>
      <w:pPr>
        <w:tabs>
          <w:tab w:val="num" w:pos="720"/>
        </w:tabs>
        <w:ind w:left="720" w:hanging="360"/>
      </w:pPr>
      <w:rPr>
        <w:rFonts w:ascii="Arial" w:hAnsi="Arial" w:hint="default"/>
      </w:rPr>
    </w:lvl>
    <w:lvl w:ilvl="1" w:tplc="7BDC3D9C" w:tentative="1">
      <w:start w:val="1"/>
      <w:numFmt w:val="bullet"/>
      <w:lvlText w:val="•"/>
      <w:lvlJc w:val="left"/>
      <w:pPr>
        <w:tabs>
          <w:tab w:val="num" w:pos="1440"/>
        </w:tabs>
        <w:ind w:left="1440" w:hanging="360"/>
      </w:pPr>
      <w:rPr>
        <w:rFonts w:ascii="Arial" w:hAnsi="Arial" w:hint="default"/>
      </w:rPr>
    </w:lvl>
    <w:lvl w:ilvl="2" w:tplc="D5628B7C" w:tentative="1">
      <w:start w:val="1"/>
      <w:numFmt w:val="bullet"/>
      <w:lvlText w:val="•"/>
      <w:lvlJc w:val="left"/>
      <w:pPr>
        <w:tabs>
          <w:tab w:val="num" w:pos="2160"/>
        </w:tabs>
        <w:ind w:left="2160" w:hanging="360"/>
      </w:pPr>
      <w:rPr>
        <w:rFonts w:ascii="Arial" w:hAnsi="Arial" w:hint="default"/>
      </w:rPr>
    </w:lvl>
    <w:lvl w:ilvl="3" w:tplc="8A64C7E0" w:tentative="1">
      <w:start w:val="1"/>
      <w:numFmt w:val="bullet"/>
      <w:lvlText w:val="•"/>
      <w:lvlJc w:val="left"/>
      <w:pPr>
        <w:tabs>
          <w:tab w:val="num" w:pos="2880"/>
        </w:tabs>
        <w:ind w:left="2880" w:hanging="360"/>
      </w:pPr>
      <w:rPr>
        <w:rFonts w:ascii="Arial" w:hAnsi="Arial" w:hint="default"/>
      </w:rPr>
    </w:lvl>
    <w:lvl w:ilvl="4" w:tplc="4E6AB9EA" w:tentative="1">
      <w:start w:val="1"/>
      <w:numFmt w:val="bullet"/>
      <w:lvlText w:val="•"/>
      <w:lvlJc w:val="left"/>
      <w:pPr>
        <w:tabs>
          <w:tab w:val="num" w:pos="3600"/>
        </w:tabs>
        <w:ind w:left="3600" w:hanging="360"/>
      </w:pPr>
      <w:rPr>
        <w:rFonts w:ascii="Arial" w:hAnsi="Arial" w:hint="default"/>
      </w:rPr>
    </w:lvl>
    <w:lvl w:ilvl="5" w:tplc="EBEEC428" w:tentative="1">
      <w:start w:val="1"/>
      <w:numFmt w:val="bullet"/>
      <w:lvlText w:val="•"/>
      <w:lvlJc w:val="left"/>
      <w:pPr>
        <w:tabs>
          <w:tab w:val="num" w:pos="4320"/>
        </w:tabs>
        <w:ind w:left="4320" w:hanging="360"/>
      </w:pPr>
      <w:rPr>
        <w:rFonts w:ascii="Arial" w:hAnsi="Arial" w:hint="default"/>
      </w:rPr>
    </w:lvl>
    <w:lvl w:ilvl="6" w:tplc="E22677D2" w:tentative="1">
      <w:start w:val="1"/>
      <w:numFmt w:val="bullet"/>
      <w:lvlText w:val="•"/>
      <w:lvlJc w:val="left"/>
      <w:pPr>
        <w:tabs>
          <w:tab w:val="num" w:pos="5040"/>
        </w:tabs>
        <w:ind w:left="5040" w:hanging="360"/>
      </w:pPr>
      <w:rPr>
        <w:rFonts w:ascii="Arial" w:hAnsi="Arial" w:hint="default"/>
      </w:rPr>
    </w:lvl>
    <w:lvl w:ilvl="7" w:tplc="15D278E4" w:tentative="1">
      <w:start w:val="1"/>
      <w:numFmt w:val="bullet"/>
      <w:lvlText w:val="•"/>
      <w:lvlJc w:val="left"/>
      <w:pPr>
        <w:tabs>
          <w:tab w:val="num" w:pos="5760"/>
        </w:tabs>
        <w:ind w:left="5760" w:hanging="360"/>
      </w:pPr>
      <w:rPr>
        <w:rFonts w:ascii="Arial" w:hAnsi="Arial" w:hint="default"/>
      </w:rPr>
    </w:lvl>
    <w:lvl w:ilvl="8" w:tplc="67B287FC" w:tentative="1">
      <w:start w:val="1"/>
      <w:numFmt w:val="bullet"/>
      <w:lvlText w:val="•"/>
      <w:lvlJc w:val="left"/>
      <w:pPr>
        <w:tabs>
          <w:tab w:val="num" w:pos="6480"/>
        </w:tabs>
        <w:ind w:left="6480" w:hanging="360"/>
      </w:pPr>
      <w:rPr>
        <w:rFonts w:ascii="Arial" w:hAnsi="Arial" w:hint="default"/>
      </w:rPr>
    </w:lvl>
  </w:abstractNum>
  <w:abstractNum w:abstractNumId="121">
    <w:nsid w:val="77915098"/>
    <w:multiLevelType w:val="hybridMultilevel"/>
    <w:tmpl w:val="1E3AF6BE"/>
    <w:lvl w:ilvl="0" w:tplc="8DDE05E2">
      <w:start w:val="1"/>
      <w:numFmt w:val="bullet"/>
      <w:lvlText w:val="•"/>
      <w:lvlJc w:val="left"/>
      <w:pPr>
        <w:tabs>
          <w:tab w:val="num" w:pos="720"/>
        </w:tabs>
        <w:ind w:left="720" w:hanging="360"/>
      </w:pPr>
      <w:rPr>
        <w:rFonts w:ascii="Arial" w:hAnsi="Arial" w:hint="default"/>
      </w:rPr>
    </w:lvl>
    <w:lvl w:ilvl="1" w:tplc="125EE636" w:tentative="1">
      <w:start w:val="1"/>
      <w:numFmt w:val="bullet"/>
      <w:lvlText w:val="•"/>
      <w:lvlJc w:val="left"/>
      <w:pPr>
        <w:tabs>
          <w:tab w:val="num" w:pos="1440"/>
        </w:tabs>
        <w:ind w:left="1440" w:hanging="360"/>
      </w:pPr>
      <w:rPr>
        <w:rFonts w:ascii="Arial" w:hAnsi="Arial" w:hint="default"/>
      </w:rPr>
    </w:lvl>
    <w:lvl w:ilvl="2" w:tplc="20C0D0E2" w:tentative="1">
      <w:start w:val="1"/>
      <w:numFmt w:val="bullet"/>
      <w:lvlText w:val="•"/>
      <w:lvlJc w:val="left"/>
      <w:pPr>
        <w:tabs>
          <w:tab w:val="num" w:pos="2160"/>
        </w:tabs>
        <w:ind w:left="2160" w:hanging="360"/>
      </w:pPr>
      <w:rPr>
        <w:rFonts w:ascii="Arial" w:hAnsi="Arial" w:hint="default"/>
      </w:rPr>
    </w:lvl>
    <w:lvl w:ilvl="3" w:tplc="FDA675E4" w:tentative="1">
      <w:start w:val="1"/>
      <w:numFmt w:val="bullet"/>
      <w:lvlText w:val="•"/>
      <w:lvlJc w:val="left"/>
      <w:pPr>
        <w:tabs>
          <w:tab w:val="num" w:pos="2880"/>
        </w:tabs>
        <w:ind w:left="2880" w:hanging="360"/>
      </w:pPr>
      <w:rPr>
        <w:rFonts w:ascii="Arial" w:hAnsi="Arial" w:hint="default"/>
      </w:rPr>
    </w:lvl>
    <w:lvl w:ilvl="4" w:tplc="13F4EA90" w:tentative="1">
      <w:start w:val="1"/>
      <w:numFmt w:val="bullet"/>
      <w:lvlText w:val="•"/>
      <w:lvlJc w:val="left"/>
      <w:pPr>
        <w:tabs>
          <w:tab w:val="num" w:pos="3600"/>
        </w:tabs>
        <w:ind w:left="3600" w:hanging="360"/>
      </w:pPr>
      <w:rPr>
        <w:rFonts w:ascii="Arial" w:hAnsi="Arial" w:hint="default"/>
      </w:rPr>
    </w:lvl>
    <w:lvl w:ilvl="5" w:tplc="1508553E" w:tentative="1">
      <w:start w:val="1"/>
      <w:numFmt w:val="bullet"/>
      <w:lvlText w:val="•"/>
      <w:lvlJc w:val="left"/>
      <w:pPr>
        <w:tabs>
          <w:tab w:val="num" w:pos="4320"/>
        </w:tabs>
        <w:ind w:left="4320" w:hanging="360"/>
      </w:pPr>
      <w:rPr>
        <w:rFonts w:ascii="Arial" w:hAnsi="Arial" w:hint="default"/>
      </w:rPr>
    </w:lvl>
    <w:lvl w:ilvl="6" w:tplc="9E8C02EE" w:tentative="1">
      <w:start w:val="1"/>
      <w:numFmt w:val="bullet"/>
      <w:lvlText w:val="•"/>
      <w:lvlJc w:val="left"/>
      <w:pPr>
        <w:tabs>
          <w:tab w:val="num" w:pos="5040"/>
        </w:tabs>
        <w:ind w:left="5040" w:hanging="360"/>
      </w:pPr>
      <w:rPr>
        <w:rFonts w:ascii="Arial" w:hAnsi="Arial" w:hint="default"/>
      </w:rPr>
    </w:lvl>
    <w:lvl w:ilvl="7" w:tplc="E714B112" w:tentative="1">
      <w:start w:val="1"/>
      <w:numFmt w:val="bullet"/>
      <w:lvlText w:val="•"/>
      <w:lvlJc w:val="left"/>
      <w:pPr>
        <w:tabs>
          <w:tab w:val="num" w:pos="5760"/>
        </w:tabs>
        <w:ind w:left="5760" w:hanging="360"/>
      </w:pPr>
      <w:rPr>
        <w:rFonts w:ascii="Arial" w:hAnsi="Arial" w:hint="default"/>
      </w:rPr>
    </w:lvl>
    <w:lvl w:ilvl="8" w:tplc="75A84A62" w:tentative="1">
      <w:start w:val="1"/>
      <w:numFmt w:val="bullet"/>
      <w:lvlText w:val="•"/>
      <w:lvlJc w:val="left"/>
      <w:pPr>
        <w:tabs>
          <w:tab w:val="num" w:pos="6480"/>
        </w:tabs>
        <w:ind w:left="6480" w:hanging="360"/>
      </w:pPr>
      <w:rPr>
        <w:rFonts w:ascii="Arial" w:hAnsi="Arial" w:hint="default"/>
      </w:rPr>
    </w:lvl>
  </w:abstractNum>
  <w:abstractNum w:abstractNumId="122">
    <w:nsid w:val="79783F4B"/>
    <w:multiLevelType w:val="multilevel"/>
    <w:tmpl w:val="9E38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7ADE60E5"/>
    <w:multiLevelType w:val="hybridMultilevel"/>
    <w:tmpl w:val="DFDE0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B071FCE"/>
    <w:multiLevelType w:val="hybridMultilevel"/>
    <w:tmpl w:val="96F0ECB6"/>
    <w:lvl w:ilvl="0" w:tplc="84FAEFA6">
      <w:start w:val="1"/>
      <w:numFmt w:val="bullet"/>
      <w:lvlText w:val="•"/>
      <w:lvlJc w:val="left"/>
      <w:pPr>
        <w:tabs>
          <w:tab w:val="num" w:pos="720"/>
        </w:tabs>
        <w:ind w:left="720" w:hanging="360"/>
      </w:pPr>
      <w:rPr>
        <w:rFonts w:ascii="Arial" w:hAnsi="Arial" w:hint="default"/>
      </w:rPr>
    </w:lvl>
    <w:lvl w:ilvl="1" w:tplc="6AE8D05E" w:tentative="1">
      <w:start w:val="1"/>
      <w:numFmt w:val="bullet"/>
      <w:lvlText w:val="•"/>
      <w:lvlJc w:val="left"/>
      <w:pPr>
        <w:tabs>
          <w:tab w:val="num" w:pos="1440"/>
        </w:tabs>
        <w:ind w:left="1440" w:hanging="360"/>
      </w:pPr>
      <w:rPr>
        <w:rFonts w:ascii="Arial" w:hAnsi="Arial" w:hint="default"/>
      </w:rPr>
    </w:lvl>
    <w:lvl w:ilvl="2" w:tplc="4F56F864" w:tentative="1">
      <w:start w:val="1"/>
      <w:numFmt w:val="bullet"/>
      <w:lvlText w:val="•"/>
      <w:lvlJc w:val="left"/>
      <w:pPr>
        <w:tabs>
          <w:tab w:val="num" w:pos="2160"/>
        </w:tabs>
        <w:ind w:left="2160" w:hanging="360"/>
      </w:pPr>
      <w:rPr>
        <w:rFonts w:ascii="Arial" w:hAnsi="Arial" w:hint="default"/>
      </w:rPr>
    </w:lvl>
    <w:lvl w:ilvl="3" w:tplc="C5EEDEBA" w:tentative="1">
      <w:start w:val="1"/>
      <w:numFmt w:val="bullet"/>
      <w:lvlText w:val="•"/>
      <w:lvlJc w:val="left"/>
      <w:pPr>
        <w:tabs>
          <w:tab w:val="num" w:pos="2880"/>
        </w:tabs>
        <w:ind w:left="2880" w:hanging="360"/>
      </w:pPr>
      <w:rPr>
        <w:rFonts w:ascii="Arial" w:hAnsi="Arial" w:hint="default"/>
      </w:rPr>
    </w:lvl>
    <w:lvl w:ilvl="4" w:tplc="0840B9C4" w:tentative="1">
      <w:start w:val="1"/>
      <w:numFmt w:val="bullet"/>
      <w:lvlText w:val="•"/>
      <w:lvlJc w:val="left"/>
      <w:pPr>
        <w:tabs>
          <w:tab w:val="num" w:pos="3600"/>
        </w:tabs>
        <w:ind w:left="3600" w:hanging="360"/>
      </w:pPr>
      <w:rPr>
        <w:rFonts w:ascii="Arial" w:hAnsi="Arial" w:hint="default"/>
      </w:rPr>
    </w:lvl>
    <w:lvl w:ilvl="5" w:tplc="383CD4F8" w:tentative="1">
      <w:start w:val="1"/>
      <w:numFmt w:val="bullet"/>
      <w:lvlText w:val="•"/>
      <w:lvlJc w:val="left"/>
      <w:pPr>
        <w:tabs>
          <w:tab w:val="num" w:pos="4320"/>
        </w:tabs>
        <w:ind w:left="4320" w:hanging="360"/>
      </w:pPr>
      <w:rPr>
        <w:rFonts w:ascii="Arial" w:hAnsi="Arial" w:hint="default"/>
      </w:rPr>
    </w:lvl>
    <w:lvl w:ilvl="6" w:tplc="B9A6A7F2" w:tentative="1">
      <w:start w:val="1"/>
      <w:numFmt w:val="bullet"/>
      <w:lvlText w:val="•"/>
      <w:lvlJc w:val="left"/>
      <w:pPr>
        <w:tabs>
          <w:tab w:val="num" w:pos="5040"/>
        </w:tabs>
        <w:ind w:left="5040" w:hanging="360"/>
      </w:pPr>
      <w:rPr>
        <w:rFonts w:ascii="Arial" w:hAnsi="Arial" w:hint="default"/>
      </w:rPr>
    </w:lvl>
    <w:lvl w:ilvl="7" w:tplc="6F603AA6" w:tentative="1">
      <w:start w:val="1"/>
      <w:numFmt w:val="bullet"/>
      <w:lvlText w:val="•"/>
      <w:lvlJc w:val="left"/>
      <w:pPr>
        <w:tabs>
          <w:tab w:val="num" w:pos="5760"/>
        </w:tabs>
        <w:ind w:left="5760" w:hanging="360"/>
      </w:pPr>
      <w:rPr>
        <w:rFonts w:ascii="Arial" w:hAnsi="Arial" w:hint="default"/>
      </w:rPr>
    </w:lvl>
    <w:lvl w:ilvl="8" w:tplc="70E09ABE" w:tentative="1">
      <w:start w:val="1"/>
      <w:numFmt w:val="bullet"/>
      <w:lvlText w:val="•"/>
      <w:lvlJc w:val="left"/>
      <w:pPr>
        <w:tabs>
          <w:tab w:val="num" w:pos="6480"/>
        </w:tabs>
        <w:ind w:left="6480" w:hanging="360"/>
      </w:pPr>
      <w:rPr>
        <w:rFonts w:ascii="Arial" w:hAnsi="Arial" w:hint="default"/>
      </w:rPr>
    </w:lvl>
  </w:abstractNum>
  <w:abstractNum w:abstractNumId="125">
    <w:nsid w:val="7C273CA5"/>
    <w:multiLevelType w:val="hybridMultilevel"/>
    <w:tmpl w:val="7B7843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6">
    <w:nsid w:val="7E2235FB"/>
    <w:multiLevelType w:val="hybridMultilevel"/>
    <w:tmpl w:val="238616D2"/>
    <w:lvl w:ilvl="0" w:tplc="DB90AB98">
      <w:start w:val="1"/>
      <w:numFmt w:val="bullet"/>
      <w:lvlText w:val="•"/>
      <w:lvlJc w:val="left"/>
      <w:pPr>
        <w:tabs>
          <w:tab w:val="num" w:pos="720"/>
        </w:tabs>
        <w:ind w:left="720" w:hanging="360"/>
      </w:pPr>
      <w:rPr>
        <w:rFonts w:ascii="Arial" w:hAnsi="Arial" w:hint="default"/>
      </w:rPr>
    </w:lvl>
    <w:lvl w:ilvl="1" w:tplc="658AC2F4" w:tentative="1">
      <w:start w:val="1"/>
      <w:numFmt w:val="bullet"/>
      <w:lvlText w:val="•"/>
      <w:lvlJc w:val="left"/>
      <w:pPr>
        <w:tabs>
          <w:tab w:val="num" w:pos="1440"/>
        </w:tabs>
        <w:ind w:left="1440" w:hanging="360"/>
      </w:pPr>
      <w:rPr>
        <w:rFonts w:ascii="Arial" w:hAnsi="Arial" w:hint="default"/>
      </w:rPr>
    </w:lvl>
    <w:lvl w:ilvl="2" w:tplc="91C4ACFA" w:tentative="1">
      <w:start w:val="1"/>
      <w:numFmt w:val="bullet"/>
      <w:lvlText w:val="•"/>
      <w:lvlJc w:val="left"/>
      <w:pPr>
        <w:tabs>
          <w:tab w:val="num" w:pos="2160"/>
        </w:tabs>
        <w:ind w:left="2160" w:hanging="360"/>
      </w:pPr>
      <w:rPr>
        <w:rFonts w:ascii="Arial" w:hAnsi="Arial" w:hint="default"/>
      </w:rPr>
    </w:lvl>
    <w:lvl w:ilvl="3" w:tplc="825A2542" w:tentative="1">
      <w:start w:val="1"/>
      <w:numFmt w:val="bullet"/>
      <w:lvlText w:val="•"/>
      <w:lvlJc w:val="left"/>
      <w:pPr>
        <w:tabs>
          <w:tab w:val="num" w:pos="2880"/>
        </w:tabs>
        <w:ind w:left="2880" w:hanging="360"/>
      </w:pPr>
      <w:rPr>
        <w:rFonts w:ascii="Arial" w:hAnsi="Arial" w:hint="default"/>
      </w:rPr>
    </w:lvl>
    <w:lvl w:ilvl="4" w:tplc="CE2607A0" w:tentative="1">
      <w:start w:val="1"/>
      <w:numFmt w:val="bullet"/>
      <w:lvlText w:val="•"/>
      <w:lvlJc w:val="left"/>
      <w:pPr>
        <w:tabs>
          <w:tab w:val="num" w:pos="3600"/>
        </w:tabs>
        <w:ind w:left="3600" w:hanging="360"/>
      </w:pPr>
      <w:rPr>
        <w:rFonts w:ascii="Arial" w:hAnsi="Arial" w:hint="default"/>
      </w:rPr>
    </w:lvl>
    <w:lvl w:ilvl="5" w:tplc="BDE22B62" w:tentative="1">
      <w:start w:val="1"/>
      <w:numFmt w:val="bullet"/>
      <w:lvlText w:val="•"/>
      <w:lvlJc w:val="left"/>
      <w:pPr>
        <w:tabs>
          <w:tab w:val="num" w:pos="4320"/>
        </w:tabs>
        <w:ind w:left="4320" w:hanging="360"/>
      </w:pPr>
      <w:rPr>
        <w:rFonts w:ascii="Arial" w:hAnsi="Arial" w:hint="default"/>
      </w:rPr>
    </w:lvl>
    <w:lvl w:ilvl="6" w:tplc="C1C097A0" w:tentative="1">
      <w:start w:val="1"/>
      <w:numFmt w:val="bullet"/>
      <w:lvlText w:val="•"/>
      <w:lvlJc w:val="left"/>
      <w:pPr>
        <w:tabs>
          <w:tab w:val="num" w:pos="5040"/>
        </w:tabs>
        <w:ind w:left="5040" w:hanging="360"/>
      </w:pPr>
      <w:rPr>
        <w:rFonts w:ascii="Arial" w:hAnsi="Arial" w:hint="default"/>
      </w:rPr>
    </w:lvl>
    <w:lvl w:ilvl="7" w:tplc="5E5A1D38" w:tentative="1">
      <w:start w:val="1"/>
      <w:numFmt w:val="bullet"/>
      <w:lvlText w:val="•"/>
      <w:lvlJc w:val="left"/>
      <w:pPr>
        <w:tabs>
          <w:tab w:val="num" w:pos="5760"/>
        </w:tabs>
        <w:ind w:left="5760" w:hanging="360"/>
      </w:pPr>
      <w:rPr>
        <w:rFonts w:ascii="Arial" w:hAnsi="Arial" w:hint="default"/>
      </w:rPr>
    </w:lvl>
    <w:lvl w:ilvl="8" w:tplc="488816B4" w:tentative="1">
      <w:start w:val="1"/>
      <w:numFmt w:val="bullet"/>
      <w:lvlText w:val="•"/>
      <w:lvlJc w:val="left"/>
      <w:pPr>
        <w:tabs>
          <w:tab w:val="num" w:pos="6480"/>
        </w:tabs>
        <w:ind w:left="6480" w:hanging="360"/>
      </w:pPr>
      <w:rPr>
        <w:rFonts w:ascii="Arial" w:hAnsi="Arial" w:hint="default"/>
      </w:rPr>
    </w:lvl>
  </w:abstractNum>
  <w:abstractNum w:abstractNumId="127">
    <w:nsid w:val="7E444C34"/>
    <w:multiLevelType w:val="hybridMultilevel"/>
    <w:tmpl w:val="6DB06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E7053A5"/>
    <w:multiLevelType w:val="hybridMultilevel"/>
    <w:tmpl w:val="3B5A6488"/>
    <w:lvl w:ilvl="0" w:tplc="19D8CF6C">
      <w:start w:val="1"/>
      <w:numFmt w:val="bullet"/>
      <w:lvlText w:val="•"/>
      <w:lvlJc w:val="left"/>
      <w:pPr>
        <w:tabs>
          <w:tab w:val="num" w:pos="720"/>
        </w:tabs>
        <w:ind w:left="720" w:hanging="360"/>
      </w:pPr>
      <w:rPr>
        <w:rFonts w:ascii="Arial" w:hAnsi="Arial" w:hint="default"/>
      </w:rPr>
    </w:lvl>
    <w:lvl w:ilvl="1" w:tplc="0270FE1C" w:tentative="1">
      <w:start w:val="1"/>
      <w:numFmt w:val="bullet"/>
      <w:lvlText w:val="•"/>
      <w:lvlJc w:val="left"/>
      <w:pPr>
        <w:tabs>
          <w:tab w:val="num" w:pos="1440"/>
        </w:tabs>
        <w:ind w:left="1440" w:hanging="360"/>
      </w:pPr>
      <w:rPr>
        <w:rFonts w:ascii="Arial" w:hAnsi="Arial" w:hint="default"/>
      </w:rPr>
    </w:lvl>
    <w:lvl w:ilvl="2" w:tplc="260639E0" w:tentative="1">
      <w:start w:val="1"/>
      <w:numFmt w:val="bullet"/>
      <w:lvlText w:val="•"/>
      <w:lvlJc w:val="left"/>
      <w:pPr>
        <w:tabs>
          <w:tab w:val="num" w:pos="2160"/>
        </w:tabs>
        <w:ind w:left="2160" w:hanging="360"/>
      </w:pPr>
      <w:rPr>
        <w:rFonts w:ascii="Arial" w:hAnsi="Arial" w:hint="default"/>
      </w:rPr>
    </w:lvl>
    <w:lvl w:ilvl="3" w:tplc="BABAF616" w:tentative="1">
      <w:start w:val="1"/>
      <w:numFmt w:val="bullet"/>
      <w:lvlText w:val="•"/>
      <w:lvlJc w:val="left"/>
      <w:pPr>
        <w:tabs>
          <w:tab w:val="num" w:pos="2880"/>
        </w:tabs>
        <w:ind w:left="2880" w:hanging="360"/>
      </w:pPr>
      <w:rPr>
        <w:rFonts w:ascii="Arial" w:hAnsi="Arial" w:hint="default"/>
      </w:rPr>
    </w:lvl>
    <w:lvl w:ilvl="4" w:tplc="2C484F6A" w:tentative="1">
      <w:start w:val="1"/>
      <w:numFmt w:val="bullet"/>
      <w:lvlText w:val="•"/>
      <w:lvlJc w:val="left"/>
      <w:pPr>
        <w:tabs>
          <w:tab w:val="num" w:pos="3600"/>
        </w:tabs>
        <w:ind w:left="3600" w:hanging="360"/>
      </w:pPr>
      <w:rPr>
        <w:rFonts w:ascii="Arial" w:hAnsi="Arial" w:hint="default"/>
      </w:rPr>
    </w:lvl>
    <w:lvl w:ilvl="5" w:tplc="EF0094EA" w:tentative="1">
      <w:start w:val="1"/>
      <w:numFmt w:val="bullet"/>
      <w:lvlText w:val="•"/>
      <w:lvlJc w:val="left"/>
      <w:pPr>
        <w:tabs>
          <w:tab w:val="num" w:pos="4320"/>
        </w:tabs>
        <w:ind w:left="4320" w:hanging="360"/>
      </w:pPr>
      <w:rPr>
        <w:rFonts w:ascii="Arial" w:hAnsi="Arial" w:hint="default"/>
      </w:rPr>
    </w:lvl>
    <w:lvl w:ilvl="6" w:tplc="4B14C1FE" w:tentative="1">
      <w:start w:val="1"/>
      <w:numFmt w:val="bullet"/>
      <w:lvlText w:val="•"/>
      <w:lvlJc w:val="left"/>
      <w:pPr>
        <w:tabs>
          <w:tab w:val="num" w:pos="5040"/>
        </w:tabs>
        <w:ind w:left="5040" w:hanging="360"/>
      </w:pPr>
      <w:rPr>
        <w:rFonts w:ascii="Arial" w:hAnsi="Arial" w:hint="default"/>
      </w:rPr>
    </w:lvl>
    <w:lvl w:ilvl="7" w:tplc="BCE41ED2" w:tentative="1">
      <w:start w:val="1"/>
      <w:numFmt w:val="bullet"/>
      <w:lvlText w:val="•"/>
      <w:lvlJc w:val="left"/>
      <w:pPr>
        <w:tabs>
          <w:tab w:val="num" w:pos="5760"/>
        </w:tabs>
        <w:ind w:left="5760" w:hanging="360"/>
      </w:pPr>
      <w:rPr>
        <w:rFonts w:ascii="Arial" w:hAnsi="Arial" w:hint="default"/>
      </w:rPr>
    </w:lvl>
    <w:lvl w:ilvl="8" w:tplc="E8800F42" w:tentative="1">
      <w:start w:val="1"/>
      <w:numFmt w:val="bullet"/>
      <w:lvlText w:val="•"/>
      <w:lvlJc w:val="left"/>
      <w:pPr>
        <w:tabs>
          <w:tab w:val="num" w:pos="6480"/>
        </w:tabs>
        <w:ind w:left="6480" w:hanging="360"/>
      </w:pPr>
      <w:rPr>
        <w:rFonts w:ascii="Arial" w:hAnsi="Arial" w:hint="default"/>
      </w:rPr>
    </w:lvl>
  </w:abstractNum>
  <w:num w:numId="1">
    <w:abstractNumId w:val="46"/>
  </w:num>
  <w:num w:numId="2">
    <w:abstractNumId w:val="87"/>
  </w:num>
  <w:num w:numId="3">
    <w:abstractNumId w:val="50"/>
  </w:num>
  <w:num w:numId="4">
    <w:abstractNumId w:val="3"/>
  </w:num>
  <w:num w:numId="5">
    <w:abstractNumId w:val="51"/>
  </w:num>
  <w:num w:numId="6">
    <w:abstractNumId w:val="8"/>
  </w:num>
  <w:num w:numId="7">
    <w:abstractNumId w:val="116"/>
  </w:num>
  <w:num w:numId="8">
    <w:abstractNumId w:val="28"/>
  </w:num>
  <w:num w:numId="9">
    <w:abstractNumId w:val="114"/>
  </w:num>
  <w:num w:numId="10">
    <w:abstractNumId w:val="95"/>
  </w:num>
  <w:num w:numId="11">
    <w:abstractNumId w:val="68"/>
  </w:num>
  <w:num w:numId="12">
    <w:abstractNumId w:val="56"/>
  </w:num>
  <w:num w:numId="13">
    <w:abstractNumId w:val="86"/>
  </w:num>
  <w:num w:numId="14">
    <w:abstractNumId w:val="6"/>
  </w:num>
  <w:num w:numId="15">
    <w:abstractNumId w:val="105"/>
  </w:num>
  <w:num w:numId="16">
    <w:abstractNumId w:val="104"/>
  </w:num>
  <w:num w:numId="17">
    <w:abstractNumId w:val="15"/>
  </w:num>
  <w:num w:numId="18">
    <w:abstractNumId w:val="78"/>
  </w:num>
  <w:num w:numId="19">
    <w:abstractNumId w:val="91"/>
  </w:num>
  <w:num w:numId="20">
    <w:abstractNumId w:val="121"/>
  </w:num>
  <w:num w:numId="21">
    <w:abstractNumId w:val="61"/>
  </w:num>
  <w:num w:numId="22">
    <w:abstractNumId w:val="38"/>
  </w:num>
  <w:num w:numId="23">
    <w:abstractNumId w:val="21"/>
  </w:num>
  <w:num w:numId="24">
    <w:abstractNumId w:val="72"/>
  </w:num>
  <w:num w:numId="25">
    <w:abstractNumId w:val="33"/>
  </w:num>
  <w:num w:numId="26">
    <w:abstractNumId w:val="37"/>
  </w:num>
  <w:num w:numId="27">
    <w:abstractNumId w:val="75"/>
  </w:num>
  <w:num w:numId="28">
    <w:abstractNumId w:val="20"/>
  </w:num>
  <w:num w:numId="29">
    <w:abstractNumId w:val="22"/>
  </w:num>
  <w:num w:numId="30">
    <w:abstractNumId w:val="14"/>
  </w:num>
  <w:num w:numId="31">
    <w:abstractNumId w:val="48"/>
  </w:num>
  <w:num w:numId="32">
    <w:abstractNumId w:val="11"/>
  </w:num>
  <w:num w:numId="33">
    <w:abstractNumId w:val="10"/>
  </w:num>
  <w:num w:numId="34">
    <w:abstractNumId w:val="25"/>
  </w:num>
  <w:num w:numId="35">
    <w:abstractNumId w:val="125"/>
  </w:num>
  <w:num w:numId="36">
    <w:abstractNumId w:val="54"/>
  </w:num>
  <w:num w:numId="37">
    <w:abstractNumId w:val="82"/>
  </w:num>
  <w:num w:numId="38">
    <w:abstractNumId w:val="41"/>
  </w:num>
  <w:num w:numId="39">
    <w:abstractNumId w:val="93"/>
  </w:num>
  <w:num w:numId="40">
    <w:abstractNumId w:val="80"/>
  </w:num>
  <w:num w:numId="41">
    <w:abstractNumId w:val="84"/>
  </w:num>
  <w:num w:numId="42">
    <w:abstractNumId w:val="97"/>
  </w:num>
  <w:num w:numId="43">
    <w:abstractNumId w:val="35"/>
  </w:num>
  <w:num w:numId="44">
    <w:abstractNumId w:val="122"/>
  </w:num>
  <w:num w:numId="45">
    <w:abstractNumId w:val="23"/>
  </w:num>
  <w:num w:numId="46">
    <w:abstractNumId w:val="101"/>
  </w:num>
  <w:num w:numId="47">
    <w:abstractNumId w:val="27"/>
  </w:num>
  <w:num w:numId="48">
    <w:abstractNumId w:val="107"/>
  </w:num>
  <w:num w:numId="49">
    <w:abstractNumId w:val="83"/>
  </w:num>
  <w:num w:numId="50">
    <w:abstractNumId w:val="26"/>
  </w:num>
  <w:num w:numId="51">
    <w:abstractNumId w:val="31"/>
  </w:num>
  <w:num w:numId="52">
    <w:abstractNumId w:val="117"/>
  </w:num>
  <w:num w:numId="53">
    <w:abstractNumId w:val="99"/>
  </w:num>
  <w:num w:numId="54">
    <w:abstractNumId w:val="90"/>
  </w:num>
  <w:num w:numId="55">
    <w:abstractNumId w:val="47"/>
  </w:num>
  <w:num w:numId="56">
    <w:abstractNumId w:val="89"/>
  </w:num>
  <w:num w:numId="57">
    <w:abstractNumId w:val="59"/>
  </w:num>
  <w:num w:numId="58">
    <w:abstractNumId w:val="70"/>
  </w:num>
  <w:num w:numId="59">
    <w:abstractNumId w:val="81"/>
  </w:num>
  <w:num w:numId="60">
    <w:abstractNumId w:val="55"/>
  </w:num>
  <w:num w:numId="61">
    <w:abstractNumId w:val="40"/>
  </w:num>
  <w:num w:numId="62">
    <w:abstractNumId w:val="36"/>
  </w:num>
  <w:num w:numId="63">
    <w:abstractNumId w:val="88"/>
  </w:num>
  <w:num w:numId="64">
    <w:abstractNumId w:val="111"/>
  </w:num>
  <w:num w:numId="65">
    <w:abstractNumId w:val="62"/>
  </w:num>
  <w:num w:numId="66">
    <w:abstractNumId w:val="16"/>
  </w:num>
  <w:num w:numId="67">
    <w:abstractNumId w:val="92"/>
  </w:num>
  <w:num w:numId="68">
    <w:abstractNumId w:val="4"/>
  </w:num>
  <w:num w:numId="69">
    <w:abstractNumId w:val="123"/>
  </w:num>
  <w:num w:numId="70">
    <w:abstractNumId w:val="115"/>
  </w:num>
  <w:num w:numId="71">
    <w:abstractNumId w:val="9"/>
  </w:num>
  <w:num w:numId="72">
    <w:abstractNumId w:val="45"/>
  </w:num>
  <w:num w:numId="73">
    <w:abstractNumId w:val="79"/>
  </w:num>
  <w:num w:numId="74">
    <w:abstractNumId w:val="30"/>
  </w:num>
  <w:num w:numId="75">
    <w:abstractNumId w:val="69"/>
  </w:num>
  <w:num w:numId="76">
    <w:abstractNumId w:val="17"/>
  </w:num>
  <w:num w:numId="77">
    <w:abstractNumId w:val="103"/>
  </w:num>
  <w:num w:numId="78">
    <w:abstractNumId w:val="52"/>
  </w:num>
  <w:num w:numId="79">
    <w:abstractNumId w:val="19"/>
  </w:num>
  <w:num w:numId="80">
    <w:abstractNumId w:val="29"/>
  </w:num>
  <w:num w:numId="81">
    <w:abstractNumId w:val="13"/>
  </w:num>
  <w:num w:numId="82">
    <w:abstractNumId w:val="100"/>
  </w:num>
  <w:num w:numId="83">
    <w:abstractNumId w:val="110"/>
  </w:num>
  <w:num w:numId="84">
    <w:abstractNumId w:val="112"/>
  </w:num>
  <w:num w:numId="85">
    <w:abstractNumId w:val="43"/>
  </w:num>
  <w:num w:numId="86">
    <w:abstractNumId w:val="128"/>
  </w:num>
  <w:num w:numId="87">
    <w:abstractNumId w:val="124"/>
  </w:num>
  <w:num w:numId="88">
    <w:abstractNumId w:val="24"/>
  </w:num>
  <w:num w:numId="89">
    <w:abstractNumId w:val="102"/>
  </w:num>
  <w:num w:numId="90">
    <w:abstractNumId w:val="120"/>
  </w:num>
  <w:num w:numId="91">
    <w:abstractNumId w:val="119"/>
  </w:num>
  <w:num w:numId="92">
    <w:abstractNumId w:val="58"/>
  </w:num>
  <w:num w:numId="93">
    <w:abstractNumId w:val="49"/>
  </w:num>
  <w:num w:numId="94">
    <w:abstractNumId w:val="57"/>
  </w:num>
  <w:num w:numId="95">
    <w:abstractNumId w:val="60"/>
  </w:num>
  <w:num w:numId="96">
    <w:abstractNumId w:val="67"/>
  </w:num>
  <w:num w:numId="97">
    <w:abstractNumId w:val="109"/>
  </w:num>
  <w:num w:numId="98">
    <w:abstractNumId w:val="113"/>
  </w:num>
  <w:num w:numId="99">
    <w:abstractNumId w:val="12"/>
  </w:num>
  <w:num w:numId="100">
    <w:abstractNumId w:val="53"/>
  </w:num>
  <w:num w:numId="101">
    <w:abstractNumId w:val="64"/>
  </w:num>
  <w:num w:numId="102">
    <w:abstractNumId w:val="5"/>
  </w:num>
  <w:num w:numId="103">
    <w:abstractNumId w:val="39"/>
  </w:num>
  <w:num w:numId="104">
    <w:abstractNumId w:val="34"/>
  </w:num>
  <w:num w:numId="105">
    <w:abstractNumId w:val="71"/>
  </w:num>
  <w:num w:numId="106">
    <w:abstractNumId w:val="7"/>
  </w:num>
  <w:num w:numId="107">
    <w:abstractNumId w:val="94"/>
  </w:num>
  <w:num w:numId="108">
    <w:abstractNumId w:val="106"/>
  </w:num>
  <w:num w:numId="109">
    <w:abstractNumId w:val="118"/>
  </w:num>
  <w:num w:numId="110">
    <w:abstractNumId w:val="126"/>
  </w:num>
  <w:num w:numId="111">
    <w:abstractNumId w:val="44"/>
  </w:num>
  <w:num w:numId="112">
    <w:abstractNumId w:val="74"/>
  </w:num>
  <w:num w:numId="113">
    <w:abstractNumId w:val="63"/>
  </w:num>
  <w:num w:numId="114">
    <w:abstractNumId w:val="85"/>
  </w:num>
  <w:num w:numId="115">
    <w:abstractNumId w:val="73"/>
  </w:num>
  <w:num w:numId="116">
    <w:abstractNumId w:val="32"/>
  </w:num>
  <w:num w:numId="117">
    <w:abstractNumId w:val="66"/>
  </w:num>
  <w:num w:numId="118">
    <w:abstractNumId w:val="77"/>
  </w:num>
  <w:num w:numId="119">
    <w:abstractNumId w:val="76"/>
  </w:num>
  <w:num w:numId="120">
    <w:abstractNumId w:val="108"/>
  </w:num>
  <w:num w:numId="121">
    <w:abstractNumId w:val="98"/>
  </w:num>
  <w:num w:numId="122">
    <w:abstractNumId w:val="18"/>
  </w:num>
  <w:num w:numId="123">
    <w:abstractNumId w:val="96"/>
  </w:num>
  <w:num w:numId="124">
    <w:abstractNumId w:val="42"/>
  </w:num>
  <w:num w:numId="125">
    <w:abstractNumId w:val="127"/>
  </w:num>
  <w:num w:numId="126">
    <w:abstractNumId w:val="6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C93"/>
    <w:rsid w:val="00005FA7"/>
    <w:rsid w:val="000100D2"/>
    <w:rsid w:val="00010A65"/>
    <w:rsid w:val="00013504"/>
    <w:rsid w:val="000146D8"/>
    <w:rsid w:val="00015AF9"/>
    <w:rsid w:val="0001618F"/>
    <w:rsid w:val="00017794"/>
    <w:rsid w:val="00022F74"/>
    <w:rsid w:val="00023A63"/>
    <w:rsid w:val="000241DD"/>
    <w:rsid w:val="000246E2"/>
    <w:rsid w:val="00027133"/>
    <w:rsid w:val="00027C07"/>
    <w:rsid w:val="00031B69"/>
    <w:rsid w:val="00031E44"/>
    <w:rsid w:val="00031F0F"/>
    <w:rsid w:val="000341F1"/>
    <w:rsid w:val="00035313"/>
    <w:rsid w:val="00035823"/>
    <w:rsid w:val="00036AB2"/>
    <w:rsid w:val="0004045C"/>
    <w:rsid w:val="00042E76"/>
    <w:rsid w:val="00044F60"/>
    <w:rsid w:val="000456B2"/>
    <w:rsid w:val="00046A01"/>
    <w:rsid w:val="00046B40"/>
    <w:rsid w:val="0005108D"/>
    <w:rsid w:val="0005194B"/>
    <w:rsid w:val="00052D3E"/>
    <w:rsid w:val="00052DC4"/>
    <w:rsid w:val="000535DD"/>
    <w:rsid w:val="000537FE"/>
    <w:rsid w:val="00054C9B"/>
    <w:rsid w:val="00055096"/>
    <w:rsid w:val="00055E50"/>
    <w:rsid w:val="00062828"/>
    <w:rsid w:val="00063DAD"/>
    <w:rsid w:val="0006541D"/>
    <w:rsid w:val="000666F3"/>
    <w:rsid w:val="00067E1E"/>
    <w:rsid w:val="0007038B"/>
    <w:rsid w:val="000712DD"/>
    <w:rsid w:val="00072082"/>
    <w:rsid w:val="00074317"/>
    <w:rsid w:val="000747BD"/>
    <w:rsid w:val="00076481"/>
    <w:rsid w:val="000820E8"/>
    <w:rsid w:val="0008274D"/>
    <w:rsid w:val="00082EA8"/>
    <w:rsid w:val="000838E0"/>
    <w:rsid w:val="00085DEF"/>
    <w:rsid w:val="0008744D"/>
    <w:rsid w:val="00090C94"/>
    <w:rsid w:val="00090FA2"/>
    <w:rsid w:val="000914B7"/>
    <w:rsid w:val="000919DE"/>
    <w:rsid w:val="00092D40"/>
    <w:rsid w:val="00094F5E"/>
    <w:rsid w:val="000959F0"/>
    <w:rsid w:val="00097088"/>
    <w:rsid w:val="00097F48"/>
    <w:rsid w:val="000A0BF9"/>
    <w:rsid w:val="000A3A83"/>
    <w:rsid w:val="000A3B08"/>
    <w:rsid w:val="000A54F8"/>
    <w:rsid w:val="000B06A6"/>
    <w:rsid w:val="000B36CA"/>
    <w:rsid w:val="000B4F4D"/>
    <w:rsid w:val="000B5C49"/>
    <w:rsid w:val="000B7891"/>
    <w:rsid w:val="000C20EF"/>
    <w:rsid w:val="000C2C68"/>
    <w:rsid w:val="000C394A"/>
    <w:rsid w:val="000C3ED9"/>
    <w:rsid w:val="000C671E"/>
    <w:rsid w:val="000C6F1F"/>
    <w:rsid w:val="000D3E23"/>
    <w:rsid w:val="000D6A1A"/>
    <w:rsid w:val="000D7217"/>
    <w:rsid w:val="000D7ADD"/>
    <w:rsid w:val="000E210D"/>
    <w:rsid w:val="000E2926"/>
    <w:rsid w:val="000E2A42"/>
    <w:rsid w:val="000F02AD"/>
    <w:rsid w:val="000F19BA"/>
    <w:rsid w:val="000F308A"/>
    <w:rsid w:val="000F51EA"/>
    <w:rsid w:val="0010032B"/>
    <w:rsid w:val="00100D56"/>
    <w:rsid w:val="00100FED"/>
    <w:rsid w:val="001035F0"/>
    <w:rsid w:val="001040A6"/>
    <w:rsid w:val="0010474E"/>
    <w:rsid w:val="00104C40"/>
    <w:rsid w:val="00107808"/>
    <w:rsid w:val="001078CE"/>
    <w:rsid w:val="00117B5D"/>
    <w:rsid w:val="001215E4"/>
    <w:rsid w:val="00121676"/>
    <w:rsid w:val="00124F61"/>
    <w:rsid w:val="0012509E"/>
    <w:rsid w:val="00125E5D"/>
    <w:rsid w:val="00127040"/>
    <w:rsid w:val="00127EF2"/>
    <w:rsid w:val="001330C7"/>
    <w:rsid w:val="00135B7E"/>
    <w:rsid w:val="00135D0D"/>
    <w:rsid w:val="00136A51"/>
    <w:rsid w:val="00136BCF"/>
    <w:rsid w:val="001373B3"/>
    <w:rsid w:val="00137688"/>
    <w:rsid w:val="001413F8"/>
    <w:rsid w:val="00143519"/>
    <w:rsid w:val="00145BD6"/>
    <w:rsid w:val="001473B0"/>
    <w:rsid w:val="00147C14"/>
    <w:rsid w:val="00151083"/>
    <w:rsid w:val="00152626"/>
    <w:rsid w:val="00152940"/>
    <w:rsid w:val="00153AF2"/>
    <w:rsid w:val="00154919"/>
    <w:rsid w:val="00160801"/>
    <w:rsid w:val="00161A0B"/>
    <w:rsid w:val="00161F4E"/>
    <w:rsid w:val="00162403"/>
    <w:rsid w:val="00162C3F"/>
    <w:rsid w:val="001670B7"/>
    <w:rsid w:val="0017098E"/>
    <w:rsid w:val="0017316E"/>
    <w:rsid w:val="00174C9D"/>
    <w:rsid w:val="00174EC8"/>
    <w:rsid w:val="00175000"/>
    <w:rsid w:val="00175904"/>
    <w:rsid w:val="001770F9"/>
    <w:rsid w:val="0018044B"/>
    <w:rsid w:val="0018075A"/>
    <w:rsid w:val="001810E2"/>
    <w:rsid w:val="00183BD5"/>
    <w:rsid w:val="001841D4"/>
    <w:rsid w:val="001860EB"/>
    <w:rsid w:val="00186175"/>
    <w:rsid w:val="00191499"/>
    <w:rsid w:val="00192EC9"/>
    <w:rsid w:val="00194C4C"/>
    <w:rsid w:val="00196476"/>
    <w:rsid w:val="001A123D"/>
    <w:rsid w:val="001A12B7"/>
    <w:rsid w:val="001A1529"/>
    <w:rsid w:val="001A335C"/>
    <w:rsid w:val="001A4B8F"/>
    <w:rsid w:val="001A61D5"/>
    <w:rsid w:val="001A7C8C"/>
    <w:rsid w:val="001B1AB1"/>
    <w:rsid w:val="001B1BD8"/>
    <w:rsid w:val="001B22D3"/>
    <w:rsid w:val="001B3B74"/>
    <w:rsid w:val="001B3D87"/>
    <w:rsid w:val="001B429D"/>
    <w:rsid w:val="001B61A7"/>
    <w:rsid w:val="001C1D50"/>
    <w:rsid w:val="001C213A"/>
    <w:rsid w:val="001C3DB2"/>
    <w:rsid w:val="001C3E6B"/>
    <w:rsid w:val="001C5572"/>
    <w:rsid w:val="001C5C05"/>
    <w:rsid w:val="001C6624"/>
    <w:rsid w:val="001C6F8B"/>
    <w:rsid w:val="001D108D"/>
    <w:rsid w:val="001D33C0"/>
    <w:rsid w:val="001E05A8"/>
    <w:rsid w:val="001E120B"/>
    <w:rsid w:val="001E20B0"/>
    <w:rsid w:val="001E2F78"/>
    <w:rsid w:val="001E426F"/>
    <w:rsid w:val="001E6884"/>
    <w:rsid w:val="001E7B97"/>
    <w:rsid w:val="001F1EDF"/>
    <w:rsid w:val="001F4390"/>
    <w:rsid w:val="001F4620"/>
    <w:rsid w:val="001F61D6"/>
    <w:rsid w:val="00202A34"/>
    <w:rsid w:val="0020449F"/>
    <w:rsid w:val="00205C50"/>
    <w:rsid w:val="00211A2A"/>
    <w:rsid w:val="002130E9"/>
    <w:rsid w:val="00214524"/>
    <w:rsid w:val="00214581"/>
    <w:rsid w:val="00214A08"/>
    <w:rsid w:val="00215C32"/>
    <w:rsid w:val="00217731"/>
    <w:rsid w:val="0021780B"/>
    <w:rsid w:val="00226CD3"/>
    <w:rsid w:val="00226FDC"/>
    <w:rsid w:val="00227C43"/>
    <w:rsid w:val="00230660"/>
    <w:rsid w:val="002316BD"/>
    <w:rsid w:val="0023258F"/>
    <w:rsid w:val="00232C91"/>
    <w:rsid w:val="00232D6E"/>
    <w:rsid w:val="002342C5"/>
    <w:rsid w:val="00234E41"/>
    <w:rsid w:val="002354EB"/>
    <w:rsid w:val="00236251"/>
    <w:rsid w:val="002417C3"/>
    <w:rsid w:val="0024208D"/>
    <w:rsid w:val="00242DFA"/>
    <w:rsid w:val="002459CE"/>
    <w:rsid w:val="00247CF4"/>
    <w:rsid w:val="00250268"/>
    <w:rsid w:val="00251E5D"/>
    <w:rsid w:val="00254881"/>
    <w:rsid w:val="00255076"/>
    <w:rsid w:val="002550F1"/>
    <w:rsid w:val="00256588"/>
    <w:rsid w:val="00260889"/>
    <w:rsid w:val="00261281"/>
    <w:rsid w:val="00263647"/>
    <w:rsid w:val="00265247"/>
    <w:rsid w:val="00265799"/>
    <w:rsid w:val="00266925"/>
    <w:rsid w:val="00266F0C"/>
    <w:rsid w:val="0026736A"/>
    <w:rsid w:val="002674C2"/>
    <w:rsid w:val="00267988"/>
    <w:rsid w:val="0027215C"/>
    <w:rsid w:val="0027320E"/>
    <w:rsid w:val="00273769"/>
    <w:rsid w:val="0027462F"/>
    <w:rsid w:val="00274ACE"/>
    <w:rsid w:val="00275CEF"/>
    <w:rsid w:val="00276E6F"/>
    <w:rsid w:val="002778A4"/>
    <w:rsid w:val="00280177"/>
    <w:rsid w:val="0028134A"/>
    <w:rsid w:val="00282226"/>
    <w:rsid w:val="00282575"/>
    <w:rsid w:val="00285D95"/>
    <w:rsid w:val="00286C73"/>
    <w:rsid w:val="0028743F"/>
    <w:rsid w:val="00292210"/>
    <w:rsid w:val="00293C69"/>
    <w:rsid w:val="002A2221"/>
    <w:rsid w:val="002A5964"/>
    <w:rsid w:val="002A5CDA"/>
    <w:rsid w:val="002A69D7"/>
    <w:rsid w:val="002A70F7"/>
    <w:rsid w:val="002A7467"/>
    <w:rsid w:val="002B1A0E"/>
    <w:rsid w:val="002B2D51"/>
    <w:rsid w:val="002B3340"/>
    <w:rsid w:val="002B5A2C"/>
    <w:rsid w:val="002B78F7"/>
    <w:rsid w:val="002C09BE"/>
    <w:rsid w:val="002C192F"/>
    <w:rsid w:val="002C322A"/>
    <w:rsid w:val="002C3E0A"/>
    <w:rsid w:val="002C473A"/>
    <w:rsid w:val="002C5B4F"/>
    <w:rsid w:val="002C6776"/>
    <w:rsid w:val="002C6B45"/>
    <w:rsid w:val="002D1219"/>
    <w:rsid w:val="002D13B8"/>
    <w:rsid w:val="002D3350"/>
    <w:rsid w:val="002D7749"/>
    <w:rsid w:val="002E14D4"/>
    <w:rsid w:val="002E180B"/>
    <w:rsid w:val="002E2D3F"/>
    <w:rsid w:val="002E3A5F"/>
    <w:rsid w:val="002E3FD4"/>
    <w:rsid w:val="002E51B1"/>
    <w:rsid w:val="002E5844"/>
    <w:rsid w:val="002E5B38"/>
    <w:rsid w:val="002E7DDD"/>
    <w:rsid w:val="002F0FEF"/>
    <w:rsid w:val="002F52E4"/>
    <w:rsid w:val="002F69EB"/>
    <w:rsid w:val="00301D63"/>
    <w:rsid w:val="00302338"/>
    <w:rsid w:val="00302A8B"/>
    <w:rsid w:val="0030667B"/>
    <w:rsid w:val="0030692B"/>
    <w:rsid w:val="00307DD7"/>
    <w:rsid w:val="00311475"/>
    <w:rsid w:val="00311BC4"/>
    <w:rsid w:val="00314F82"/>
    <w:rsid w:val="003157A9"/>
    <w:rsid w:val="00315C63"/>
    <w:rsid w:val="00316E79"/>
    <w:rsid w:val="00320F1B"/>
    <w:rsid w:val="00332357"/>
    <w:rsid w:val="00332D2B"/>
    <w:rsid w:val="003330CE"/>
    <w:rsid w:val="0033475A"/>
    <w:rsid w:val="00337DB2"/>
    <w:rsid w:val="00337E9B"/>
    <w:rsid w:val="003401CA"/>
    <w:rsid w:val="003456E7"/>
    <w:rsid w:val="00346A2D"/>
    <w:rsid w:val="003479FC"/>
    <w:rsid w:val="003510B5"/>
    <w:rsid w:val="00353639"/>
    <w:rsid w:val="00353EEA"/>
    <w:rsid w:val="003562AF"/>
    <w:rsid w:val="0035660C"/>
    <w:rsid w:val="00356A49"/>
    <w:rsid w:val="003607D9"/>
    <w:rsid w:val="00361162"/>
    <w:rsid w:val="00361B4C"/>
    <w:rsid w:val="00367C64"/>
    <w:rsid w:val="003703D6"/>
    <w:rsid w:val="00373489"/>
    <w:rsid w:val="00374A1D"/>
    <w:rsid w:val="003773D7"/>
    <w:rsid w:val="00380810"/>
    <w:rsid w:val="00383300"/>
    <w:rsid w:val="00383812"/>
    <w:rsid w:val="00383F11"/>
    <w:rsid w:val="0038436D"/>
    <w:rsid w:val="003863E7"/>
    <w:rsid w:val="0038663B"/>
    <w:rsid w:val="003877CB"/>
    <w:rsid w:val="00387E2D"/>
    <w:rsid w:val="00390F58"/>
    <w:rsid w:val="003948A4"/>
    <w:rsid w:val="00397788"/>
    <w:rsid w:val="003A1CCB"/>
    <w:rsid w:val="003A2022"/>
    <w:rsid w:val="003A2164"/>
    <w:rsid w:val="003A27F9"/>
    <w:rsid w:val="003A3318"/>
    <w:rsid w:val="003A42F5"/>
    <w:rsid w:val="003A49F1"/>
    <w:rsid w:val="003A6CE6"/>
    <w:rsid w:val="003B09AF"/>
    <w:rsid w:val="003B2DD6"/>
    <w:rsid w:val="003B335B"/>
    <w:rsid w:val="003B348E"/>
    <w:rsid w:val="003B5171"/>
    <w:rsid w:val="003B6AA2"/>
    <w:rsid w:val="003B7D0C"/>
    <w:rsid w:val="003C1E49"/>
    <w:rsid w:val="003C2A78"/>
    <w:rsid w:val="003C3838"/>
    <w:rsid w:val="003C56DB"/>
    <w:rsid w:val="003C5EFD"/>
    <w:rsid w:val="003C67A9"/>
    <w:rsid w:val="003D0445"/>
    <w:rsid w:val="003D119B"/>
    <w:rsid w:val="003D26DE"/>
    <w:rsid w:val="003D408F"/>
    <w:rsid w:val="003D51DF"/>
    <w:rsid w:val="003D5EBC"/>
    <w:rsid w:val="003D6430"/>
    <w:rsid w:val="003E0530"/>
    <w:rsid w:val="003E11D1"/>
    <w:rsid w:val="003E1D82"/>
    <w:rsid w:val="003E2754"/>
    <w:rsid w:val="003E37F3"/>
    <w:rsid w:val="003E5507"/>
    <w:rsid w:val="003E6966"/>
    <w:rsid w:val="003F35A7"/>
    <w:rsid w:val="003F35F9"/>
    <w:rsid w:val="003F615B"/>
    <w:rsid w:val="00400293"/>
    <w:rsid w:val="00402CDD"/>
    <w:rsid w:val="004066A4"/>
    <w:rsid w:val="004073A1"/>
    <w:rsid w:val="004106BC"/>
    <w:rsid w:val="00412DDC"/>
    <w:rsid w:val="00413AA5"/>
    <w:rsid w:val="004159AF"/>
    <w:rsid w:val="00415C4A"/>
    <w:rsid w:val="00415FD7"/>
    <w:rsid w:val="00420265"/>
    <w:rsid w:val="00420307"/>
    <w:rsid w:val="0042069E"/>
    <w:rsid w:val="004227A3"/>
    <w:rsid w:val="004244FB"/>
    <w:rsid w:val="004307AB"/>
    <w:rsid w:val="004312DC"/>
    <w:rsid w:val="00433695"/>
    <w:rsid w:val="0043480A"/>
    <w:rsid w:val="0043551F"/>
    <w:rsid w:val="00435938"/>
    <w:rsid w:val="004400AE"/>
    <w:rsid w:val="004407A2"/>
    <w:rsid w:val="00442701"/>
    <w:rsid w:val="00442F34"/>
    <w:rsid w:val="00446D37"/>
    <w:rsid w:val="004479AA"/>
    <w:rsid w:val="00447B59"/>
    <w:rsid w:val="0045081C"/>
    <w:rsid w:val="00450A71"/>
    <w:rsid w:val="00451684"/>
    <w:rsid w:val="00451CC5"/>
    <w:rsid w:val="00451E59"/>
    <w:rsid w:val="004540B1"/>
    <w:rsid w:val="00460457"/>
    <w:rsid w:val="00463D4C"/>
    <w:rsid w:val="004641BB"/>
    <w:rsid w:val="00464447"/>
    <w:rsid w:val="0046472C"/>
    <w:rsid w:val="00466F2D"/>
    <w:rsid w:val="004673CC"/>
    <w:rsid w:val="00471779"/>
    <w:rsid w:val="00475319"/>
    <w:rsid w:val="00475894"/>
    <w:rsid w:val="004777BF"/>
    <w:rsid w:val="00477DD0"/>
    <w:rsid w:val="004837A1"/>
    <w:rsid w:val="00484F73"/>
    <w:rsid w:val="00486875"/>
    <w:rsid w:val="00487144"/>
    <w:rsid w:val="004900C5"/>
    <w:rsid w:val="004905CA"/>
    <w:rsid w:val="00490A6C"/>
    <w:rsid w:val="004916CD"/>
    <w:rsid w:val="0049281A"/>
    <w:rsid w:val="0049432E"/>
    <w:rsid w:val="00496F12"/>
    <w:rsid w:val="004A00DC"/>
    <w:rsid w:val="004A0B17"/>
    <w:rsid w:val="004A393C"/>
    <w:rsid w:val="004A5057"/>
    <w:rsid w:val="004A5E80"/>
    <w:rsid w:val="004A6425"/>
    <w:rsid w:val="004A7956"/>
    <w:rsid w:val="004B06B7"/>
    <w:rsid w:val="004B0B33"/>
    <w:rsid w:val="004B37CC"/>
    <w:rsid w:val="004B462E"/>
    <w:rsid w:val="004B4CB4"/>
    <w:rsid w:val="004B5E76"/>
    <w:rsid w:val="004C14F7"/>
    <w:rsid w:val="004C3789"/>
    <w:rsid w:val="004C3CFF"/>
    <w:rsid w:val="004C62E4"/>
    <w:rsid w:val="004D3351"/>
    <w:rsid w:val="004D38C6"/>
    <w:rsid w:val="004E1079"/>
    <w:rsid w:val="004E153E"/>
    <w:rsid w:val="004E2969"/>
    <w:rsid w:val="004E33DD"/>
    <w:rsid w:val="004E3ACB"/>
    <w:rsid w:val="004E3C3C"/>
    <w:rsid w:val="004E4767"/>
    <w:rsid w:val="004E4B86"/>
    <w:rsid w:val="004E5E68"/>
    <w:rsid w:val="004E6137"/>
    <w:rsid w:val="004F194C"/>
    <w:rsid w:val="004F1ABD"/>
    <w:rsid w:val="004F2DA6"/>
    <w:rsid w:val="004F3BCC"/>
    <w:rsid w:val="004F4F66"/>
    <w:rsid w:val="004F6942"/>
    <w:rsid w:val="004F7171"/>
    <w:rsid w:val="004F7900"/>
    <w:rsid w:val="005045AC"/>
    <w:rsid w:val="005049B0"/>
    <w:rsid w:val="005069B4"/>
    <w:rsid w:val="00507046"/>
    <w:rsid w:val="00511324"/>
    <w:rsid w:val="00511588"/>
    <w:rsid w:val="005125EC"/>
    <w:rsid w:val="005137A7"/>
    <w:rsid w:val="00513D4A"/>
    <w:rsid w:val="005155E6"/>
    <w:rsid w:val="00516D4B"/>
    <w:rsid w:val="00517500"/>
    <w:rsid w:val="00523114"/>
    <w:rsid w:val="00524332"/>
    <w:rsid w:val="005247AF"/>
    <w:rsid w:val="00525980"/>
    <w:rsid w:val="005323F3"/>
    <w:rsid w:val="0053647B"/>
    <w:rsid w:val="005375A0"/>
    <w:rsid w:val="00540AB4"/>
    <w:rsid w:val="00542F47"/>
    <w:rsid w:val="0054322D"/>
    <w:rsid w:val="00543B71"/>
    <w:rsid w:val="0054460E"/>
    <w:rsid w:val="005464D6"/>
    <w:rsid w:val="00546704"/>
    <w:rsid w:val="00546BC9"/>
    <w:rsid w:val="00554FFC"/>
    <w:rsid w:val="00561BB5"/>
    <w:rsid w:val="00562903"/>
    <w:rsid w:val="00562F68"/>
    <w:rsid w:val="00562FD1"/>
    <w:rsid w:val="00563E50"/>
    <w:rsid w:val="00563EF2"/>
    <w:rsid w:val="00564C01"/>
    <w:rsid w:val="00564C37"/>
    <w:rsid w:val="0056509E"/>
    <w:rsid w:val="00565CCF"/>
    <w:rsid w:val="00565ECE"/>
    <w:rsid w:val="00566AE9"/>
    <w:rsid w:val="005705BC"/>
    <w:rsid w:val="00570A65"/>
    <w:rsid w:val="00570B4C"/>
    <w:rsid w:val="00571E6A"/>
    <w:rsid w:val="00572E32"/>
    <w:rsid w:val="005757FA"/>
    <w:rsid w:val="00576C54"/>
    <w:rsid w:val="00577200"/>
    <w:rsid w:val="00577B39"/>
    <w:rsid w:val="0058002B"/>
    <w:rsid w:val="00581088"/>
    <w:rsid w:val="0058389F"/>
    <w:rsid w:val="00583CC7"/>
    <w:rsid w:val="005862EA"/>
    <w:rsid w:val="00586708"/>
    <w:rsid w:val="005916DE"/>
    <w:rsid w:val="005920F7"/>
    <w:rsid w:val="00592731"/>
    <w:rsid w:val="00595819"/>
    <w:rsid w:val="00597B1A"/>
    <w:rsid w:val="00597FDC"/>
    <w:rsid w:val="005A0296"/>
    <w:rsid w:val="005A2D65"/>
    <w:rsid w:val="005A2ECE"/>
    <w:rsid w:val="005A458C"/>
    <w:rsid w:val="005A6346"/>
    <w:rsid w:val="005A77C1"/>
    <w:rsid w:val="005B0496"/>
    <w:rsid w:val="005B0B14"/>
    <w:rsid w:val="005B319A"/>
    <w:rsid w:val="005B4F77"/>
    <w:rsid w:val="005B618D"/>
    <w:rsid w:val="005B750E"/>
    <w:rsid w:val="005C04AA"/>
    <w:rsid w:val="005C073F"/>
    <w:rsid w:val="005C204D"/>
    <w:rsid w:val="005C2B00"/>
    <w:rsid w:val="005C67B1"/>
    <w:rsid w:val="005C6A22"/>
    <w:rsid w:val="005C75E3"/>
    <w:rsid w:val="005C7B7D"/>
    <w:rsid w:val="005D16FF"/>
    <w:rsid w:val="005D3820"/>
    <w:rsid w:val="005D4B07"/>
    <w:rsid w:val="005D57C0"/>
    <w:rsid w:val="005D656E"/>
    <w:rsid w:val="005E1770"/>
    <w:rsid w:val="005E3B69"/>
    <w:rsid w:val="005E5295"/>
    <w:rsid w:val="005F1A1A"/>
    <w:rsid w:val="005F3F2D"/>
    <w:rsid w:val="005F6BC6"/>
    <w:rsid w:val="006037DF"/>
    <w:rsid w:val="00604214"/>
    <w:rsid w:val="00606546"/>
    <w:rsid w:val="00606DE1"/>
    <w:rsid w:val="006075FF"/>
    <w:rsid w:val="00607AFB"/>
    <w:rsid w:val="00610169"/>
    <w:rsid w:val="00610A63"/>
    <w:rsid w:val="0061222D"/>
    <w:rsid w:val="00616826"/>
    <w:rsid w:val="0061691E"/>
    <w:rsid w:val="00616FAE"/>
    <w:rsid w:val="006170B6"/>
    <w:rsid w:val="006174C8"/>
    <w:rsid w:val="00621C93"/>
    <w:rsid w:val="006228B6"/>
    <w:rsid w:val="0062416A"/>
    <w:rsid w:val="00625CC5"/>
    <w:rsid w:val="006306A1"/>
    <w:rsid w:val="006308E8"/>
    <w:rsid w:val="00632D8E"/>
    <w:rsid w:val="00636A19"/>
    <w:rsid w:val="0064065B"/>
    <w:rsid w:val="00640889"/>
    <w:rsid w:val="006475D9"/>
    <w:rsid w:val="00647FDA"/>
    <w:rsid w:val="00650580"/>
    <w:rsid w:val="006505F0"/>
    <w:rsid w:val="00650CDC"/>
    <w:rsid w:val="00651D48"/>
    <w:rsid w:val="00652D3C"/>
    <w:rsid w:val="006543D8"/>
    <w:rsid w:val="00654C87"/>
    <w:rsid w:val="00654CF8"/>
    <w:rsid w:val="006560A4"/>
    <w:rsid w:val="006567DD"/>
    <w:rsid w:val="00657CDC"/>
    <w:rsid w:val="006633DF"/>
    <w:rsid w:val="0066375B"/>
    <w:rsid w:val="006645CE"/>
    <w:rsid w:val="006673E6"/>
    <w:rsid w:val="00667868"/>
    <w:rsid w:val="00667ADC"/>
    <w:rsid w:val="0067261F"/>
    <w:rsid w:val="006739A2"/>
    <w:rsid w:val="006774CC"/>
    <w:rsid w:val="0067768E"/>
    <w:rsid w:val="0068428C"/>
    <w:rsid w:val="00685E32"/>
    <w:rsid w:val="00686981"/>
    <w:rsid w:val="00690C3F"/>
    <w:rsid w:val="0069309B"/>
    <w:rsid w:val="00696CA0"/>
    <w:rsid w:val="00696D06"/>
    <w:rsid w:val="00697413"/>
    <w:rsid w:val="00697C2B"/>
    <w:rsid w:val="006A3C69"/>
    <w:rsid w:val="006A4088"/>
    <w:rsid w:val="006A54A1"/>
    <w:rsid w:val="006A7975"/>
    <w:rsid w:val="006B159E"/>
    <w:rsid w:val="006B2FCD"/>
    <w:rsid w:val="006B5275"/>
    <w:rsid w:val="006B54AE"/>
    <w:rsid w:val="006B57FE"/>
    <w:rsid w:val="006C045A"/>
    <w:rsid w:val="006C0CD8"/>
    <w:rsid w:val="006C1854"/>
    <w:rsid w:val="006C220C"/>
    <w:rsid w:val="006C2475"/>
    <w:rsid w:val="006C5B36"/>
    <w:rsid w:val="006C659A"/>
    <w:rsid w:val="006C6CE3"/>
    <w:rsid w:val="006C7157"/>
    <w:rsid w:val="006D0A20"/>
    <w:rsid w:val="006D1439"/>
    <w:rsid w:val="006D1B22"/>
    <w:rsid w:val="006D27EA"/>
    <w:rsid w:val="006D3EC5"/>
    <w:rsid w:val="006D4674"/>
    <w:rsid w:val="006D52A4"/>
    <w:rsid w:val="006D7D45"/>
    <w:rsid w:val="006E0315"/>
    <w:rsid w:val="006E1FB9"/>
    <w:rsid w:val="006E2CDE"/>
    <w:rsid w:val="006E508F"/>
    <w:rsid w:val="006E7886"/>
    <w:rsid w:val="006F1E23"/>
    <w:rsid w:val="006F38DE"/>
    <w:rsid w:val="006F4877"/>
    <w:rsid w:val="006F5E9D"/>
    <w:rsid w:val="006F70D6"/>
    <w:rsid w:val="00700661"/>
    <w:rsid w:val="00700C6B"/>
    <w:rsid w:val="00700F3E"/>
    <w:rsid w:val="007032FF"/>
    <w:rsid w:val="007034EB"/>
    <w:rsid w:val="00706540"/>
    <w:rsid w:val="00713FB2"/>
    <w:rsid w:val="007151FE"/>
    <w:rsid w:val="007178DA"/>
    <w:rsid w:val="00721BC8"/>
    <w:rsid w:val="007252F2"/>
    <w:rsid w:val="00725633"/>
    <w:rsid w:val="00726B2D"/>
    <w:rsid w:val="00727C6F"/>
    <w:rsid w:val="00730996"/>
    <w:rsid w:val="00731D5A"/>
    <w:rsid w:val="007345A8"/>
    <w:rsid w:val="00737901"/>
    <w:rsid w:val="00741064"/>
    <w:rsid w:val="007429D7"/>
    <w:rsid w:val="00743A5B"/>
    <w:rsid w:val="00743DBA"/>
    <w:rsid w:val="00745106"/>
    <w:rsid w:val="0074544E"/>
    <w:rsid w:val="007457AE"/>
    <w:rsid w:val="00747501"/>
    <w:rsid w:val="0075212D"/>
    <w:rsid w:val="00757102"/>
    <w:rsid w:val="007571AB"/>
    <w:rsid w:val="00757AEB"/>
    <w:rsid w:val="00761267"/>
    <w:rsid w:val="007615B5"/>
    <w:rsid w:val="007617B7"/>
    <w:rsid w:val="00766C45"/>
    <w:rsid w:val="007679A1"/>
    <w:rsid w:val="00770950"/>
    <w:rsid w:val="007731D3"/>
    <w:rsid w:val="0077629C"/>
    <w:rsid w:val="00782602"/>
    <w:rsid w:val="007829DC"/>
    <w:rsid w:val="00784FC2"/>
    <w:rsid w:val="007853DB"/>
    <w:rsid w:val="007869B6"/>
    <w:rsid w:val="00791447"/>
    <w:rsid w:val="0079216E"/>
    <w:rsid w:val="007958F8"/>
    <w:rsid w:val="00796419"/>
    <w:rsid w:val="007A21FF"/>
    <w:rsid w:val="007A3F16"/>
    <w:rsid w:val="007A4A80"/>
    <w:rsid w:val="007A56CD"/>
    <w:rsid w:val="007A5D23"/>
    <w:rsid w:val="007B2916"/>
    <w:rsid w:val="007B36B7"/>
    <w:rsid w:val="007B40CC"/>
    <w:rsid w:val="007B438B"/>
    <w:rsid w:val="007B4A03"/>
    <w:rsid w:val="007B5C9E"/>
    <w:rsid w:val="007C1AE1"/>
    <w:rsid w:val="007C689A"/>
    <w:rsid w:val="007D04BA"/>
    <w:rsid w:val="007D43E3"/>
    <w:rsid w:val="007D77EA"/>
    <w:rsid w:val="007E0063"/>
    <w:rsid w:val="007E17F4"/>
    <w:rsid w:val="007E1A8A"/>
    <w:rsid w:val="007E368F"/>
    <w:rsid w:val="007E3A4F"/>
    <w:rsid w:val="007E3A89"/>
    <w:rsid w:val="007E3DC3"/>
    <w:rsid w:val="007E3F0B"/>
    <w:rsid w:val="007E411E"/>
    <w:rsid w:val="007E5D4D"/>
    <w:rsid w:val="007E6AD5"/>
    <w:rsid w:val="007F212F"/>
    <w:rsid w:val="007F3D23"/>
    <w:rsid w:val="007F57B4"/>
    <w:rsid w:val="007F6382"/>
    <w:rsid w:val="00801677"/>
    <w:rsid w:val="0080381C"/>
    <w:rsid w:val="00807AA5"/>
    <w:rsid w:val="00811387"/>
    <w:rsid w:val="00812369"/>
    <w:rsid w:val="0081273B"/>
    <w:rsid w:val="008151C2"/>
    <w:rsid w:val="0081600F"/>
    <w:rsid w:val="00816569"/>
    <w:rsid w:val="0082079B"/>
    <w:rsid w:val="008214C5"/>
    <w:rsid w:val="008220C2"/>
    <w:rsid w:val="0082336E"/>
    <w:rsid w:val="00825C93"/>
    <w:rsid w:val="00827581"/>
    <w:rsid w:val="00831018"/>
    <w:rsid w:val="0083228A"/>
    <w:rsid w:val="0083237E"/>
    <w:rsid w:val="0083485D"/>
    <w:rsid w:val="00835F84"/>
    <w:rsid w:val="00837FC3"/>
    <w:rsid w:val="008418CA"/>
    <w:rsid w:val="00841C5B"/>
    <w:rsid w:val="008428BE"/>
    <w:rsid w:val="0084307C"/>
    <w:rsid w:val="00843208"/>
    <w:rsid w:val="00843634"/>
    <w:rsid w:val="0084393C"/>
    <w:rsid w:val="008470A6"/>
    <w:rsid w:val="008500E9"/>
    <w:rsid w:val="008567C3"/>
    <w:rsid w:val="00857168"/>
    <w:rsid w:val="0086111C"/>
    <w:rsid w:val="0086277E"/>
    <w:rsid w:val="00865253"/>
    <w:rsid w:val="00865701"/>
    <w:rsid w:val="008662EA"/>
    <w:rsid w:val="00866AEF"/>
    <w:rsid w:val="00870286"/>
    <w:rsid w:val="00870EFC"/>
    <w:rsid w:val="0087175D"/>
    <w:rsid w:val="00871FD7"/>
    <w:rsid w:val="00872A59"/>
    <w:rsid w:val="008739E4"/>
    <w:rsid w:val="00876146"/>
    <w:rsid w:val="00876446"/>
    <w:rsid w:val="00876755"/>
    <w:rsid w:val="00877239"/>
    <w:rsid w:val="00881C3C"/>
    <w:rsid w:val="00882783"/>
    <w:rsid w:val="008850BC"/>
    <w:rsid w:val="0088545B"/>
    <w:rsid w:val="00885D3D"/>
    <w:rsid w:val="00892257"/>
    <w:rsid w:val="00893597"/>
    <w:rsid w:val="008A102E"/>
    <w:rsid w:val="008A15DA"/>
    <w:rsid w:val="008A3218"/>
    <w:rsid w:val="008A396B"/>
    <w:rsid w:val="008A3AF7"/>
    <w:rsid w:val="008A439F"/>
    <w:rsid w:val="008A44CF"/>
    <w:rsid w:val="008A61F0"/>
    <w:rsid w:val="008A7D2D"/>
    <w:rsid w:val="008B027E"/>
    <w:rsid w:val="008B02E3"/>
    <w:rsid w:val="008B1EAF"/>
    <w:rsid w:val="008B2E68"/>
    <w:rsid w:val="008B3862"/>
    <w:rsid w:val="008B5FD3"/>
    <w:rsid w:val="008B7A2D"/>
    <w:rsid w:val="008B7A4D"/>
    <w:rsid w:val="008C07C1"/>
    <w:rsid w:val="008C1ADA"/>
    <w:rsid w:val="008C219A"/>
    <w:rsid w:val="008C5E13"/>
    <w:rsid w:val="008D05DB"/>
    <w:rsid w:val="008D0B59"/>
    <w:rsid w:val="008D0B72"/>
    <w:rsid w:val="008D1861"/>
    <w:rsid w:val="008D1CBD"/>
    <w:rsid w:val="008D2845"/>
    <w:rsid w:val="008D2BC4"/>
    <w:rsid w:val="008D5BF1"/>
    <w:rsid w:val="008D69B1"/>
    <w:rsid w:val="008D7AD1"/>
    <w:rsid w:val="008E1C17"/>
    <w:rsid w:val="008E24CA"/>
    <w:rsid w:val="008E37EC"/>
    <w:rsid w:val="008E5BC0"/>
    <w:rsid w:val="008E5F4F"/>
    <w:rsid w:val="008F0E5A"/>
    <w:rsid w:val="008F1C1A"/>
    <w:rsid w:val="008F46F0"/>
    <w:rsid w:val="008F5D8D"/>
    <w:rsid w:val="008F5F07"/>
    <w:rsid w:val="008F7D0E"/>
    <w:rsid w:val="0090149A"/>
    <w:rsid w:val="00903B0C"/>
    <w:rsid w:val="00903FF7"/>
    <w:rsid w:val="00911578"/>
    <w:rsid w:val="00913F38"/>
    <w:rsid w:val="00915D4A"/>
    <w:rsid w:val="009169A3"/>
    <w:rsid w:val="00917202"/>
    <w:rsid w:val="00920C79"/>
    <w:rsid w:val="00923815"/>
    <w:rsid w:val="00925910"/>
    <w:rsid w:val="009308D4"/>
    <w:rsid w:val="009309B5"/>
    <w:rsid w:val="00936BE2"/>
    <w:rsid w:val="009375D3"/>
    <w:rsid w:val="009413A6"/>
    <w:rsid w:val="0094642D"/>
    <w:rsid w:val="00950AA7"/>
    <w:rsid w:val="009532EC"/>
    <w:rsid w:val="009535DE"/>
    <w:rsid w:val="00955473"/>
    <w:rsid w:val="00957F89"/>
    <w:rsid w:val="00960314"/>
    <w:rsid w:val="00961B25"/>
    <w:rsid w:val="00961CBD"/>
    <w:rsid w:val="0096784F"/>
    <w:rsid w:val="009749E6"/>
    <w:rsid w:val="00974EA9"/>
    <w:rsid w:val="00975285"/>
    <w:rsid w:val="009754F4"/>
    <w:rsid w:val="009759D0"/>
    <w:rsid w:val="0098146D"/>
    <w:rsid w:val="00981782"/>
    <w:rsid w:val="00981FAC"/>
    <w:rsid w:val="009855D9"/>
    <w:rsid w:val="00985DCE"/>
    <w:rsid w:val="00985E55"/>
    <w:rsid w:val="00986511"/>
    <w:rsid w:val="00986FBE"/>
    <w:rsid w:val="00993B51"/>
    <w:rsid w:val="00996732"/>
    <w:rsid w:val="00997C36"/>
    <w:rsid w:val="00997EC8"/>
    <w:rsid w:val="009A0904"/>
    <w:rsid w:val="009A0C00"/>
    <w:rsid w:val="009A0D48"/>
    <w:rsid w:val="009A4FD3"/>
    <w:rsid w:val="009A4FD6"/>
    <w:rsid w:val="009A7CAD"/>
    <w:rsid w:val="009A7CCB"/>
    <w:rsid w:val="009B0FE6"/>
    <w:rsid w:val="009B12B7"/>
    <w:rsid w:val="009B1741"/>
    <w:rsid w:val="009B2037"/>
    <w:rsid w:val="009B220D"/>
    <w:rsid w:val="009B39EA"/>
    <w:rsid w:val="009B46E0"/>
    <w:rsid w:val="009B520C"/>
    <w:rsid w:val="009B5326"/>
    <w:rsid w:val="009B5449"/>
    <w:rsid w:val="009B705D"/>
    <w:rsid w:val="009B7D02"/>
    <w:rsid w:val="009C153C"/>
    <w:rsid w:val="009C1B39"/>
    <w:rsid w:val="009C2839"/>
    <w:rsid w:val="009C4B54"/>
    <w:rsid w:val="009C633F"/>
    <w:rsid w:val="009C7BFC"/>
    <w:rsid w:val="009D0270"/>
    <w:rsid w:val="009D36B6"/>
    <w:rsid w:val="009D440C"/>
    <w:rsid w:val="009E0A9B"/>
    <w:rsid w:val="009E1742"/>
    <w:rsid w:val="009E22C0"/>
    <w:rsid w:val="009E2978"/>
    <w:rsid w:val="009E2F38"/>
    <w:rsid w:val="009E40D1"/>
    <w:rsid w:val="009E4ABD"/>
    <w:rsid w:val="009E4B50"/>
    <w:rsid w:val="009E5F60"/>
    <w:rsid w:val="009E7976"/>
    <w:rsid w:val="009F1876"/>
    <w:rsid w:val="009F1FE4"/>
    <w:rsid w:val="009F2099"/>
    <w:rsid w:val="009F27B3"/>
    <w:rsid w:val="009F2BAA"/>
    <w:rsid w:val="009F33F3"/>
    <w:rsid w:val="009F46E1"/>
    <w:rsid w:val="009F7E47"/>
    <w:rsid w:val="00A03886"/>
    <w:rsid w:val="00A150CD"/>
    <w:rsid w:val="00A15337"/>
    <w:rsid w:val="00A1596A"/>
    <w:rsid w:val="00A17A5B"/>
    <w:rsid w:val="00A22076"/>
    <w:rsid w:val="00A2279F"/>
    <w:rsid w:val="00A22A8E"/>
    <w:rsid w:val="00A26D91"/>
    <w:rsid w:val="00A26E88"/>
    <w:rsid w:val="00A317BF"/>
    <w:rsid w:val="00A3341D"/>
    <w:rsid w:val="00A35CB1"/>
    <w:rsid w:val="00A370FF"/>
    <w:rsid w:val="00A37DCF"/>
    <w:rsid w:val="00A41138"/>
    <w:rsid w:val="00A4132B"/>
    <w:rsid w:val="00A422E3"/>
    <w:rsid w:val="00A4447C"/>
    <w:rsid w:val="00A44B7D"/>
    <w:rsid w:val="00A45758"/>
    <w:rsid w:val="00A458E7"/>
    <w:rsid w:val="00A469F2"/>
    <w:rsid w:val="00A46B28"/>
    <w:rsid w:val="00A5037B"/>
    <w:rsid w:val="00A50D78"/>
    <w:rsid w:val="00A5203F"/>
    <w:rsid w:val="00A52760"/>
    <w:rsid w:val="00A53339"/>
    <w:rsid w:val="00A57029"/>
    <w:rsid w:val="00A606CB"/>
    <w:rsid w:val="00A6209E"/>
    <w:rsid w:val="00A62151"/>
    <w:rsid w:val="00A624AE"/>
    <w:rsid w:val="00A64671"/>
    <w:rsid w:val="00A64F6E"/>
    <w:rsid w:val="00A65280"/>
    <w:rsid w:val="00A65C18"/>
    <w:rsid w:val="00A66660"/>
    <w:rsid w:val="00A66A00"/>
    <w:rsid w:val="00A70D04"/>
    <w:rsid w:val="00A73044"/>
    <w:rsid w:val="00A7518C"/>
    <w:rsid w:val="00A75503"/>
    <w:rsid w:val="00A7721D"/>
    <w:rsid w:val="00A77B3C"/>
    <w:rsid w:val="00A81760"/>
    <w:rsid w:val="00A82E53"/>
    <w:rsid w:val="00A84816"/>
    <w:rsid w:val="00A85A3B"/>
    <w:rsid w:val="00A86324"/>
    <w:rsid w:val="00A871A1"/>
    <w:rsid w:val="00A8787F"/>
    <w:rsid w:val="00A909D5"/>
    <w:rsid w:val="00A90EE7"/>
    <w:rsid w:val="00A9140E"/>
    <w:rsid w:val="00A961FB"/>
    <w:rsid w:val="00A96D88"/>
    <w:rsid w:val="00AA36E1"/>
    <w:rsid w:val="00AA3F2F"/>
    <w:rsid w:val="00AB0F27"/>
    <w:rsid w:val="00AB1F64"/>
    <w:rsid w:val="00AB3C9B"/>
    <w:rsid w:val="00AB4977"/>
    <w:rsid w:val="00AB7C94"/>
    <w:rsid w:val="00AC119E"/>
    <w:rsid w:val="00AC3F48"/>
    <w:rsid w:val="00AC4019"/>
    <w:rsid w:val="00AC5926"/>
    <w:rsid w:val="00AC63FB"/>
    <w:rsid w:val="00AC6555"/>
    <w:rsid w:val="00AC6BA3"/>
    <w:rsid w:val="00AC78B8"/>
    <w:rsid w:val="00AD1C22"/>
    <w:rsid w:val="00AD2AF1"/>
    <w:rsid w:val="00AD45D9"/>
    <w:rsid w:val="00AD48FD"/>
    <w:rsid w:val="00AD75ED"/>
    <w:rsid w:val="00AE03A4"/>
    <w:rsid w:val="00AE2267"/>
    <w:rsid w:val="00AE2F14"/>
    <w:rsid w:val="00AE4B8D"/>
    <w:rsid w:val="00AE5D7A"/>
    <w:rsid w:val="00AE744B"/>
    <w:rsid w:val="00AF34E7"/>
    <w:rsid w:val="00AF3919"/>
    <w:rsid w:val="00AF56F3"/>
    <w:rsid w:val="00AF62A8"/>
    <w:rsid w:val="00AF63BD"/>
    <w:rsid w:val="00B00FFC"/>
    <w:rsid w:val="00B02B6A"/>
    <w:rsid w:val="00B02F04"/>
    <w:rsid w:val="00B04884"/>
    <w:rsid w:val="00B05348"/>
    <w:rsid w:val="00B05573"/>
    <w:rsid w:val="00B062E7"/>
    <w:rsid w:val="00B06F66"/>
    <w:rsid w:val="00B07575"/>
    <w:rsid w:val="00B11832"/>
    <w:rsid w:val="00B125B6"/>
    <w:rsid w:val="00B13A71"/>
    <w:rsid w:val="00B16449"/>
    <w:rsid w:val="00B215E9"/>
    <w:rsid w:val="00B238C0"/>
    <w:rsid w:val="00B27881"/>
    <w:rsid w:val="00B30EBE"/>
    <w:rsid w:val="00B32615"/>
    <w:rsid w:val="00B33051"/>
    <w:rsid w:val="00B335D3"/>
    <w:rsid w:val="00B33741"/>
    <w:rsid w:val="00B33897"/>
    <w:rsid w:val="00B344F1"/>
    <w:rsid w:val="00B36C27"/>
    <w:rsid w:val="00B40AB1"/>
    <w:rsid w:val="00B40E3D"/>
    <w:rsid w:val="00B422E4"/>
    <w:rsid w:val="00B42788"/>
    <w:rsid w:val="00B45EE6"/>
    <w:rsid w:val="00B463C4"/>
    <w:rsid w:val="00B53202"/>
    <w:rsid w:val="00B62340"/>
    <w:rsid w:val="00B64958"/>
    <w:rsid w:val="00B651B1"/>
    <w:rsid w:val="00B65285"/>
    <w:rsid w:val="00B6583F"/>
    <w:rsid w:val="00B66394"/>
    <w:rsid w:val="00B672EA"/>
    <w:rsid w:val="00B72E5C"/>
    <w:rsid w:val="00B73014"/>
    <w:rsid w:val="00B738E4"/>
    <w:rsid w:val="00B76DAC"/>
    <w:rsid w:val="00B77547"/>
    <w:rsid w:val="00B83999"/>
    <w:rsid w:val="00B868C3"/>
    <w:rsid w:val="00B86D0F"/>
    <w:rsid w:val="00B87EA5"/>
    <w:rsid w:val="00B9498F"/>
    <w:rsid w:val="00B97AD1"/>
    <w:rsid w:val="00BA13AE"/>
    <w:rsid w:val="00BA2214"/>
    <w:rsid w:val="00BA266B"/>
    <w:rsid w:val="00BA448B"/>
    <w:rsid w:val="00BA4CCA"/>
    <w:rsid w:val="00BA5B58"/>
    <w:rsid w:val="00BA7275"/>
    <w:rsid w:val="00BA7AC8"/>
    <w:rsid w:val="00BB02B7"/>
    <w:rsid w:val="00BB0992"/>
    <w:rsid w:val="00BB11E8"/>
    <w:rsid w:val="00BB183E"/>
    <w:rsid w:val="00BB20CB"/>
    <w:rsid w:val="00BB2FEC"/>
    <w:rsid w:val="00BB37DA"/>
    <w:rsid w:val="00BB4E04"/>
    <w:rsid w:val="00BB6D5E"/>
    <w:rsid w:val="00BB7955"/>
    <w:rsid w:val="00BC0EB3"/>
    <w:rsid w:val="00BC166D"/>
    <w:rsid w:val="00BC4AB5"/>
    <w:rsid w:val="00BC4C68"/>
    <w:rsid w:val="00BC5345"/>
    <w:rsid w:val="00BC5391"/>
    <w:rsid w:val="00BC6B38"/>
    <w:rsid w:val="00BC76E4"/>
    <w:rsid w:val="00BD48FF"/>
    <w:rsid w:val="00BD52DD"/>
    <w:rsid w:val="00BD7147"/>
    <w:rsid w:val="00BE3583"/>
    <w:rsid w:val="00BE3F1A"/>
    <w:rsid w:val="00BE6BD9"/>
    <w:rsid w:val="00BF3AC9"/>
    <w:rsid w:val="00BF74F1"/>
    <w:rsid w:val="00C0025D"/>
    <w:rsid w:val="00C013E0"/>
    <w:rsid w:val="00C0369A"/>
    <w:rsid w:val="00C05A96"/>
    <w:rsid w:val="00C06E4D"/>
    <w:rsid w:val="00C10D0A"/>
    <w:rsid w:val="00C12DA8"/>
    <w:rsid w:val="00C151F3"/>
    <w:rsid w:val="00C15FE7"/>
    <w:rsid w:val="00C2235A"/>
    <w:rsid w:val="00C22C22"/>
    <w:rsid w:val="00C24CBD"/>
    <w:rsid w:val="00C25B44"/>
    <w:rsid w:val="00C26DD7"/>
    <w:rsid w:val="00C26F94"/>
    <w:rsid w:val="00C2787D"/>
    <w:rsid w:val="00C319F8"/>
    <w:rsid w:val="00C31CA0"/>
    <w:rsid w:val="00C32474"/>
    <w:rsid w:val="00C32A08"/>
    <w:rsid w:val="00C339DC"/>
    <w:rsid w:val="00C339FD"/>
    <w:rsid w:val="00C34009"/>
    <w:rsid w:val="00C341E5"/>
    <w:rsid w:val="00C346D5"/>
    <w:rsid w:val="00C34767"/>
    <w:rsid w:val="00C3494E"/>
    <w:rsid w:val="00C364C1"/>
    <w:rsid w:val="00C378FD"/>
    <w:rsid w:val="00C40A57"/>
    <w:rsid w:val="00C40F55"/>
    <w:rsid w:val="00C410A1"/>
    <w:rsid w:val="00C41412"/>
    <w:rsid w:val="00C43176"/>
    <w:rsid w:val="00C44041"/>
    <w:rsid w:val="00C442A6"/>
    <w:rsid w:val="00C45F41"/>
    <w:rsid w:val="00C479B5"/>
    <w:rsid w:val="00C50592"/>
    <w:rsid w:val="00C512D6"/>
    <w:rsid w:val="00C51669"/>
    <w:rsid w:val="00C52A46"/>
    <w:rsid w:val="00C540AE"/>
    <w:rsid w:val="00C55664"/>
    <w:rsid w:val="00C562D4"/>
    <w:rsid w:val="00C57BB2"/>
    <w:rsid w:val="00C60F7C"/>
    <w:rsid w:val="00C6407C"/>
    <w:rsid w:val="00C640C5"/>
    <w:rsid w:val="00C7386A"/>
    <w:rsid w:val="00C801CD"/>
    <w:rsid w:val="00C80BFA"/>
    <w:rsid w:val="00C83EB2"/>
    <w:rsid w:val="00C84739"/>
    <w:rsid w:val="00C853ED"/>
    <w:rsid w:val="00C90B9C"/>
    <w:rsid w:val="00C96FB4"/>
    <w:rsid w:val="00CA0E06"/>
    <w:rsid w:val="00CA0EF6"/>
    <w:rsid w:val="00CA3889"/>
    <w:rsid w:val="00CA7541"/>
    <w:rsid w:val="00CB02E7"/>
    <w:rsid w:val="00CB1C15"/>
    <w:rsid w:val="00CB328B"/>
    <w:rsid w:val="00CB3607"/>
    <w:rsid w:val="00CB5FB8"/>
    <w:rsid w:val="00CC01FA"/>
    <w:rsid w:val="00CC0623"/>
    <w:rsid w:val="00CC113A"/>
    <w:rsid w:val="00CC6741"/>
    <w:rsid w:val="00CD11C9"/>
    <w:rsid w:val="00CD140A"/>
    <w:rsid w:val="00CD167A"/>
    <w:rsid w:val="00CD20F4"/>
    <w:rsid w:val="00CD2F2A"/>
    <w:rsid w:val="00CD3C5B"/>
    <w:rsid w:val="00CD43A1"/>
    <w:rsid w:val="00CD4EB2"/>
    <w:rsid w:val="00CD51E9"/>
    <w:rsid w:val="00CD57B9"/>
    <w:rsid w:val="00CD63F3"/>
    <w:rsid w:val="00CD70AB"/>
    <w:rsid w:val="00CE2265"/>
    <w:rsid w:val="00CE3799"/>
    <w:rsid w:val="00CE46C6"/>
    <w:rsid w:val="00CE51A6"/>
    <w:rsid w:val="00CE6D05"/>
    <w:rsid w:val="00CE6FD1"/>
    <w:rsid w:val="00CF07FE"/>
    <w:rsid w:val="00CF30EC"/>
    <w:rsid w:val="00CF447D"/>
    <w:rsid w:val="00CF646B"/>
    <w:rsid w:val="00D00EF3"/>
    <w:rsid w:val="00D00FC9"/>
    <w:rsid w:val="00D021D1"/>
    <w:rsid w:val="00D027AA"/>
    <w:rsid w:val="00D03212"/>
    <w:rsid w:val="00D05051"/>
    <w:rsid w:val="00D05F91"/>
    <w:rsid w:val="00D06F09"/>
    <w:rsid w:val="00D10EBA"/>
    <w:rsid w:val="00D11B42"/>
    <w:rsid w:val="00D14FAC"/>
    <w:rsid w:val="00D204CE"/>
    <w:rsid w:val="00D20613"/>
    <w:rsid w:val="00D254D7"/>
    <w:rsid w:val="00D26186"/>
    <w:rsid w:val="00D2683F"/>
    <w:rsid w:val="00D303A5"/>
    <w:rsid w:val="00D32A67"/>
    <w:rsid w:val="00D32E37"/>
    <w:rsid w:val="00D343BE"/>
    <w:rsid w:val="00D347C1"/>
    <w:rsid w:val="00D36034"/>
    <w:rsid w:val="00D46744"/>
    <w:rsid w:val="00D51C93"/>
    <w:rsid w:val="00D53752"/>
    <w:rsid w:val="00D53D86"/>
    <w:rsid w:val="00D558E6"/>
    <w:rsid w:val="00D56B70"/>
    <w:rsid w:val="00D56C7E"/>
    <w:rsid w:val="00D60066"/>
    <w:rsid w:val="00D6190B"/>
    <w:rsid w:val="00D61D3F"/>
    <w:rsid w:val="00D674F2"/>
    <w:rsid w:val="00D7249C"/>
    <w:rsid w:val="00D73E94"/>
    <w:rsid w:val="00D76525"/>
    <w:rsid w:val="00D8107E"/>
    <w:rsid w:val="00D819FE"/>
    <w:rsid w:val="00D82655"/>
    <w:rsid w:val="00D82BDC"/>
    <w:rsid w:val="00D82F07"/>
    <w:rsid w:val="00D83970"/>
    <w:rsid w:val="00D83B21"/>
    <w:rsid w:val="00D87F42"/>
    <w:rsid w:val="00D939C8"/>
    <w:rsid w:val="00D946B8"/>
    <w:rsid w:val="00D95205"/>
    <w:rsid w:val="00D96239"/>
    <w:rsid w:val="00DA088A"/>
    <w:rsid w:val="00DA0D7E"/>
    <w:rsid w:val="00DA284E"/>
    <w:rsid w:val="00DA32CC"/>
    <w:rsid w:val="00DA37F6"/>
    <w:rsid w:val="00DA398C"/>
    <w:rsid w:val="00DA45BE"/>
    <w:rsid w:val="00DA7B68"/>
    <w:rsid w:val="00DB0721"/>
    <w:rsid w:val="00DB2066"/>
    <w:rsid w:val="00DB47B2"/>
    <w:rsid w:val="00DB5A05"/>
    <w:rsid w:val="00DC0169"/>
    <w:rsid w:val="00DC0EF7"/>
    <w:rsid w:val="00DC289B"/>
    <w:rsid w:val="00DC2B1B"/>
    <w:rsid w:val="00DC2D17"/>
    <w:rsid w:val="00DC3D62"/>
    <w:rsid w:val="00DC724B"/>
    <w:rsid w:val="00DC7C65"/>
    <w:rsid w:val="00DD0079"/>
    <w:rsid w:val="00DD13FA"/>
    <w:rsid w:val="00DD147D"/>
    <w:rsid w:val="00DD1F35"/>
    <w:rsid w:val="00DD254B"/>
    <w:rsid w:val="00DD27C6"/>
    <w:rsid w:val="00DD2A11"/>
    <w:rsid w:val="00DE03A5"/>
    <w:rsid w:val="00DE09AA"/>
    <w:rsid w:val="00DE0E93"/>
    <w:rsid w:val="00DE5FEE"/>
    <w:rsid w:val="00DE70A0"/>
    <w:rsid w:val="00DF200E"/>
    <w:rsid w:val="00DF241B"/>
    <w:rsid w:val="00DF24F1"/>
    <w:rsid w:val="00DF2E87"/>
    <w:rsid w:val="00DF361C"/>
    <w:rsid w:val="00DF5A6E"/>
    <w:rsid w:val="00DF70B0"/>
    <w:rsid w:val="00E0011D"/>
    <w:rsid w:val="00E01F90"/>
    <w:rsid w:val="00E052DF"/>
    <w:rsid w:val="00E06643"/>
    <w:rsid w:val="00E067C1"/>
    <w:rsid w:val="00E072F4"/>
    <w:rsid w:val="00E11DEF"/>
    <w:rsid w:val="00E120F4"/>
    <w:rsid w:val="00E123B6"/>
    <w:rsid w:val="00E12C39"/>
    <w:rsid w:val="00E12E12"/>
    <w:rsid w:val="00E1625A"/>
    <w:rsid w:val="00E170CD"/>
    <w:rsid w:val="00E2003A"/>
    <w:rsid w:val="00E2179F"/>
    <w:rsid w:val="00E22A4E"/>
    <w:rsid w:val="00E22D17"/>
    <w:rsid w:val="00E235FE"/>
    <w:rsid w:val="00E24DE6"/>
    <w:rsid w:val="00E274D6"/>
    <w:rsid w:val="00E315C5"/>
    <w:rsid w:val="00E31684"/>
    <w:rsid w:val="00E36347"/>
    <w:rsid w:val="00E42742"/>
    <w:rsid w:val="00E430AD"/>
    <w:rsid w:val="00E43D51"/>
    <w:rsid w:val="00E50C86"/>
    <w:rsid w:val="00E512E9"/>
    <w:rsid w:val="00E55140"/>
    <w:rsid w:val="00E55709"/>
    <w:rsid w:val="00E559F7"/>
    <w:rsid w:val="00E56A5A"/>
    <w:rsid w:val="00E56DA3"/>
    <w:rsid w:val="00E56F81"/>
    <w:rsid w:val="00E57260"/>
    <w:rsid w:val="00E57FF8"/>
    <w:rsid w:val="00E60DBC"/>
    <w:rsid w:val="00E62ADB"/>
    <w:rsid w:val="00E63FE8"/>
    <w:rsid w:val="00E657FF"/>
    <w:rsid w:val="00E66270"/>
    <w:rsid w:val="00E6635A"/>
    <w:rsid w:val="00E7076A"/>
    <w:rsid w:val="00E71B5E"/>
    <w:rsid w:val="00E75753"/>
    <w:rsid w:val="00E761A3"/>
    <w:rsid w:val="00E7737E"/>
    <w:rsid w:val="00E800B9"/>
    <w:rsid w:val="00E8237D"/>
    <w:rsid w:val="00E82D59"/>
    <w:rsid w:val="00E83459"/>
    <w:rsid w:val="00E83468"/>
    <w:rsid w:val="00E96088"/>
    <w:rsid w:val="00EA01DC"/>
    <w:rsid w:val="00EA02C9"/>
    <w:rsid w:val="00EA09EC"/>
    <w:rsid w:val="00EA1A81"/>
    <w:rsid w:val="00EA1B56"/>
    <w:rsid w:val="00EA20F4"/>
    <w:rsid w:val="00EA21E6"/>
    <w:rsid w:val="00EA416B"/>
    <w:rsid w:val="00EA4219"/>
    <w:rsid w:val="00EA4435"/>
    <w:rsid w:val="00EA5574"/>
    <w:rsid w:val="00EA57A8"/>
    <w:rsid w:val="00EA630F"/>
    <w:rsid w:val="00EA6DD4"/>
    <w:rsid w:val="00EA76D8"/>
    <w:rsid w:val="00EB06A5"/>
    <w:rsid w:val="00EB1ED8"/>
    <w:rsid w:val="00EB32E7"/>
    <w:rsid w:val="00EB4C28"/>
    <w:rsid w:val="00EB5444"/>
    <w:rsid w:val="00EC0CEE"/>
    <w:rsid w:val="00EC2FA1"/>
    <w:rsid w:val="00EC2FC3"/>
    <w:rsid w:val="00EC39E1"/>
    <w:rsid w:val="00EC4B3B"/>
    <w:rsid w:val="00EC5484"/>
    <w:rsid w:val="00EC6002"/>
    <w:rsid w:val="00ED0DCF"/>
    <w:rsid w:val="00ED0DD8"/>
    <w:rsid w:val="00ED2949"/>
    <w:rsid w:val="00ED3318"/>
    <w:rsid w:val="00ED4347"/>
    <w:rsid w:val="00EE0EA2"/>
    <w:rsid w:val="00EE11C0"/>
    <w:rsid w:val="00EE276D"/>
    <w:rsid w:val="00EE2A8A"/>
    <w:rsid w:val="00EE4646"/>
    <w:rsid w:val="00EE553A"/>
    <w:rsid w:val="00EE5F56"/>
    <w:rsid w:val="00EE6888"/>
    <w:rsid w:val="00EE6BE7"/>
    <w:rsid w:val="00EF09DD"/>
    <w:rsid w:val="00EF2159"/>
    <w:rsid w:val="00EF2853"/>
    <w:rsid w:val="00EF35FD"/>
    <w:rsid w:val="00EF3762"/>
    <w:rsid w:val="00EF4C71"/>
    <w:rsid w:val="00EF5F86"/>
    <w:rsid w:val="00EF6517"/>
    <w:rsid w:val="00EF6757"/>
    <w:rsid w:val="00EF729B"/>
    <w:rsid w:val="00F00078"/>
    <w:rsid w:val="00F02339"/>
    <w:rsid w:val="00F02926"/>
    <w:rsid w:val="00F041D5"/>
    <w:rsid w:val="00F05E31"/>
    <w:rsid w:val="00F07036"/>
    <w:rsid w:val="00F1053F"/>
    <w:rsid w:val="00F115D6"/>
    <w:rsid w:val="00F12D29"/>
    <w:rsid w:val="00F12D5F"/>
    <w:rsid w:val="00F13B00"/>
    <w:rsid w:val="00F14A0C"/>
    <w:rsid w:val="00F17C5B"/>
    <w:rsid w:val="00F20511"/>
    <w:rsid w:val="00F20AA9"/>
    <w:rsid w:val="00F228EE"/>
    <w:rsid w:val="00F24CB8"/>
    <w:rsid w:val="00F266A4"/>
    <w:rsid w:val="00F3134F"/>
    <w:rsid w:val="00F329BD"/>
    <w:rsid w:val="00F32D90"/>
    <w:rsid w:val="00F35AF3"/>
    <w:rsid w:val="00F37C07"/>
    <w:rsid w:val="00F40352"/>
    <w:rsid w:val="00F435C9"/>
    <w:rsid w:val="00F43A19"/>
    <w:rsid w:val="00F44780"/>
    <w:rsid w:val="00F44E69"/>
    <w:rsid w:val="00F477AE"/>
    <w:rsid w:val="00F47A7F"/>
    <w:rsid w:val="00F507B5"/>
    <w:rsid w:val="00F51613"/>
    <w:rsid w:val="00F51FAB"/>
    <w:rsid w:val="00F52008"/>
    <w:rsid w:val="00F5322B"/>
    <w:rsid w:val="00F54F9E"/>
    <w:rsid w:val="00F61364"/>
    <w:rsid w:val="00F63F87"/>
    <w:rsid w:val="00F643A1"/>
    <w:rsid w:val="00F6470B"/>
    <w:rsid w:val="00F65AD1"/>
    <w:rsid w:val="00F70AE4"/>
    <w:rsid w:val="00F720BD"/>
    <w:rsid w:val="00F73F9C"/>
    <w:rsid w:val="00F740AE"/>
    <w:rsid w:val="00F74127"/>
    <w:rsid w:val="00F80796"/>
    <w:rsid w:val="00F81005"/>
    <w:rsid w:val="00F81DB4"/>
    <w:rsid w:val="00F824CE"/>
    <w:rsid w:val="00F86D93"/>
    <w:rsid w:val="00F9286F"/>
    <w:rsid w:val="00F93898"/>
    <w:rsid w:val="00F967A4"/>
    <w:rsid w:val="00FA185E"/>
    <w:rsid w:val="00FA4C7B"/>
    <w:rsid w:val="00FA4CA4"/>
    <w:rsid w:val="00FA563A"/>
    <w:rsid w:val="00FA633B"/>
    <w:rsid w:val="00FA669E"/>
    <w:rsid w:val="00FB1775"/>
    <w:rsid w:val="00FB27D0"/>
    <w:rsid w:val="00FB36E8"/>
    <w:rsid w:val="00FB421E"/>
    <w:rsid w:val="00FB68EF"/>
    <w:rsid w:val="00FC5423"/>
    <w:rsid w:val="00FC5D28"/>
    <w:rsid w:val="00FC61F4"/>
    <w:rsid w:val="00FC645A"/>
    <w:rsid w:val="00FC6AAA"/>
    <w:rsid w:val="00FD2D4C"/>
    <w:rsid w:val="00FD35CD"/>
    <w:rsid w:val="00FD37B5"/>
    <w:rsid w:val="00FD4BAB"/>
    <w:rsid w:val="00FD7380"/>
    <w:rsid w:val="00FD7676"/>
    <w:rsid w:val="00FE0210"/>
    <w:rsid w:val="00FE0E55"/>
    <w:rsid w:val="00FE4FBA"/>
    <w:rsid w:val="00FE515D"/>
    <w:rsid w:val="00FE6625"/>
    <w:rsid w:val="00FF2A8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7901"/>
    <w:pPr>
      <w:spacing w:after="0" w:line="276" w:lineRule="auto"/>
      <w:jc w:val="both"/>
    </w:pPr>
    <w:rPr>
      <w:rFonts w:ascii="Times New Roman" w:hAnsi="Times New Roman"/>
      <w:sz w:val="24"/>
    </w:rPr>
  </w:style>
  <w:style w:type="paragraph" w:styleId="Nagwek1">
    <w:name w:val="heading 1"/>
    <w:basedOn w:val="Normalny"/>
    <w:next w:val="Normalny"/>
    <w:link w:val="Nagwek1Znak"/>
    <w:uiPriority w:val="9"/>
    <w:qFormat/>
    <w:rsid w:val="00F000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A28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535DD"/>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0535DD"/>
    <w:pPr>
      <w:keepNext/>
      <w:keepLines/>
      <w:spacing w:before="20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EB06A5"/>
    <w:pPr>
      <w:keepNext/>
      <w:keepLines/>
      <w:spacing w:before="20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37901"/>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737901"/>
    <w:pPr>
      <w:spacing w:after="200" w:line="240" w:lineRule="auto"/>
    </w:pPr>
    <w:rPr>
      <w:i/>
      <w:iCs/>
      <w:color w:val="44546A" w:themeColor="text2"/>
      <w:sz w:val="18"/>
      <w:szCs w:val="18"/>
    </w:rPr>
  </w:style>
  <w:style w:type="table" w:styleId="rednialista1akcent3">
    <w:name w:val="Medium List 1 Accent 3"/>
    <w:basedOn w:val="Standardowy"/>
    <w:uiPriority w:val="65"/>
    <w:rsid w:val="00737901"/>
    <w:pPr>
      <w:spacing w:after="0" w:line="240" w:lineRule="auto"/>
      <w:jc w:val="both"/>
    </w:pPr>
    <w:rPr>
      <w:color w:val="000000" w:themeColor="text1"/>
      <w:lang w:val="en-US" w:bidi="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Nagwek1Znak">
    <w:name w:val="Nagłówek 1 Znak"/>
    <w:basedOn w:val="Domylnaczcionkaakapitu"/>
    <w:link w:val="Nagwek1"/>
    <w:uiPriority w:val="9"/>
    <w:rsid w:val="00F00078"/>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59"/>
    <w:rsid w:val="00F2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34"/>
    <w:qFormat/>
    <w:rsid w:val="00EC4B3B"/>
    <w:pPr>
      <w:ind w:left="720"/>
      <w:contextualSpacing/>
    </w:pPr>
  </w:style>
  <w:style w:type="paragraph" w:styleId="Bezodstpw">
    <w:name w:val="No Spacing"/>
    <w:link w:val="BezodstpwZnak"/>
    <w:uiPriority w:val="1"/>
    <w:qFormat/>
    <w:rsid w:val="00DA284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A284E"/>
    <w:rPr>
      <w:rFonts w:eastAsiaTheme="minorEastAsia"/>
      <w:lang w:eastAsia="pl-PL"/>
    </w:rPr>
  </w:style>
  <w:style w:type="paragraph" w:styleId="Nagwek">
    <w:name w:val="header"/>
    <w:basedOn w:val="Normalny"/>
    <w:link w:val="NagwekZnak"/>
    <w:uiPriority w:val="99"/>
    <w:unhideWhenUsed/>
    <w:rsid w:val="00DA284E"/>
    <w:pPr>
      <w:tabs>
        <w:tab w:val="center" w:pos="4536"/>
        <w:tab w:val="right" w:pos="9072"/>
      </w:tabs>
      <w:spacing w:line="240" w:lineRule="auto"/>
    </w:pPr>
  </w:style>
  <w:style w:type="character" w:customStyle="1" w:styleId="NagwekZnak">
    <w:name w:val="Nagłówek Znak"/>
    <w:basedOn w:val="Domylnaczcionkaakapitu"/>
    <w:link w:val="Nagwek"/>
    <w:uiPriority w:val="99"/>
    <w:rsid w:val="00DA284E"/>
    <w:rPr>
      <w:rFonts w:ascii="Times New Roman" w:hAnsi="Times New Roman"/>
      <w:sz w:val="24"/>
    </w:rPr>
  </w:style>
  <w:style w:type="paragraph" w:styleId="Stopka">
    <w:name w:val="footer"/>
    <w:basedOn w:val="Normalny"/>
    <w:link w:val="StopkaZnak"/>
    <w:uiPriority w:val="99"/>
    <w:unhideWhenUsed/>
    <w:rsid w:val="00DA284E"/>
    <w:pPr>
      <w:tabs>
        <w:tab w:val="center" w:pos="4536"/>
        <w:tab w:val="right" w:pos="9072"/>
      </w:tabs>
      <w:spacing w:line="240" w:lineRule="auto"/>
    </w:pPr>
  </w:style>
  <w:style w:type="character" w:customStyle="1" w:styleId="StopkaZnak">
    <w:name w:val="Stopka Znak"/>
    <w:basedOn w:val="Domylnaczcionkaakapitu"/>
    <w:link w:val="Stopka"/>
    <w:uiPriority w:val="99"/>
    <w:rsid w:val="00DA284E"/>
    <w:rPr>
      <w:rFonts w:ascii="Times New Roman" w:hAnsi="Times New Roman"/>
      <w:sz w:val="24"/>
    </w:rPr>
  </w:style>
  <w:style w:type="character" w:customStyle="1" w:styleId="Nagwek2Znak">
    <w:name w:val="Nagłówek 2 Znak"/>
    <w:basedOn w:val="Domylnaczcionkaakapitu"/>
    <w:link w:val="Nagwek2"/>
    <w:uiPriority w:val="9"/>
    <w:rsid w:val="00DA284E"/>
    <w:rPr>
      <w:rFonts w:asciiTheme="majorHAnsi" w:eastAsiaTheme="majorEastAsia" w:hAnsiTheme="majorHAnsi" w:cstheme="majorBidi"/>
      <w:color w:val="2E74B5" w:themeColor="accent1" w:themeShade="BF"/>
      <w:sz w:val="26"/>
      <w:szCs w:val="26"/>
    </w:rPr>
  </w:style>
  <w:style w:type="paragraph" w:styleId="Tekstprzypisudolnego">
    <w:name w:val="footnote text"/>
    <w:basedOn w:val="Normalny"/>
    <w:link w:val="TekstprzypisudolnegoZnak"/>
    <w:uiPriority w:val="99"/>
    <w:semiHidden/>
    <w:unhideWhenUsed/>
    <w:rsid w:val="00DE5FEE"/>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E5FEE"/>
    <w:rPr>
      <w:rFonts w:ascii="Times New Roman" w:hAnsi="Times New Roman"/>
      <w:sz w:val="20"/>
      <w:szCs w:val="20"/>
    </w:rPr>
  </w:style>
  <w:style w:type="character" w:styleId="Odwoanieprzypisudolnego">
    <w:name w:val="footnote reference"/>
    <w:basedOn w:val="Domylnaczcionkaakapitu"/>
    <w:uiPriority w:val="99"/>
    <w:semiHidden/>
    <w:unhideWhenUsed/>
    <w:rsid w:val="00DE5FEE"/>
    <w:rPr>
      <w:vertAlign w:val="superscript"/>
    </w:rPr>
  </w:style>
  <w:style w:type="character" w:styleId="Hipercze">
    <w:name w:val="Hyperlink"/>
    <w:basedOn w:val="Domylnaczcionkaakapitu"/>
    <w:uiPriority w:val="99"/>
    <w:unhideWhenUsed/>
    <w:rsid w:val="00A15337"/>
    <w:rPr>
      <w:color w:val="0000FF"/>
      <w:u w:val="single"/>
    </w:rPr>
  </w:style>
  <w:style w:type="table" w:customStyle="1" w:styleId="Tabelasiatki5ciemnaakcent31">
    <w:name w:val="Tabela siatki 5 — ciemna — akcent 31"/>
    <w:basedOn w:val="Standardowy"/>
    <w:uiPriority w:val="50"/>
    <w:rsid w:val="00C440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7kolorowaakcent11">
    <w:name w:val="Tabela siatki 7 — kolorowa — akcent 11"/>
    <w:basedOn w:val="Standardowy"/>
    <w:uiPriority w:val="52"/>
    <w:rsid w:val="00C4404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kstdymka">
    <w:name w:val="Balloon Text"/>
    <w:basedOn w:val="Normalny"/>
    <w:link w:val="TekstdymkaZnak"/>
    <w:uiPriority w:val="99"/>
    <w:semiHidden/>
    <w:unhideWhenUsed/>
    <w:rsid w:val="0023066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0660"/>
    <w:rPr>
      <w:rFonts w:ascii="Tahoma" w:hAnsi="Tahoma" w:cs="Tahoma"/>
      <w:sz w:val="16"/>
      <w:szCs w:val="16"/>
    </w:rPr>
  </w:style>
  <w:style w:type="character" w:customStyle="1" w:styleId="Nagwek3Znak">
    <w:name w:val="Nagłówek 3 Znak"/>
    <w:basedOn w:val="Domylnaczcionkaakapitu"/>
    <w:link w:val="Nagwek3"/>
    <w:uiPriority w:val="9"/>
    <w:rsid w:val="000535DD"/>
    <w:rPr>
      <w:rFonts w:asciiTheme="majorHAnsi" w:eastAsiaTheme="majorEastAsia" w:hAnsiTheme="majorHAnsi" w:cstheme="majorBidi"/>
      <w:b/>
      <w:bCs/>
      <w:color w:val="5B9BD5" w:themeColor="accent1"/>
      <w:sz w:val="24"/>
    </w:rPr>
  </w:style>
  <w:style w:type="character" w:customStyle="1" w:styleId="Nagwek4Znak">
    <w:name w:val="Nagłówek 4 Znak"/>
    <w:basedOn w:val="Domylnaczcionkaakapitu"/>
    <w:link w:val="Nagwek4"/>
    <w:uiPriority w:val="9"/>
    <w:rsid w:val="000535DD"/>
    <w:rPr>
      <w:rFonts w:asciiTheme="majorHAnsi" w:eastAsiaTheme="majorEastAsia" w:hAnsiTheme="majorHAnsi" w:cstheme="majorBidi"/>
      <w:b/>
      <w:bCs/>
      <w:i/>
      <w:iCs/>
      <w:color w:val="5B9BD5" w:themeColor="accent1"/>
      <w:sz w:val="24"/>
    </w:rPr>
  </w:style>
  <w:style w:type="character" w:styleId="Uwydatnienie">
    <w:name w:val="Emphasis"/>
    <w:basedOn w:val="Domylnaczcionkaakapitu"/>
    <w:uiPriority w:val="20"/>
    <w:qFormat/>
    <w:rsid w:val="009D0270"/>
    <w:rPr>
      <w:i/>
      <w:iCs/>
    </w:rPr>
  </w:style>
  <w:style w:type="character" w:styleId="Pogrubienie">
    <w:name w:val="Strong"/>
    <w:basedOn w:val="Domylnaczcionkaakapitu"/>
    <w:uiPriority w:val="22"/>
    <w:qFormat/>
    <w:rsid w:val="009D0270"/>
    <w:rPr>
      <w:b/>
      <w:bCs/>
    </w:rPr>
  </w:style>
  <w:style w:type="paragraph" w:styleId="NormalnyWeb">
    <w:name w:val="Normal (Web)"/>
    <w:basedOn w:val="Normalny"/>
    <w:uiPriority w:val="99"/>
    <w:unhideWhenUsed/>
    <w:rsid w:val="00E24DE6"/>
    <w:pPr>
      <w:spacing w:before="100" w:beforeAutospacing="1" w:after="119" w:line="240" w:lineRule="auto"/>
      <w:jc w:val="left"/>
    </w:pPr>
    <w:rPr>
      <w:rFonts w:eastAsia="Times New Roman" w:cs="Times New Roman"/>
      <w:szCs w:val="24"/>
      <w:lang w:eastAsia="pl-PL"/>
    </w:rPr>
  </w:style>
  <w:style w:type="paragraph" w:customStyle="1" w:styleId="Tekstpodstawowy1">
    <w:name w:val="Tekst podstawowy1"/>
    <w:basedOn w:val="Normalny"/>
    <w:rsid w:val="0088545B"/>
    <w:pPr>
      <w:keepLines/>
      <w:spacing w:after="120" w:line="240" w:lineRule="auto"/>
    </w:pPr>
    <w:rPr>
      <w:rFonts w:ascii="Arial" w:eastAsia="Times New Roman" w:hAnsi="Arial" w:cs="Times New Roman"/>
      <w:sz w:val="20"/>
      <w:szCs w:val="20"/>
    </w:rPr>
  </w:style>
  <w:style w:type="table" w:customStyle="1" w:styleId="redniecieniowanie1akcent11">
    <w:name w:val="Średnie cieniowanie 1 — akcent 11"/>
    <w:basedOn w:val="Standardowy"/>
    <w:uiPriority w:val="63"/>
    <w:rsid w:val="0070654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2C09B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ekstpodstawowy">
    <w:name w:val="Body Text"/>
    <w:basedOn w:val="Normalny"/>
    <w:link w:val="TekstpodstawowyZnak"/>
    <w:rsid w:val="003D5EBC"/>
    <w:pPr>
      <w:autoSpaceDE w:val="0"/>
      <w:autoSpaceDN w:val="0"/>
      <w:spacing w:line="240" w:lineRule="auto"/>
    </w:pPr>
    <w:rPr>
      <w:rFonts w:eastAsia="Times New Roman" w:cs="Times New Roman"/>
      <w:sz w:val="28"/>
      <w:szCs w:val="28"/>
      <w:lang w:eastAsia="pl-PL"/>
    </w:rPr>
  </w:style>
  <w:style w:type="character" w:customStyle="1" w:styleId="TekstpodstawowyZnak">
    <w:name w:val="Tekst podstawowy Znak"/>
    <w:basedOn w:val="Domylnaczcionkaakapitu"/>
    <w:link w:val="Tekstpodstawowy"/>
    <w:rsid w:val="003D5EBC"/>
    <w:rPr>
      <w:rFonts w:ascii="Times New Roman" w:eastAsia="Times New Roman" w:hAnsi="Times New Roman" w:cs="Times New Roman"/>
      <w:sz w:val="28"/>
      <w:szCs w:val="28"/>
      <w:lang w:eastAsia="pl-PL"/>
    </w:rPr>
  </w:style>
  <w:style w:type="table" w:styleId="Jasnasiatkaakcent5">
    <w:name w:val="Light Grid Accent 5"/>
    <w:basedOn w:val="Standardowy"/>
    <w:uiPriority w:val="62"/>
    <w:rsid w:val="008E1C1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Nagwek5Znak">
    <w:name w:val="Nagłówek 5 Znak"/>
    <w:basedOn w:val="Domylnaczcionkaakapitu"/>
    <w:link w:val="Nagwek5"/>
    <w:uiPriority w:val="9"/>
    <w:rsid w:val="00EB06A5"/>
    <w:rPr>
      <w:rFonts w:asciiTheme="majorHAnsi" w:eastAsiaTheme="majorEastAsia" w:hAnsiTheme="majorHAnsi" w:cstheme="majorBidi"/>
      <w:color w:val="1F4D78" w:themeColor="accent1" w:themeShade="7F"/>
      <w:sz w:val="24"/>
    </w:rPr>
  </w:style>
  <w:style w:type="paragraph" w:styleId="Nagwekspisutreci">
    <w:name w:val="TOC Heading"/>
    <w:basedOn w:val="Nagwek1"/>
    <w:next w:val="Normalny"/>
    <w:uiPriority w:val="39"/>
    <w:semiHidden/>
    <w:unhideWhenUsed/>
    <w:qFormat/>
    <w:rsid w:val="00D14FAC"/>
    <w:pPr>
      <w:spacing w:before="480"/>
      <w:jc w:val="left"/>
      <w:outlineLvl w:val="9"/>
    </w:pPr>
    <w:rPr>
      <w:b/>
      <w:bCs/>
      <w:sz w:val="28"/>
      <w:szCs w:val="28"/>
    </w:rPr>
  </w:style>
  <w:style w:type="paragraph" w:styleId="Spistreci1">
    <w:name w:val="toc 1"/>
    <w:basedOn w:val="Normalny"/>
    <w:next w:val="Normalny"/>
    <w:autoRedefine/>
    <w:uiPriority w:val="39"/>
    <w:unhideWhenUsed/>
    <w:rsid w:val="00D14FAC"/>
    <w:pPr>
      <w:spacing w:after="100"/>
    </w:pPr>
  </w:style>
  <w:style w:type="paragraph" w:styleId="Spistreci2">
    <w:name w:val="toc 2"/>
    <w:basedOn w:val="Normalny"/>
    <w:next w:val="Normalny"/>
    <w:autoRedefine/>
    <w:uiPriority w:val="39"/>
    <w:unhideWhenUsed/>
    <w:rsid w:val="00D14FAC"/>
    <w:pPr>
      <w:spacing w:after="100"/>
      <w:ind w:left="240"/>
    </w:pPr>
  </w:style>
  <w:style w:type="paragraph" w:styleId="Spistreci3">
    <w:name w:val="toc 3"/>
    <w:basedOn w:val="Normalny"/>
    <w:next w:val="Normalny"/>
    <w:autoRedefine/>
    <w:uiPriority w:val="39"/>
    <w:unhideWhenUsed/>
    <w:rsid w:val="00D14FAC"/>
    <w:pPr>
      <w:spacing w:after="100"/>
      <w:ind w:left="480"/>
    </w:pPr>
  </w:style>
  <w:style w:type="paragraph" w:styleId="Tekstpodstawowywcity3">
    <w:name w:val="Body Text Indent 3"/>
    <w:basedOn w:val="Normalny"/>
    <w:link w:val="Tekstpodstawowywcity3Znak"/>
    <w:uiPriority w:val="99"/>
    <w:unhideWhenUsed/>
    <w:rsid w:val="009535D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9535DE"/>
    <w:rPr>
      <w:rFonts w:ascii="Times New Roman" w:hAnsi="Times New Roman"/>
      <w:sz w:val="16"/>
      <w:szCs w:val="16"/>
    </w:rPr>
  </w:style>
  <w:style w:type="paragraph" w:customStyle="1" w:styleId="Standard">
    <w:name w:val="Standard"/>
    <w:rsid w:val="00C540AE"/>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kapitzlistZnak">
    <w:name w:val="Akapit z listą Znak"/>
    <w:basedOn w:val="Domylnaczcionkaakapitu"/>
    <w:link w:val="Akapitzlist"/>
    <w:uiPriority w:val="34"/>
    <w:rsid w:val="001A123D"/>
    <w:rPr>
      <w:rFonts w:ascii="Times New Roman" w:hAnsi="Times New Roman"/>
      <w:sz w:val="24"/>
    </w:rPr>
  </w:style>
  <w:style w:type="paragraph" w:styleId="Tekstprzypisukocowego">
    <w:name w:val="endnote text"/>
    <w:basedOn w:val="Normalny"/>
    <w:link w:val="TekstprzypisukocowegoZnak"/>
    <w:uiPriority w:val="99"/>
    <w:semiHidden/>
    <w:unhideWhenUsed/>
    <w:rsid w:val="001A123D"/>
    <w:pPr>
      <w:spacing w:line="240" w:lineRule="auto"/>
      <w:jc w:val="left"/>
    </w:pPr>
    <w:rPr>
      <w:rFonts w:asciiTheme="minorHAnsi" w:eastAsiaTheme="minorEastAsia" w:hAnsiTheme="minorHAnsi"/>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A123D"/>
    <w:rPr>
      <w:rFonts w:eastAsiaTheme="minorEastAsia"/>
      <w:sz w:val="20"/>
      <w:szCs w:val="20"/>
      <w:lang w:eastAsia="pl-PL"/>
    </w:rPr>
  </w:style>
  <w:style w:type="character" w:styleId="Odwoanieprzypisukocowego">
    <w:name w:val="endnote reference"/>
    <w:basedOn w:val="Domylnaczcionkaakapitu"/>
    <w:uiPriority w:val="99"/>
    <w:semiHidden/>
    <w:unhideWhenUsed/>
    <w:rsid w:val="001A123D"/>
    <w:rPr>
      <w:vertAlign w:val="superscript"/>
    </w:rPr>
  </w:style>
  <w:style w:type="paragraph" w:customStyle="1" w:styleId="western">
    <w:name w:val="western"/>
    <w:basedOn w:val="Normalny"/>
    <w:rsid w:val="0017316E"/>
    <w:pPr>
      <w:spacing w:before="100" w:beforeAutospacing="1" w:after="100" w:afterAutospacing="1" w:line="240" w:lineRule="auto"/>
      <w:jc w:val="left"/>
    </w:pPr>
    <w:rPr>
      <w:rFonts w:cs="Times New Roman"/>
      <w:szCs w:val="24"/>
      <w:lang w:eastAsia="pl-PL"/>
    </w:rPr>
  </w:style>
  <w:style w:type="table" w:customStyle="1" w:styleId="GridTable1LightAccent1">
    <w:name w:val="Grid Table 1 Light Accent 1"/>
    <w:basedOn w:val="Standardowy"/>
    <w:uiPriority w:val="46"/>
    <w:rsid w:val="009532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7901"/>
    <w:pPr>
      <w:spacing w:after="0" w:line="276" w:lineRule="auto"/>
      <w:jc w:val="both"/>
    </w:pPr>
    <w:rPr>
      <w:rFonts w:ascii="Times New Roman" w:hAnsi="Times New Roman"/>
      <w:sz w:val="24"/>
    </w:rPr>
  </w:style>
  <w:style w:type="paragraph" w:styleId="Nagwek1">
    <w:name w:val="heading 1"/>
    <w:basedOn w:val="Normalny"/>
    <w:next w:val="Normalny"/>
    <w:link w:val="Nagwek1Znak"/>
    <w:uiPriority w:val="9"/>
    <w:qFormat/>
    <w:rsid w:val="00F000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A28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535DD"/>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0535DD"/>
    <w:pPr>
      <w:keepNext/>
      <w:keepLines/>
      <w:spacing w:before="20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EB06A5"/>
    <w:pPr>
      <w:keepNext/>
      <w:keepLines/>
      <w:spacing w:before="20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37901"/>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737901"/>
    <w:pPr>
      <w:spacing w:after="200" w:line="240" w:lineRule="auto"/>
    </w:pPr>
    <w:rPr>
      <w:i/>
      <w:iCs/>
      <w:color w:val="44546A" w:themeColor="text2"/>
      <w:sz w:val="18"/>
      <w:szCs w:val="18"/>
    </w:rPr>
  </w:style>
  <w:style w:type="table" w:styleId="rednialista1akcent3">
    <w:name w:val="Medium List 1 Accent 3"/>
    <w:basedOn w:val="Standardowy"/>
    <w:uiPriority w:val="65"/>
    <w:rsid w:val="00737901"/>
    <w:pPr>
      <w:spacing w:after="0" w:line="240" w:lineRule="auto"/>
      <w:jc w:val="both"/>
    </w:pPr>
    <w:rPr>
      <w:color w:val="000000" w:themeColor="text1"/>
      <w:lang w:val="en-US" w:bidi="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Nagwek1Znak">
    <w:name w:val="Nagłówek 1 Znak"/>
    <w:basedOn w:val="Domylnaczcionkaakapitu"/>
    <w:link w:val="Nagwek1"/>
    <w:uiPriority w:val="9"/>
    <w:rsid w:val="00F00078"/>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59"/>
    <w:rsid w:val="00F24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34"/>
    <w:qFormat/>
    <w:rsid w:val="00EC4B3B"/>
    <w:pPr>
      <w:ind w:left="720"/>
      <w:contextualSpacing/>
    </w:pPr>
  </w:style>
  <w:style w:type="paragraph" w:styleId="Bezodstpw">
    <w:name w:val="No Spacing"/>
    <w:link w:val="BezodstpwZnak"/>
    <w:uiPriority w:val="1"/>
    <w:qFormat/>
    <w:rsid w:val="00DA284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A284E"/>
    <w:rPr>
      <w:rFonts w:eastAsiaTheme="minorEastAsia"/>
      <w:lang w:eastAsia="pl-PL"/>
    </w:rPr>
  </w:style>
  <w:style w:type="paragraph" w:styleId="Nagwek">
    <w:name w:val="header"/>
    <w:basedOn w:val="Normalny"/>
    <w:link w:val="NagwekZnak"/>
    <w:uiPriority w:val="99"/>
    <w:unhideWhenUsed/>
    <w:rsid w:val="00DA284E"/>
    <w:pPr>
      <w:tabs>
        <w:tab w:val="center" w:pos="4536"/>
        <w:tab w:val="right" w:pos="9072"/>
      </w:tabs>
      <w:spacing w:line="240" w:lineRule="auto"/>
    </w:pPr>
  </w:style>
  <w:style w:type="character" w:customStyle="1" w:styleId="NagwekZnak">
    <w:name w:val="Nagłówek Znak"/>
    <w:basedOn w:val="Domylnaczcionkaakapitu"/>
    <w:link w:val="Nagwek"/>
    <w:uiPriority w:val="99"/>
    <w:rsid w:val="00DA284E"/>
    <w:rPr>
      <w:rFonts w:ascii="Times New Roman" w:hAnsi="Times New Roman"/>
      <w:sz w:val="24"/>
    </w:rPr>
  </w:style>
  <w:style w:type="paragraph" w:styleId="Stopka">
    <w:name w:val="footer"/>
    <w:basedOn w:val="Normalny"/>
    <w:link w:val="StopkaZnak"/>
    <w:uiPriority w:val="99"/>
    <w:unhideWhenUsed/>
    <w:rsid w:val="00DA284E"/>
    <w:pPr>
      <w:tabs>
        <w:tab w:val="center" w:pos="4536"/>
        <w:tab w:val="right" w:pos="9072"/>
      </w:tabs>
      <w:spacing w:line="240" w:lineRule="auto"/>
    </w:pPr>
  </w:style>
  <w:style w:type="character" w:customStyle="1" w:styleId="StopkaZnak">
    <w:name w:val="Stopka Znak"/>
    <w:basedOn w:val="Domylnaczcionkaakapitu"/>
    <w:link w:val="Stopka"/>
    <w:uiPriority w:val="99"/>
    <w:rsid w:val="00DA284E"/>
    <w:rPr>
      <w:rFonts w:ascii="Times New Roman" w:hAnsi="Times New Roman"/>
      <w:sz w:val="24"/>
    </w:rPr>
  </w:style>
  <w:style w:type="character" w:customStyle="1" w:styleId="Nagwek2Znak">
    <w:name w:val="Nagłówek 2 Znak"/>
    <w:basedOn w:val="Domylnaczcionkaakapitu"/>
    <w:link w:val="Nagwek2"/>
    <w:uiPriority w:val="9"/>
    <w:rsid w:val="00DA284E"/>
    <w:rPr>
      <w:rFonts w:asciiTheme="majorHAnsi" w:eastAsiaTheme="majorEastAsia" w:hAnsiTheme="majorHAnsi" w:cstheme="majorBidi"/>
      <w:color w:val="2E74B5" w:themeColor="accent1" w:themeShade="BF"/>
      <w:sz w:val="26"/>
      <w:szCs w:val="26"/>
    </w:rPr>
  </w:style>
  <w:style w:type="paragraph" w:styleId="Tekstprzypisudolnego">
    <w:name w:val="footnote text"/>
    <w:basedOn w:val="Normalny"/>
    <w:link w:val="TekstprzypisudolnegoZnak"/>
    <w:uiPriority w:val="99"/>
    <w:semiHidden/>
    <w:unhideWhenUsed/>
    <w:rsid w:val="00DE5FEE"/>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E5FEE"/>
    <w:rPr>
      <w:rFonts w:ascii="Times New Roman" w:hAnsi="Times New Roman"/>
      <w:sz w:val="20"/>
      <w:szCs w:val="20"/>
    </w:rPr>
  </w:style>
  <w:style w:type="character" w:styleId="Odwoanieprzypisudolnego">
    <w:name w:val="footnote reference"/>
    <w:basedOn w:val="Domylnaczcionkaakapitu"/>
    <w:uiPriority w:val="99"/>
    <w:semiHidden/>
    <w:unhideWhenUsed/>
    <w:rsid w:val="00DE5FEE"/>
    <w:rPr>
      <w:vertAlign w:val="superscript"/>
    </w:rPr>
  </w:style>
  <w:style w:type="character" w:styleId="Hipercze">
    <w:name w:val="Hyperlink"/>
    <w:basedOn w:val="Domylnaczcionkaakapitu"/>
    <w:uiPriority w:val="99"/>
    <w:unhideWhenUsed/>
    <w:rsid w:val="00A15337"/>
    <w:rPr>
      <w:color w:val="0000FF"/>
      <w:u w:val="single"/>
    </w:rPr>
  </w:style>
  <w:style w:type="table" w:customStyle="1" w:styleId="Tabelasiatki5ciemnaakcent31">
    <w:name w:val="Tabela siatki 5 — ciemna — akcent 31"/>
    <w:basedOn w:val="Standardowy"/>
    <w:uiPriority w:val="50"/>
    <w:rsid w:val="00C440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7kolorowaakcent11">
    <w:name w:val="Tabela siatki 7 — kolorowa — akcent 11"/>
    <w:basedOn w:val="Standardowy"/>
    <w:uiPriority w:val="52"/>
    <w:rsid w:val="00C4404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kstdymka">
    <w:name w:val="Balloon Text"/>
    <w:basedOn w:val="Normalny"/>
    <w:link w:val="TekstdymkaZnak"/>
    <w:uiPriority w:val="99"/>
    <w:semiHidden/>
    <w:unhideWhenUsed/>
    <w:rsid w:val="0023066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0660"/>
    <w:rPr>
      <w:rFonts w:ascii="Tahoma" w:hAnsi="Tahoma" w:cs="Tahoma"/>
      <w:sz w:val="16"/>
      <w:szCs w:val="16"/>
    </w:rPr>
  </w:style>
  <w:style w:type="character" w:customStyle="1" w:styleId="Nagwek3Znak">
    <w:name w:val="Nagłówek 3 Znak"/>
    <w:basedOn w:val="Domylnaczcionkaakapitu"/>
    <w:link w:val="Nagwek3"/>
    <w:uiPriority w:val="9"/>
    <w:rsid w:val="000535DD"/>
    <w:rPr>
      <w:rFonts w:asciiTheme="majorHAnsi" w:eastAsiaTheme="majorEastAsia" w:hAnsiTheme="majorHAnsi" w:cstheme="majorBidi"/>
      <w:b/>
      <w:bCs/>
      <w:color w:val="5B9BD5" w:themeColor="accent1"/>
      <w:sz w:val="24"/>
    </w:rPr>
  </w:style>
  <w:style w:type="character" w:customStyle="1" w:styleId="Nagwek4Znak">
    <w:name w:val="Nagłówek 4 Znak"/>
    <w:basedOn w:val="Domylnaczcionkaakapitu"/>
    <w:link w:val="Nagwek4"/>
    <w:uiPriority w:val="9"/>
    <w:rsid w:val="000535DD"/>
    <w:rPr>
      <w:rFonts w:asciiTheme="majorHAnsi" w:eastAsiaTheme="majorEastAsia" w:hAnsiTheme="majorHAnsi" w:cstheme="majorBidi"/>
      <w:b/>
      <w:bCs/>
      <w:i/>
      <w:iCs/>
      <w:color w:val="5B9BD5" w:themeColor="accent1"/>
      <w:sz w:val="24"/>
    </w:rPr>
  </w:style>
  <w:style w:type="character" w:styleId="Uwydatnienie">
    <w:name w:val="Emphasis"/>
    <w:basedOn w:val="Domylnaczcionkaakapitu"/>
    <w:uiPriority w:val="20"/>
    <w:qFormat/>
    <w:rsid w:val="009D0270"/>
    <w:rPr>
      <w:i/>
      <w:iCs/>
    </w:rPr>
  </w:style>
  <w:style w:type="character" w:styleId="Pogrubienie">
    <w:name w:val="Strong"/>
    <w:basedOn w:val="Domylnaczcionkaakapitu"/>
    <w:uiPriority w:val="22"/>
    <w:qFormat/>
    <w:rsid w:val="009D0270"/>
    <w:rPr>
      <w:b/>
      <w:bCs/>
    </w:rPr>
  </w:style>
  <w:style w:type="paragraph" w:styleId="NormalnyWeb">
    <w:name w:val="Normal (Web)"/>
    <w:basedOn w:val="Normalny"/>
    <w:uiPriority w:val="99"/>
    <w:unhideWhenUsed/>
    <w:rsid w:val="00E24DE6"/>
    <w:pPr>
      <w:spacing w:before="100" w:beforeAutospacing="1" w:after="119" w:line="240" w:lineRule="auto"/>
      <w:jc w:val="left"/>
    </w:pPr>
    <w:rPr>
      <w:rFonts w:eastAsia="Times New Roman" w:cs="Times New Roman"/>
      <w:szCs w:val="24"/>
      <w:lang w:eastAsia="pl-PL"/>
    </w:rPr>
  </w:style>
  <w:style w:type="paragraph" w:customStyle="1" w:styleId="Tekstpodstawowy1">
    <w:name w:val="Tekst podstawowy1"/>
    <w:basedOn w:val="Normalny"/>
    <w:rsid w:val="0088545B"/>
    <w:pPr>
      <w:keepLines/>
      <w:spacing w:after="120" w:line="240" w:lineRule="auto"/>
    </w:pPr>
    <w:rPr>
      <w:rFonts w:ascii="Arial" w:eastAsia="Times New Roman" w:hAnsi="Arial" w:cs="Times New Roman"/>
      <w:sz w:val="20"/>
      <w:szCs w:val="20"/>
    </w:rPr>
  </w:style>
  <w:style w:type="table" w:customStyle="1" w:styleId="redniecieniowanie1akcent11">
    <w:name w:val="Średnie cieniowanie 1 — akcent 11"/>
    <w:basedOn w:val="Standardowy"/>
    <w:uiPriority w:val="63"/>
    <w:rsid w:val="0070654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2C09B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ekstpodstawowy">
    <w:name w:val="Body Text"/>
    <w:basedOn w:val="Normalny"/>
    <w:link w:val="TekstpodstawowyZnak"/>
    <w:rsid w:val="003D5EBC"/>
    <w:pPr>
      <w:autoSpaceDE w:val="0"/>
      <w:autoSpaceDN w:val="0"/>
      <w:spacing w:line="240" w:lineRule="auto"/>
    </w:pPr>
    <w:rPr>
      <w:rFonts w:eastAsia="Times New Roman" w:cs="Times New Roman"/>
      <w:sz w:val="28"/>
      <w:szCs w:val="28"/>
      <w:lang w:eastAsia="pl-PL"/>
    </w:rPr>
  </w:style>
  <w:style w:type="character" w:customStyle="1" w:styleId="TekstpodstawowyZnak">
    <w:name w:val="Tekst podstawowy Znak"/>
    <w:basedOn w:val="Domylnaczcionkaakapitu"/>
    <w:link w:val="Tekstpodstawowy"/>
    <w:rsid w:val="003D5EBC"/>
    <w:rPr>
      <w:rFonts w:ascii="Times New Roman" w:eastAsia="Times New Roman" w:hAnsi="Times New Roman" w:cs="Times New Roman"/>
      <w:sz w:val="28"/>
      <w:szCs w:val="28"/>
      <w:lang w:eastAsia="pl-PL"/>
    </w:rPr>
  </w:style>
  <w:style w:type="table" w:styleId="Jasnasiatkaakcent5">
    <w:name w:val="Light Grid Accent 5"/>
    <w:basedOn w:val="Standardowy"/>
    <w:uiPriority w:val="62"/>
    <w:rsid w:val="008E1C1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Nagwek5Znak">
    <w:name w:val="Nagłówek 5 Znak"/>
    <w:basedOn w:val="Domylnaczcionkaakapitu"/>
    <w:link w:val="Nagwek5"/>
    <w:uiPriority w:val="9"/>
    <w:rsid w:val="00EB06A5"/>
    <w:rPr>
      <w:rFonts w:asciiTheme="majorHAnsi" w:eastAsiaTheme="majorEastAsia" w:hAnsiTheme="majorHAnsi" w:cstheme="majorBidi"/>
      <w:color w:val="1F4D78" w:themeColor="accent1" w:themeShade="7F"/>
      <w:sz w:val="24"/>
    </w:rPr>
  </w:style>
  <w:style w:type="paragraph" w:styleId="Nagwekspisutreci">
    <w:name w:val="TOC Heading"/>
    <w:basedOn w:val="Nagwek1"/>
    <w:next w:val="Normalny"/>
    <w:uiPriority w:val="39"/>
    <w:semiHidden/>
    <w:unhideWhenUsed/>
    <w:qFormat/>
    <w:rsid w:val="00D14FAC"/>
    <w:pPr>
      <w:spacing w:before="480"/>
      <w:jc w:val="left"/>
      <w:outlineLvl w:val="9"/>
    </w:pPr>
    <w:rPr>
      <w:b/>
      <w:bCs/>
      <w:sz w:val="28"/>
      <w:szCs w:val="28"/>
    </w:rPr>
  </w:style>
  <w:style w:type="paragraph" w:styleId="Spistreci1">
    <w:name w:val="toc 1"/>
    <w:basedOn w:val="Normalny"/>
    <w:next w:val="Normalny"/>
    <w:autoRedefine/>
    <w:uiPriority w:val="39"/>
    <w:unhideWhenUsed/>
    <w:rsid w:val="00D14FAC"/>
    <w:pPr>
      <w:spacing w:after="100"/>
    </w:pPr>
  </w:style>
  <w:style w:type="paragraph" w:styleId="Spistreci2">
    <w:name w:val="toc 2"/>
    <w:basedOn w:val="Normalny"/>
    <w:next w:val="Normalny"/>
    <w:autoRedefine/>
    <w:uiPriority w:val="39"/>
    <w:unhideWhenUsed/>
    <w:rsid w:val="00D14FAC"/>
    <w:pPr>
      <w:spacing w:after="100"/>
      <w:ind w:left="240"/>
    </w:pPr>
  </w:style>
  <w:style w:type="paragraph" w:styleId="Spistreci3">
    <w:name w:val="toc 3"/>
    <w:basedOn w:val="Normalny"/>
    <w:next w:val="Normalny"/>
    <w:autoRedefine/>
    <w:uiPriority w:val="39"/>
    <w:unhideWhenUsed/>
    <w:rsid w:val="00D14FAC"/>
    <w:pPr>
      <w:spacing w:after="100"/>
      <w:ind w:left="480"/>
    </w:pPr>
  </w:style>
  <w:style w:type="paragraph" w:styleId="Tekstpodstawowywcity3">
    <w:name w:val="Body Text Indent 3"/>
    <w:basedOn w:val="Normalny"/>
    <w:link w:val="Tekstpodstawowywcity3Znak"/>
    <w:uiPriority w:val="99"/>
    <w:unhideWhenUsed/>
    <w:rsid w:val="009535D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9535DE"/>
    <w:rPr>
      <w:rFonts w:ascii="Times New Roman" w:hAnsi="Times New Roman"/>
      <w:sz w:val="16"/>
      <w:szCs w:val="16"/>
    </w:rPr>
  </w:style>
  <w:style w:type="paragraph" w:customStyle="1" w:styleId="Standard">
    <w:name w:val="Standard"/>
    <w:rsid w:val="00C540AE"/>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kapitzlistZnak">
    <w:name w:val="Akapit z listą Znak"/>
    <w:basedOn w:val="Domylnaczcionkaakapitu"/>
    <w:link w:val="Akapitzlist"/>
    <w:uiPriority w:val="34"/>
    <w:rsid w:val="001A123D"/>
    <w:rPr>
      <w:rFonts w:ascii="Times New Roman" w:hAnsi="Times New Roman"/>
      <w:sz w:val="24"/>
    </w:rPr>
  </w:style>
  <w:style w:type="paragraph" w:styleId="Tekstprzypisukocowego">
    <w:name w:val="endnote text"/>
    <w:basedOn w:val="Normalny"/>
    <w:link w:val="TekstprzypisukocowegoZnak"/>
    <w:uiPriority w:val="99"/>
    <w:semiHidden/>
    <w:unhideWhenUsed/>
    <w:rsid w:val="001A123D"/>
    <w:pPr>
      <w:spacing w:line="240" w:lineRule="auto"/>
      <w:jc w:val="left"/>
    </w:pPr>
    <w:rPr>
      <w:rFonts w:asciiTheme="minorHAnsi" w:eastAsiaTheme="minorEastAsia" w:hAnsiTheme="minorHAnsi"/>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A123D"/>
    <w:rPr>
      <w:rFonts w:eastAsiaTheme="minorEastAsia"/>
      <w:sz w:val="20"/>
      <w:szCs w:val="20"/>
      <w:lang w:eastAsia="pl-PL"/>
    </w:rPr>
  </w:style>
  <w:style w:type="character" w:styleId="Odwoanieprzypisukocowego">
    <w:name w:val="endnote reference"/>
    <w:basedOn w:val="Domylnaczcionkaakapitu"/>
    <w:uiPriority w:val="99"/>
    <w:semiHidden/>
    <w:unhideWhenUsed/>
    <w:rsid w:val="001A123D"/>
    <w:rPr>
      <w:vertAlign w:val="superscript"/>
    </w:rPr>
  </w:style>
  <w:style w:type="paragraph" w:customStyle="1" w:styleId="western">
    <w:name w:val="western"/>
    <w:basedOn w:val="Normalny"/>
    <w:rsid w:val="0017316E"/>
    <w:pPr>
      <w:spacing w:before="100" w:beforeAutospacing="1" w:after="100" w:afterAutospacing="1" w:line="240" w:lineRule="auto"/>
      <w:jc w:val="left"/>
    </w:pPr>
    <w:rPr>
      <w:rFonts w:cs="Times New Roman"/>
      <w:szCs w:val="24"/>
      <w:lang w:eastAsia="pl-PL"/>
    </w:rPr>
  </w:style>
  <w:style w:type="table" w:customStyle="1" w:styleId="GridTable1LightAccent1">
    <w:name w:val="Grid Table 1 Light Accent 1"/>
    <w:basedOn w:val="Standardowy"/>
    <w:uiPriority w:val="46"/>
    <w:rsid w:val="009532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0231">
      <w:bodyDiv w:val="1"/>
      <w:marLeft w:val="0"/>
      <w:marRight w:val="0"/>
      <w:marTop w:val="0"/>
      <w:marBottom w:val="0"/>
      <w:divBdr>
        <w:top w:val="none" w:sz="0" w:space="0" w:color="auto"/>
        <w:left w:val="none" w:sz="0" w:space="0" w:color="auto"/>
        <w:bottom w:val="none" w:sz="0" w:space="0" w:color="auto"/>
        <w:right w:val="none" w:sz="0" w:space="0" w:color="auto"/>
      </w:divBdr>
    </w:div>
    <w:div w:id="31152904">
      <w:bodyDiv w:val="1"/>
      <w:marLeft w:val="0"/>
      <w:marRight w:val="0"/>
      <w:marTop w:val="0"/>
      <w:marBottom w:val="0"/>
      <w:divBdr>
        <w:top w:val="none" w:sz="0" w:space="0" w:color="auto"/>
        <w:left w:val="none" w:sz="0" w:space="0" w:color="auto"/>
        <w:bottom w:val="none" w:sz="0" w:space="0" w:color="auto"/>
        <w:right w:val="none" w:sz="0" w:space="0" w:color="auto"/>
      </w:divBdr>
    </w:div>
    <w:div w:id="42029003">
      <w:bodyDiv w:val="1"/>
      <w:marLeft w:val="0"/>
      <w:marRight w:val="0"/>
      <w:marTop w:val="0"/>
      <w:marBottom w:val="0"/>
      <w:divBdr>
        <w:top w:val="none" w:sz="0" w:space="0" w:color="auto"/>
        <w:left w:val="none" w:sz="0" w:space="0" w:color="auto"/>
        <w:bottom w:val="none" w:sz="0" w:space="0" w:color="auto"/>
        <w:right w:val="none" w:sz="0" w:space="0" w:color="auto"/>
      </w:divBdr>
    </w:div>
    <w:div w:id="66925961">
      <w:bodyDiv w:val="1"/>
      <w:marLeft w:val="0"/>
      <w:marRight w:val="0"/>
      <w:marTop w:val="0"/>
      <w:marBottom w:val="0"/>
      <w:divBdr>
        <w:top w:val="none" w:sz="0" w:space="0" w:color="auto"/>
        <w:left w:val="none" w:sz="0" w:space="0" w:color="auto"/>
        <w:bottom w:val="none" w:sz="0" w:space="0" w:color="auto"/>
        <w:right w:val="none" w:sz="0" w:space="0" w:color="auto"/>
      </w:divBdr>
    </w:div>
    <w:div w:id="79714204">
      <w:bodyDiv w:val="1"/>
      <w:marLeft w:val="0"/>
      <w:marRight w:val="0"/>
      <w:marTop w:val="0"/>
      <w:marBottom w:val="0"/>
      <w:divBdr>
        <w:top w:val="none" w:sz="0" w:space="0" w:color="auto"/>
        <w:left w:val="none" w:sz="0" w:space="0" w:color="auto"/>
        <w:bottom w:val="none" w:sz="0" w:space="0" w:color="auto"/>
        <w:right w:val="none" w:sz="0" w:space="0" w:color="auto"/>
      </w:divBdr>
    </w:div>
    <w:div w:id="88550460">
      <w:bodyDiv w:val="1"/>
      <w:marLeft w:val="0"/>
      <w:marRight w:val="0"/>
      <w:marTop w:val="0"/>
      <w:marBottom w:val="0"/>
      <w:divBdr>
        <w:top w:val="none" w:sz="0" w:space="0" w:color="auto"/>
        <w:left w:val="none" w:sz="0" w:space="0" w:color="auto"/>
        <w:bottom w:val="none" w:sz="0" w:space="0" w:color="auto"/>
        <w:right w:val="none" w:sz="0" w:space="0" w:color="auto"/>
      </w:divBdr>
      <w:divsChild>
        <w:div w:id="521820921">
          <w:marLeft w:val="446"/>
          <w:marRight w:val="0"/>
          <w:marTop w:val="0"/>
          <w:marBottom w:val="0"/>
          <w:divBdr>
            <w:top w:val="none" w:sz="0" w:space="0" w:color="auto"/>
            <w:left w:val="none" w:sz="0" w:space="0" w:color="auto"/>
            <w:bottom w:val="none" w:sz="0" w:space="0" w:color="auto"/>
            <w:right w:val="none" w:sz="0" w:space="0" w:color="auto"/>
          </w:divBdr>
        </w:div>
        <w:div w:id="1206410163">
          <w:marLeft w:val="446"/>
          <w:marRight w:val="0"/>
          <w:marTop w:val="0"/>
          <w:marBottom w:val="0"/>
          <w:divBdr>
            <w:top w:val="none" w:sz="0" w:space="0" w:color="auto"/>
            <w:left w:val="none" w:sz="0" w:space="0" w:color="auto"/>
            <w:bottom w:val="none" w:sz="0" w:space="0" w:color="auto"/>
            <w:right w:val="none" w:sz="0" w:space="0" w:color="auto"/>
          </w:divBdr>
        </w:div>
      </w:divsChild>
    </w:div>
    <w:div w:id="102892995">
      <w:bodyDiv w:val="1"/>
      <w:marLeft w:val="0"/>
      <w:marRight w:val="0"/>
      <w:marTop w:val="0"/>
      <w:marBottom w:val="0"/>
      <w:divBdr>
        <w:top w:val="none" w:sz="0" w:space="0" w:color="auto"/>
        <w:left w:val="none" w:sz="0" w:space="0" w:color="auto"/>
        <w:bottom w:val="none" w:sz="0" w:space="0" w:color="auto"/>
        <w:right w:val="none" w:sz="0" w:space="0" w:color="auto"/>
      </w:divBdr>
      <w:divsChild>
        <w:div w:id="24451013">
          <w:marLeft w:val="274"/>
          <w:marRight w:val="0"/>
          <w:marTop w:val="0"/>
          <w:marBottom w:val="0"/>
          <w:divBdr>
            <w:top w:val="none" w:sz="0" w:space="0" w:color="auto"/>
            <w:left w:val="none" w:sz="0" w:space="0" w:color="auto"/>
            <w:bottom w:val="none" w:sz="0" w:space="0" w:color="auto"/>
            <w:right w:val="none" w:sz="0" w:space="0" w:color="auto"/>
          </w:divBdr>
        </w:div>
        <w:div w:id="555361597">
          <w:marLeft w:val="274"/>
          <w:marRight w:val="0"/>
          <w:marTop w:val="0"/>
          <w:marBottom w:val="0"/>
          <w:divBdr>
            <w:top w:val="none" w:sz="0" w:space="0" w:color="auto"/>
            <w:left w:val="none" w:sz="0" w:space="0" w:color="auto"/>
            <w:bottom w:val="none" w:sz="0" w:space="0" w:color="auto"/>
            <w:right w:val="none" w:sz="0" w:space="0" w:color="auto"/>
          </w:divBdr>
        </w:div>
        <w:div w:id="1176264601">
          <w:marLeft w:val="274"/>
          <w:marRight w:val="0"/>
          <w:marTop w:val="0"/>
          <w:marBottom w:val="0"/>
          <w:divBdr>
            <w:top w:val="none" w:sz="0" w:space="0" w:color="auto"/>
            <w:left w:val="none" w:sz="0" w:space="0" w:color="auto"/>
            <w:bottom w:val="none" w:sz="0" w:space="0" w:color="auto"/>
            <w:right w:val="none" w:sz="0" w:space="0" w:color="auto"/>
          </w:divBdr>
        </w:div>
        <w:div w:id="1997489494">
          <w:marLeft w:val="274"/>
          <w:marRight w:val="0"/>
          <w:marTop w:val="0"/>
          <w:marBottom w:val="0"/>
          <w:divBdr>
            <w:top w:val="none" w:sz="0" w:space="0" w:color="auto"/>
            <w:left w:val="none" w:sz="0" w:space="0" w:color="auto"/>
            <w:bottom w:val="none" w:sz="0" w:space="0" w:color="auto"/>
            <w:right w:val="none" w:sz="0" w:space="0" w:color="auto"/>
          </w:divBdr>
        </w:div>
        <w:div w:id="2054846466">
          <w:marLeft w:val="274"/>
          <w:marRight w:val="0"/>
          <w:marTop w:val="0"/>
          <w:marBottom w:val="0"/>
          <w:divBdr>
            <w:top w:val="none" w:sz="0" w:space="0" w:color="auto"/>
            <w:left w:val="none" w:sz="0" w:space="0" w:color="auto"/>
            <w:bottom w:val="none" w:sz="0" w:space="0" w:color="auto"/>
            <w:right w:val="none" w:sz="0" w:space="0" w:color="auto"/>
          </w:divBdr>
        </w:div>
      </w:divsChild>
    </w:div>
    <w:div w:id="104615619">
      <w:bodyDiv w:val="1"/>
      <w:marLeft w:val="0"/>
      <w:marRight w:val="0"/>
      <w:marTop w:val="0"/>
      <w:marBottom w:val="0"/>
      <w:divBdr>
        <w:top w:val="none" w:sz="0" w:space="0" w:color="auto"/>
        <w:left w:val="none" w:sz="0" w:space="0" w:color="auto"/>
        <w:bottom w:val="none" w:sz="0" w:space="0" w:color="auto"/>
        <w:right w:val="none" w:sz="0" w:space="0" w:color="auto"/>
      </w:divBdr>
      <w:divsChild>
        <w:div w:id="442264794">
          <w:marLeft w:val="274"/>
          <w:marRight w:val="0"/>
          <w:marTop w:val="0"/>
          <w:marBottom w:val="0"/>
          <w:divBdr>
            <w:top w:val="none" w:sz="0" w:space="0" w:color="auto"/>
            <w:left w:val="none" w:sz="0" w:space="0" w:color="auto"/>
            <w:bottom w:val="none" w:sz="0" w:space="0" w:color="auto"/>
            <w:right w:val="none" w:sz="0" w:space="0" w:color="auto"/>
          </w:divBdr>
        </w:div>
        <w:div w:id="1251500750">
          <w:marLeft w:val="274"/>
          <w:marRight w:val="0"/>
          <w:marTop w:val="0"/>
          <w:marBottom w:val="0"/>
          <w:divBdr>
            <w:top w:val="none" w:sz="0" w:space="0" w:color="auto"/>
            <w:left w:val="none" w:sz="0" w:space="0" w:color="auto"/>
            <w:bottom w:val="none" w:sz="0" w:space="0" w:color="auto"/>
            <w:right w:val="none" w:sz="0" w:space="0" w:color="auto"/>
          </w:divBdr>
        </w:div>
      </w:divsChild>
    </w:div>
    <w:div w:id="113060787">
      <w:bodyDiv w:val="1"/>
      <w:marLeft w:val="0"/>
      <w:marRight w:val="0"/>
      <w:marTop w:val="0"/>
      <w:marBottom w:val="0"/>
      <w:divBdr>
        <w:top w:val="none" w:sz="0" w:space="0" w:color="auto"/>
        <w:left w:val="none" w:sz="0" w:space="0" w:color="auto"/>
        <w:bottom w:val="none" w:sz="0" w:space="0" w:color="auto"/>
        <w:right w:val="none" w:sz="0" w:space="0" w:color="auto"/>
      </w:divBdr>
      <w:divsChild>
        <w:div w:id="1027221600">
          <w:marLeft w:val="418"/>
          <w:marRight w:val="0"/>
          <w:marTop w:val="0"/>
          <w:marBottom w:val="0"/>
          <w:divBdr>
            <w:top w:val="none" w:sz="0" w:space="0" w:color="auto"/>
            <w:left w:val="none" w:sz="0" w:space="0" w:color="auto"/>
            <w:bottom w:val="none" w:sz="0" w:space="0" w:color="auto"/>
            <w:right w:val="none" w:sz="0" w:space="0" w:color="auto"/>
          </w:divBdr>
        </w:div>
        <w:div w:id="1269124116">
          <w:marLeft w:val="418"/>
          <w:marRight w:val="0"/>
          <w:marTop w:val="0"/>
          <w:marBottom w:val="0"/>
          <w:divBdr>
            <w:top w:val="none" w:sz="0" w:space="0" w:color="auto"/>
            <w:left w:val="none" w:sz="0" w:space="0" w:color="auto"/>
            <w:bottom w:val="none" w:sz="0" w:space="0" w:color="auto"/>
            <w:right w:val="none" w:sz="0" w:space="0" w:color="auto"/>
          </w:divBdr>
        </w:div>
        <w:div w:id="1762723305">
          <w:marLeft w:val="418"/>
          <w:marRight w:val="0"/>
          <w:marTop w:val="0"/>
          <w:marBottom w:val="0"/>
          <w:divBdr>
            <w:top w:val="none" w:sz="0" w:space="0" w:color="auto"/>
            <w:left w:val="none" w:sz="0" w:space="0" w:color="auto"/>
            <w:bottom w:val="none" w:sz="0" w:space="0" w:color="auto"/>
            <w:right w:val="none" w:sz="0" w:space="0" w:color="auto"/>
          </w:divBdr>
        </w:div>
      </w:divsChild>
    </w:div>
    <w:div w:id="139883512">
      <w:bodyDiv w:val="1"/>
      <w:marLeft w:val="0"/>
      <w:marRight w:val="0"/>
      <w:marTop w:val="0"/>
      <w:marBottom w:val="0"/>
      <w:divBdr>
        <w:top w:val="none" w:sz="0" w:space="0" w:color="auto"/>
        <w:left w:val="none" w:sz="0" w:space="0" w:color="auto"/>
        <w:bottom w:val="none" w:sz="0" w:space="0" w:color="auto"/>
        <w:right w:val="none" w:sz="0" w:space="0" w:color="auto"/>
      </w:divBdr>
    </w:div>
    <w:div w:id="145320043">
      <w:bodyDiv w:val="1"/>
      <w:marLeft w:val="0"/>
      <w:marRight w:val="0"/>
      <w:marTop w:val="0"/>
      <w:marBottom w:val="0"/>
      <w:divBdr>
        <w:top w:val="none" w:sz="0" w:space="0" w:color="auto"/>
        <w:left w:val="none" w:sz="0" w:space="0" w:color="auto"/>
        <w:bottom w:val="none" w:sz="0" w:space="0" w:color="auto"/>
        <w:right w:val="none" w:sz="0" w:space="0" w:color="auto"/>
      </w:divBdr>
      <w:divsChild>
        <w:div w:id="6759878">
          <w:marLeft w:val="274"/>
          <w:marRight w:val="0"/>
          <w:marTop w:val="0"/>
          <w:marBottom w:val="0"/>
          <w:divBdr>
            <w:top w:val="none" w:sz="0" w:space="0" w:color="auto"/>
            <w:left w:val="none" w:sz="0" w:space="0" w:color="auto"/>
            <w:bottom w:val="none" w:sz="0" w:space="0" w:color="auto"/>
            <w:right w:val="none" w:sz="0" w:space="0" w:color="auto"/>
          </w:divBdr>
        </w:div>
        <w:div w:id="14963580">
          <w:marLeft w:val="274"/>
          <w:marRight w:val="0"/>
          <w:marTop w:val="0"/>
          <w:marBottom w:val="0"/>
          <w:divBdr>
            <w:top w:val="none" w:sz="0" w:space="0" w:color="auto"/>
            <w:left w:val="none" w:sz="0" w:space="0" w:color="auto"/>
            <w:bottom w:val="none" w:sz="0" w:space="0" w:color="auto"/>
            <w:right w:val="none" w:sz="0" w:space="0" w:color="auto"/>
          </w:divBdr>
        </w:div>
        <w:div w:id="65106040">
          <w:marLeft w:val="274"/>
          <w:marRight w:val="0"/>
          <w:marTop w:val="0"/>
          <w:marBottom w:val="0"/>
          <w:divBdr>
            <w:top w:val="none" w:sz="0" w:space="0" w:color="auto"/>
            <w:left w:val="none" w:sz="0" w:space="0" w:color="auto"/>
            <w:bottom w:val="none" w:sz="0" w:space="0" w:color="auto"/>
            <w:right w:val="none" w:sz="0" w:space="0" w:color="auto"/>
          </w:divBdr>
        </w:div>
        <w:div w:id="173420507">
          <w:marLeft w:val="274"/>
          <w:marRight w:val="0"/>
          <w:marTop w:val="0"/>
          <w:marBottom w:val="0"/>
          <w:divBdr>
            <w:top w:val="none" w:sz="0" w:space="0" w:color="auto"/>
            <w:left w:val="none" w:sz="0" w:space="0" w:color="auto"/>
            <w:bottom w:val="none" w:sz="0" w:space="0" w:color="auto"/>
            <w:right w:val="none" w:sz="0" w:space="0" w:color="auto"/>
          </w:divBdr>
        </w:div>
        <w:div w:id="1016233903">
          <w:marLeft w:val="274"/>
          <w:marRight w:val="0"/>
          <w:marTop w:val="0"/>
          <w:marBottom w:val="0"/>
          <w:divBdr>
            <w:top w:val="none" w:sz="0" w:space="0" w:color="auto"/>
            <w:left w:val="none" w:sz="0" w:space="0" w:color="auto"/>
            <w:bottom w:val="none" w:sz="0" w:space="0" w:color="auto"/>
            <w:right w:val="none" w:sz="0" w:space="0" w:color="auto"/>
          </w:divBdr>
        </w:div>
        <w:div w:id="1430075978">
          <w:marLeft w:val="274"/>
          <w:marRight w:val="0"/>
          <w:marTop w:val="0"/>
          <w:marBottom w:val="0"/>
          <w:divBdr>
            <w:top w:val="none" w:sz="0" w:space="0" w:color="auto"/>
            <w:left w:val="none" w:sz="0" w:space="0" w:color="auto"/>
            <w:bottom w:val="none" w:sz="0" w:space="0" w:color="auto"/>
            <w:right w:val="none" w:sz="0" w:space="0" w:color="auto"/>
          </w:divBdr>
        </w:div>
        <w:div w:id="1646859602">
          <w:marLeft w:val="274"/>
          <w:marRight w:val="0"/>
          <w:marTop w:val="0"/>
          <w:marBottom w:val="0"/>
          <w:divBdr>
            <w:top w:val="none" w:sz="0" w:space="0" w:color="auto"/>
            <w:left w:val="none" w:sz="0" w:space="0" w:color="auto"/>
            <w:bottom w:val="none" w:sz="0" w:space="0" w:color="auto"/>
            <w:right w:val="none" w:sz="0" w:space="0" w:color="auto"/>
          </w:divBdr>
        </w:div>
        <w:div w:id="2104371887">
          <w:marLeft w:val="274"/>
          <w:marRight w:val="0"/>
          <w:marTop w:val="0"/>
          <w:marBottom w:val="0"/>
          <w:divBdr>
            <w:top w:val="none" w:sz="0" w:space="0" w:color="auto"/>
            <w:left w:val="none" w:sz="0" w:space="0" w:color="auto"/>
            <w:bottom w:val="none" w:sz="0" w:space="0" w:color="auto"/>
            <w:right w:val="none" w:sz="0" w:space="0" w:color="auto"/>
          </w:divBdr>
        </w:div>
      </w:divsChild>
    </w:div>
    <w:div w:id="167915992">
      <w:bodyDiv w:val="1"/>
      <w:marLeft w:val="0"/>
      <w:marRight w:val="0"/>
      <w:marTop w:val="0"/>
      <w:marBottom w:val="0"/>
      <w:divBdr>
        <w:top w:val="none" w:sz="0" w:space="0" w:color="auto"/>
        <w:left w:val="none" w:sz="0" w:space="0" w:color="auto"/>
        <w:bottom w:val="none" w:sz="0" w:space="0" w:color="auto"/>
        <w:right w:val="none" w:sz="0" w:space="0" w:color="auto"/>
      </w:divBdr>
      <w:divsChild>
        <w:div w:id="32778133">
          <w:marLeft w:val="274"/>
          <w:marRight w:val="0"/>
          <w:marTop w:val="0"/>
          <w:marBottom w:val="0"/>
          <w:divBdr>
            <w:top w:val="none" w:sz="0" w:space="0" w:color="auto"/>
            <w:left w:val="none" w:sz="0" w:space="0" w:color="auto"/>
            <w:bottom w:val="none" w:sz="0" w:space="0" w:color="auto"/>
            <w:right w:val="none" w:sz="0" w:space="0" w:color="auto"/>
          </w:divBdr>
        </w:div>
        <w:div w:id="289241794">
          <w:marLeft w:val="274"/>
          <w:marRight w:val="0"/>
          <w:marTop w:val="0"/>
          <w:marBottom w:val="0"/>
          <w:divBdr>
            <w:top w:val="none" w:sz="0" w:space="0" w:color="auto"/>
            <w:left w:val="none" w:sz="0" w:space="0" w:color="auto"/>
            <w:bottom w:val="none" w:sz="0" w:space="0" w:color="auto"/>
            <w:right w:val="none" w:sz="0" w:space="0" w:color="auto"/>
          </w:divBdr>
        </w:div>
      </w:divsChild>
    </w:div>
    <w:div w:id="174344966">
      <w:bodyDiv w:val="1"/>
      <w:marLeft w:val="0"/>
      <w:marRight w:val="0"/>
      <w:marTop w:val="0"/>
      <w:marBottom w:val="0"/>
      <w:divBdr>
        <w:top w:val="none" w:sz="0" w:space="0" w:color="auto"/>
        <w:left w:val="none" w:sz="0" w:space="0" w:color="auto"/>
        <w:bottom w:val="none" w:sz="0" w:space="0" w:color="auto"/>
        <w:right w:val="none" w:sz="0" w:space="0" w:color="auto"/>
      </w:divBdr>
      <w:divsChild>
        <w:div w:id="85737638">
          <w:marLeft w:val="0"/>
          <w:marRight w:val="0"/>
          <w:marTop w:val="0"/>
          <w:marBottom w:val="0"/>
          <w:divBdr>
            <w:top w:val="none" w:sz="0" w:space="0" w:color="auto"/>
            <w:left w:val="none" w:sz="0" w:space="0" w:color="auto"/>
            <w:bottom w:val="none" w:sz="0" w:space="0" w:color="auto"/>
            <w:right w:val="none" w:sz="0" w:space="0" w:color="auto"/>
          </w:divBdr>
        </w:div>
        <w:div w:id="92433452">
          <w:marLeft w:val="0"/>
          <w:marRight w:val="0"/>
          <w:marTop w:val="0"/>
          <w:marBottom w:val="0"/>
          <w:divBdr>
            <w:top w:val="none" w:sz="0" w:space="0" w:color="auto"/>
            <w:left w:val="none" w:sz="0" w:space="0" w:color="auto"/>
            <w:bottom w:val="none" w:sz="0" w:space="0" w:color="auto"/>
            <w:right w:val="none" w:sz="0" w:space="0" w:color="auto"/>
          </w:divBdr>
        </w:div>
        <w:div w:id="1039084027">
          <w:marLeft w:val="0"/>
          <w:marRight w:val="0"/>
          <w:marTop w:val="0"/>
          <w:marBottom w:val="0"/>
          <w:divBdr>
            <w:top w:val="none" w:sz="0" w:space="0" w:color="auto"/>
            <w:left w:val="none" w:sz="0" w:space="0" w:color="auto"/>
            <w:bottom w:val="none" w:sz="0" w:space="0" w:color="auto"/>
            <w:right w:val="none" w:sz="0" w:space="0" w:color="auto"/>
          </w:divBdr>
        </w:div>
      </w:divsChild>
    </w:div>
    <w:div w:id="176624104">
      <w:bodyDiv w:val="1"/>
      <w:marLeft w:val="0"/>
      <w:marRight w:val="0"/>
      <w:marTop w:val="0"/>
      <w:marBottom w:val="0"/>
      <w:divBdr>
        <w:top w:val="none" w:sz="0" w:space="0" w:color="auto"/>
        <w:left w:val="none" w:sz="0" w:space="0" w:color="auto"/>
        <w:bottom w:val="none" w:sz="0" w:space="0" w:color="auto"/>
        <w:right w:val="none" w:sz="0" w:space="0" w:color="auto"/>
      </w:divBdr>
    </w:div>
    <w:div w:id="193858327">
      <w:bodyDiv w:val="1"/>
      <w:marLeft w:val="0"/>
      <w:marRight w:val="0"/>
      <w:marTop w:val="0"/>
      <w:marBottom w:val="0"/>
      <w:divBdr>
        <w:top w:val="none" w:sz="0" w:space="0" w:color="auto"/>
        <w:left w:val="none" w:sz="0" w:space="0" w:color="auto"/>
        <w:bottom w:val="none" w:sz="0" w:space="0" w:color="auto"/>
        <w:right w:val="none" w:sz="0" w:space="0" w:color="auto"/>
      </w:divBdr>
    </w:div>
    <w:div w:id="206572175">
      <w:bodyDiv w:val="1"/>
      <w:marLeft w:val="0"/>
      <w:marRight w:val="0"/>
      <w:marTop w:val="0"/>
      <w:marBottom w:val="0"/>
      <w:divBdr>
        <w:top w:val="none" w:sz="0" w:space="0" w:color="auto"/>
        <w:left w:val="none" w:sz="0" w:space="0" w:color="auto"/>
        <w:bottom w:val="none" w:sz="0" w:space="0" w:color="auto"/>
        <w:right w:val="none" w:sz="0" w:space="0" w:color="auto"/>
      </w:divBdr>
    </w:div>
    <w:div w:id="210532931">
      <w:bodyDiv w:val="1"/>
      <w:marLeft w:val="0"/>
      <w:marRight w:val="0"/>
      <w:marTop w:val="0"/>
      <w:marBottom w:val="0"/>
      <w:divBdr>
        <w:top w:val="none" w:sz="0" w:space="0" w:color="auto"/>
        <w:left w:val="none" w:sz="0" w:space="0" w:color="auto"/>
        <w:bottom w:val="none" w:sz="0" w:space="0" w:color="auto"/>
        <w:right w:val="none" w:sz="0" w:space="0" w:color="auto"/>
      </w:divBdr>
      <w:divsChild>
        <w:div w:id="309140420">
          <w:marLeft w:val="446"/>
          <w:marRight w:val="0"/>
          <w:marTop w:val="0"/>
          <w:marBottom w:val="0"/>
          <w:divBdr>
            <w:top w:val="none" w:sz="0" w:space="0" w:color="auto"/>
            <w:left w:val="none" w:sz="0" w:space="0" w:color="auto"/>
            <w:bottom w:val="none" w:sz="0" w:space="0" w:color="auto"/>
            <w:right w:val="none" w:sz="0" w:space="0" w:color="auto"/>
          </w:divBdr>
        </w:div>
        <w:div w:id="581723489">
          <w:marLeft w:val="446"/>
          <w:marRight w:val="0"/>
          <w:marTop w:val="0"/>
          <w:marBottom w:val="0"/>
          <w:divBdr>
            <w:top w:val="none" w:sz="0" w:space="0" w:color="auto"/>
            <w:left w:val="none" w:sz="0" w:space="0" w:color="auto"/>
            <w:bottom w:val="none" w:sz="0" w:space="0" w:color="auto"/>
            <w:right w:val="none" w:sz="0" w:space="0" w:color="auto"/>
          </w:divBdr>
        </w:div>
        <w:div w:id="764688411">
          <w:marLeft w:val="446"/>
          <w:marRight w:val="0"/>
          <w:marTop w:val="0"/>
          <w:marBottom w:val="0"/>
          <w:divBdr>
            <w:top w:val="none" w:sz="0" w:space="0" w:color="auto"/>
            <w:left w:val="none" w:sz="0" w:space="0" w:color="auto"/>
            <w:bottom w:val="none" w:sz="0" w:space="0" w:color="auto"/>
            <w:right w:val="none" w:sz="0" w:space="0" w:color="auto"/>
          </w:divBdr>
        </w:div>
      </w:divsChild>
    </w:div>
    <w:div w:id="228417880">
      <w:bodyDiv w:val="1"/>
      <w:marLeft w:val="0"/>
      <w:marRight w:val="0"/>
      <w:marTop w:val="0"/>
      <w:marBottom w:val="0"/>
      <w:divBdr>
        <w:top w:val="none" w:sz="0" w:space="0" w:color="auto"/>
        <w:left w:val="none" w:sz="0" w:space="0" w:color="auto"/>
        <w:bottom w:val="none" w:sz="0" w:space="0" w:color="auto"/>
        <w:right w:val="none" w:sz="0" w:space="0" w:color="auto"/>
      </w:divBdr>
    </w:div>
    <w:div w:id="243078886">
      <w:bodyDiv w:val="1"/>
      <w:marLeft w:val="0"/>
      <w:marRight w:val="0"/>
      <w:marTop w:val="0"/>
      <w:marBottom w:val="0"/>
      <w:divBdr>
        <w:top w:val="none" w:sz="0" w:space="0" w:color="auto"/>
        <w:left w:val="none" w:sz="0" w:space="0" w:color="auto"/>
        <w:bottom w:val="none" w:sz="0" w:space="0" w:color="auto"/>
        <w:right w:val="none" w:sz="0" w:space="0" w:color="auto"/>
      </w:divBdr>
    </w:div>
    <w:div w:id="247547248">
      <w:bodyDiv w:val="1"/>
      <w:marLeft w:val="0"/>
      <w:marRight w:val="0"/>
      <w:marTop w:val="0"/>
      <w:marBottom w:val="0"/>
      <w:divBdr>
        <w:top w:val="none" w:sz="0" w:space="0" w:color="auto"/>
        <w:left w:val="none" w:sz="0" w:space="0" w:color="auto"/>
        <w:bottom w:val="none" w:sz="0" w:space="0" w:color="auto"/>
        <w:right w:val="none" w:sz="0" w:space="0" w:color="auto"/>
      </w:divBdr>
      <w:divsChild>
        <w:div w:id="677734918">
          <w:marLeft w:val="547"/>
          <w:marRight w:val="0"/>
          <w:marTop w:val="0"/>
          <w:marBottom w:val="0"/>
          <w:divBdr>
            <w:top w:val="none" w:sz="0" w:space="0" w:color="auto"/>
            <w:left w:val="none" w:sz="0" w:space="0" w:color="auto"/>
            <w:bottom w:val="none" w:sz="0" w:space="0" w:color="auto"/>
            <w:right w:val="none" w:sz="0" w:space="0" w:color="auto"/>
          </w:divBdr>
        </w:div>
      </w:divsChild>
    </w:div>
    <w:div w:id="249433073">
      <w:bodyDiv w:val="1"/>
      <w:marLeft w:val="0"/>
      <w:marRight w:val="0"/>
      <w:marTop w:val="0"/>
      <w:marBottom w:val="0"/>
      <w:divBdr>
        <w:top w:val="none" w:sz="0" w:space="0" w:color="auto"/>
        <w:left w:val="none" w:sz="0" w:space="0" w:color="auto"/>
        <w:bottom w:val="none" w:sz="0" w:space="0" w:color="auto"/>
        <w:right w:val="none" w:sz="0" w:space="0" w:color="auto"/>
      </w:divBdr>
    </w:div>
    <w:div w:id="257057069">
      <w:bodyDiv w:val="1"/>
      <w:marLeft w:val="0"/>
      <w:marRight w:val="0"/>
      <w:marTop w:val="0"/>
      <w:marBottom w:val="0"/>
      <w:divBdr>
        <w:top w:val="none" w:sz="0" w:space="0" w:color="auto"/>
        <w:left w:val="none" w:sz="0" w:space="0" w:color="auto"/>
        <w:bottom w:val="none" w:sz="0" w:space="0" w:color="auto"/>
        <w:right w:val="none" w:sz="0" w:space="0" w:color="auto"/>
      </w:divBdr>
    </w:div>
    <w:div w:id="268125453">
      <w:bodyDiv w:val="1"/>
      <w:marLeft w:val="0"/>
      <w:marRight w:val="0"/>
      <w:marTop w:val="0"/>
      <w:marBottom w:val="0"/>
      <w:divBdr>
        <w:top w:val="none" w:sz="0" w:space="0" w:color="auto"/>
        <w:left w:val="none" w:sz="0" w:space="0" w:color="auto"/>
        <w:bottom w:val="none" w:sz="0" w:space="0" w:color="auto"/>
        <w:right w:val="none" w:sz="0" w:space="0" w:color="auto"/>
      </w:divBdr>
    </w:div>
    <w:div w:id="283268480">
      <w:bodyDiv w:val="1"/>
      <w:marLeft w:val="0"/>
      <w:marRight w:val="0"/>
      <w:marTop w:val="0"/>
      <w:marBottom w:val="0"/>
      <w:divBdr>
        <w:top w:val="none" w:sz="0" w:space="0" w:color="auto"/>
        <w:left w:val="none" w:sz="0" w:space="0" w:color="auto"/>
        <w:bottom w:val="none" w:sz="0" w:space="0" w:color="auto"/>
        <w:right w:val="none" w:sz="0" w:space="0" w:color="auto"/>
      </w:divBdr>
    </w:div>
    <w:div w:id="288515401">
      <w:bodyDiv w:val="1"/>
      <w:marLeft w:val="0"/>
      <w:marRight w:val="0"/>
      <w:marTop w:val="0"/>
      <w:marBottom w:val="0"/>
      <w:divBdr>
        <w:top w:val="none" w:sz="0" w:space="0" w:color="auto"/>
        <w:left w:val="none" w:sz="0" w:space="0" w:color="auto"/>
        <w:bottom w:val="none" w:sz="0" w:space="0" w:color="auto"/>
        <w:right w:val="none" w:sz="0" w:space="0" w:color="auto"/>
      </w:divBdr>
    </w:div>
    <w:div w:id="307324153">
      <w:bodyDiv w:val="1"/>
      <w:marLeft w:val="0"/>
      <w:marRight w:val="0"/>
      <w:marTop w:val="0"/>
      <w:marBottom w:val="0"/>
      <w:divBdr>
        <w:top w:val="none" w:sz="0" w:space="0" w:color="auto"/>
        <w:left w:val="none" w:sz="0" w:space="0" w:color="auto"/>
        <w:bottom w:val="none" w:sz="0" w:space="0" w:color="auto"/>
        <w:right w:val="none" w:sz="0" w:space="0" w:color="auto"/>
      </w:divBdr>
      <w:divsChild>
        <w:div w:id="301540161">
          <w:marLeft w:val="547"/>
          <w:marRight w:val="0"/>
          <w:marTop w:val="0"/>
          <w:marBottom w:val="0"/>
          <w:divBdr>
            <w:top w:val="none" w:sz="0" w:space="0" w:color="auto"/>
            <w:left w:val="none" w:sz="0" w:space="0" w:color="auto"/>
            <w:bottom w:val="none" w:sz="0" w:space="0" w:color="auto"/>
            <w:right w:val="none" w:sz="0" w:space="0" w:color="auto"/>
          </w:divBdr>
        </w:div>
        <w:div w:id="1204513407">
          <w:marLeft w:val="547"/>
          <w:marRight w:val="0"/>
          <w:marTop w:val="0"/>
          <w:marBottom w:val="0"/>
          <w:divBdr>
            <w:top w:val="none" w:sz="0" w:space="0" w:color="auto"/>
            <w:left w:val="none" w:sz="0" w:space="0" w:color="auto"/>
            <w:bottom w:val="none" w:sz="0" w:space="0" w:color="auto"/>
            <w:right w:val="none" w:sz="0" w:space="0" w:color="auto"/>
          </w:divBdr>
        </w:div>
        <w:div w:id="1558778574">
          <w:marLeft w:val="547"/>
          <w:marRight w:val="0"/>
          <w:marTop w:val="0"/>
          <w:marBottom w:val="0"/>
          <w:divBdr>
            <w:top w:val="none" w:sz="0" w:space="0" w:color="auto"/>
            <w:left w:val="none" w:sz="0" w:space="0" w:color="auto"/>
            <w:bottom w:val="none" w:sz="0" w:space="0" w:color="auto"/>
            <w:right w:val="none" w:sz="0" w:space="0" w:color="auto"/>
          </w:divBdr>
        </w:div>
        <w:div w:id="1925676291">
          <w:marLeft w:val="547"/>
          <w:marRight w:val="0"/>
          <w:marTop w:val="0"/>
          <w:marBottom w:val="0"/>
          <w:divBdr>
            <w:top w:val="none" w:sz="0" w:space="0" w:color="auto"/>
            <w:left w:val="none" w:sz="0" w:space="0" w:color="auto"/>
            <w:bottom w:val="none" w:sz="0" w:space="0" w:color="auto"/>
            <w:right w:val="none" w:sz="0" w:space="0" w:color="auto"/>
          </w:divBdr>
        </w:div>
      </w:divsChild>
    </w:div>
    <w:div w:id="313681948">
      <w:bodyDiv w:val="1"/>
      <w:marLeft w:val="0"/>
      <w:marRight w:val="0"/>
      <w:marTop w:val="0"/>
      <w:marBottom w:val="0"/>
      <w:divBdr>
        <w:top w:val="none" w:sz="0" w:space="0" w:color="auto"/>
        <w:left w:val="none" w:sz="0" w:space="0" w:color="auto"/>
        <w:bottom w:val="none" w:sz="0" w:space="0" w:color="auto"/>
        <w:right w:val="none" w:sz="0" w:space="0" w:color="auto"/>
      </w:divBdr>
      <w:divsChild>
        <w:div w:id="55007973">
          <w:marLeft w:val="0"/>
          <w:marRight w:val="0"/>
          <w:marTop w:val="0"/>
          <w:marBottom w:val="0"/>
          <w:divBdr>
            <w:top w:val="none" w:sz="0" w:space="0" w:color="auto"/>
            <w:left w:val="none" w:sz="0" w:space="0" w:color="auto"/>
            <w:bottom w:val="none" w:sz="0" w:space="0" w:color="auto"/>
            <w:right w:val="none" w:sz="0" w:space="0" w:color="auto"/>
          </w:divBdr>
        </w:div>
        <w:div w:id="165098072">
          <w:marLeft w:val="0"/>
          <w:marRight w:val="0"/>
          <w:marTop w:val="0"/>
          <w:marBottom w:val="0"/>
          <w:divBdr>
            <w:top w:val="none" w:sz="0" w:space="0" w:color="auto"/>
            <w:left w:val="none" w:sz="0" w:space="0" w:color="auto"/>
            <w:bottom w:val="none" w:sz="0" w:space="0" w:color="auto"/>
            <w:right w:val="none" w:sz="0" w:space="0" w:color="auto"/>
          </w:divBdr>
        </w:div>
        <w:div w:id="310328143">
          <w:marLeft w:val="0"/>
          <w:marRight w:val="0"/>
          <w:marTop w:val="0"/>
          <w:marBottom w:val="0"/>
          <w:divBdr>
            <w:top w:val="none" w:sz="0" w:space="0" w:color="auto"/>
            <w:left w:val="none" w:sz="0" w:space="0" w:color="auto"/>
            <w:bottom w:val="none" w:sz="0" w:space="0" w:color="auto"/>
            <w:right w:val="none" w:sz="0" w:space="0" w:color="auto"/>
          </w:divBdr>
        </w:div>
        <w:div w:id="328098271">
          <w:marLeft w:val="0"/>
          <w:marRight w:val="0"/>
          <w:marTop w:val="0"/>
          <w:marBottom w:val="0"/>
          <w:divBdr>
            <w:top w:val="none" w:sz="0" w:space="0" w:color="auto"/>
            <w:left w:val="none" w:sz="0" w:space="0" w:color="auto"/>
            <w:bottom w:val="none" w:sz="0" w:space="0" w:color="auto"/>
            <w:right w:val="none" w:sz="0" w:space="0" w:color="auto"/>
          </w:divBdr>
        </w:div>
        <w:div w:id="339937813">
          <w:marLeft w:val="0"/>
          <w:marRight w:val="0"/>
          <w:marTop w:val="0"/>
          <w:marBottom w:val="0"/>
          <w:divBdr>
            <w:top w:val="none" w:sz="0" w:space="0" w:color="auto"/>
            <w:left w:val="none" w:sz="0" w:space="0" w:color="auto"/>
            <w:bottom w:val="none" w:sz="0" w:space="0" w:color="auto"/>
            <w:right w:val="none" w:sz="0" w:space="0" w:color="auto"/>
          </w:divBdr>
        </w:div>
        <w:div w:id="354577799">
          <w:marLeft w:val="0"/>
          <w:marRight w:val="0"/>
          <w:marTop w:val="0"/>
          <w:marBottom w:val="0"/>
          <w:divBdr>
            <w:top w:val="none" w:sz="0" w:space="0" w:color="auto"/>
            <w:left w:val="none" w:sz="0" w:space="0" w:color="auto"/>
            <w:bottom w:val="none" w:sz="0" w:space="0" w:color="auto"/>
            <w:right w:val="none" w:sz="0" w:space="0" w:color="auto"/>
          </w:divBdr>
        </w:div>
        <w:div w:id="385449564">
          <w:marLeft w:val="0"/>
          <w:marRight w:val="0"/>
          <w:marTop w:val="0"/>
          <w:marBottom w:val="0"/>
          <w:divBdr>
            <w:top w:val="none" w:sz="0" w:space="0" w:color="auto"/>
            <w:left w:val="none" w:sz="0" w:space="0" w:color="auto"/>
            <w:bottom w:val="none" w:sz="0" w:space="0" w:color="auto"/>
            <w:right w:val="none" w:sz="0" w:space="0" w:color="auto"/>
          </w:divBdr>
        </w:div>
        <w:div w:id="445396085">
          <w:marLeft w:val="0"/>
          <w:marRight w:val="0"/>
          <w:marTop w:val="0"/>
          <w:marBottom w:val="0"/>
          <w:divBdr>
            <w:top w:val="none" w:sz="0" w:space="0" w:color="auto"/>
            <w:left w:val="none" w:sz="0" w:space="0" w:color="auto"/>
            <w:bottom w:val="none" w:sz="0" w:space="0" w:color="auto"/>
            <w:right w:val="none" w:sz="0" w:space="0" w:color="auto"/>
          </w:divBdr>
        </w:div>
        <w:div w:id="754012705">
          <w:marLeft w:val="0"/>
          <w:marRight w:val="0"/>
          <w:marTop w:val="0"/>
          <w:marBottom w:val="0"/>
          <w:divBdr>
            <w:top w:val="none" w:sz="0" w:space="0" w:color="auto"/>
            <w:left w:val="none" w:sz="0" w:space="0" w:color="auto"/>
            <w:bottom w:val="none" w:sz="0" w:space="0" w:color="auto"/>
            <w:right w:val="none" w:sz="0" w:space="0" w:color="auto"/>
          </w:divBdr>
        </w:div>
        <w:div w:id="756563512">
          <w:marLeft w:val="0"/>
          <w:marRight w:val="0"/>
          <w:marTop w:val="0"/>
          <w:marBottom w:val="0"/>
          <w:divBdr>
            <w:top w:val="none" w:sz="0" w:space="0" w:color="auto"/>
            <w:left w:val="none" w:sz="0" w:space="0" w:color="auto"/>
            <w:bottom w:val="none" w:sz="0" w:space="0" w:color="auto"/>
            <w:right w:val="none" w:sz="0" w:space="0" w:color="auto"/>
          </w:divBdr>
        </w:div>
        <w:div w:id="822771176">
          <w:marLeft w:val="0"/>
          <w:marRight w:val="0"/>
          <w:marTop w:val="0"/>
          <w:marBottom w:val="0"/>
          <w:divBdr>
            <w:top w:val="none" w:sz="0" w:space="0" w:color="auto"/>
            <w:left w:val="none" w:sz="0" w:space="0" w:color="auto"/>
            <w:bottom w:val="none" w:sz="0" w:space="0" w:color="auto"/>
            <w:right w:val="none" w:sz="0" w:space="0" w:color="auto"/>
          </w:divBdr>
        </w:div>
        <w:div w:id="886374602">
          <w:marLeft w:val="0"/>
          <w:marRight w:val="0"/>
          <w:marTop w:val="0"/>
          <w:marBottom w:val="0"/>
          <w:divBdr>
            <w:top w:val="none" w:sz="0" w:space="0" w:color="auto"/>
            <w:left w:val="none" w:sz="0" w:space="0" w:color="auto"/>
            <w:bottom w:val="none" w:sz="0" w:space="0" w:color="auto"/>
            <w:right w:val="none" w:sz="0" w:space="0" w:color="auto"/>
          </w:divBdr>
        </w:div>
        <w:div w:id="897009817">
          <w:marLeft w:val="0"/>
          <w:marRight w:val="0"/>
          <w:marTop w:val="0"/>
          <w:marBottom w:val="0"/>
          <w:divBdr>
            <w:top w:val="none" w:sz="0" w:space="0" w:color="auto"/>
            <w:left w:val="none" w:sz="0" w:space="0" w:color="auto"/>
            <w:bottom w:val="none" w:sz="0" w:space="0" w:color="auto"/>
            <w:right w:val="none" w:sz="0" w:space="0" w:color="auto"/>
          </w:divBdr>
        </w:div>
        <w:div w:id="910893937">
          <w:marLeft w:val="0"/>
          <w:marRight w:val="0"/>
          <w:marTop w:val="0"/>
          <w:marBottom w:val="0"/>
          <w:divBdr>
            <w:top w:val="none" w:sz="0" w:space="0" w:color="auto"/>
            <w:left w:val="none" w:sz="0" w:space="0" w:color="auto"/>
            <w:bottom w:val="none" w:sz="0" w:space="0" w:color="auto"/>
            <w:right w:val="none" w:sz="0" w:space="0" w:color="auto"/>
          </w:divBdr>
        </w:div>
        <w:div w:id="946042888">
          <w:marLeft w:val="0"/>
          <w:marRight w:val="0"/>
          <w:marTop w:val="0"/>
          <w:marBottom w:val="0"/>
          <w:divBdr>
            <w:top w:val="none" w:sz="0" w:space="0" w:color="auto"/>
            <w:left w:val="none" w:sz="0" w:space="0" w:color="auto"/>
            <w:bottom w:val="none" w:sz="0" w:space="0" w:color="auto"/>
            <w:right w:val="none" w:sz="0" w:space="0" w:color="auto"/>
          </w:divBdr>
        </w:div>
        <w:div w:id="1003237107">
          <w:marLeft w:val="0"/>
          <w:marRight w:val="0"/>
          <w:marTop w:val="0"/>
          <w:marBottom w:val="0"/>
          <w:divBdr>
            <w:top w:val="none" w:sz="0" w:space="0" w:color="auto"/>
            <w:left w:val="none" w:sz="0" w:space="0" w:color="auto"/>
            <w:bottom w:val="none" w:sz="0" w:space="0" w:color="auto"/>
            <w:right w:val="none" w:sz="0" w:space="0" w:color="auto"/>
          </w:divBdr>
        </w:div>
        <w:div w:id="1021274391">
          <w:marLeft w:val="0"/>
          <w:marRight w:val="0"/>
          <w:marTop w:val="0"/>
          <w:marBottom w:val="0"/>
          <w:divBdr>
            <w:top w:val="none" w:sz="0" w:space="0" w:color="auto"/>
            <w:left w:val="none" w:sz="0" w:space="0" w:color="auto"/>
            <w:bottom w:val="none" w:sz="0" w:space="0" w:color="auto"/>
            <w:right w:val="none" w:sz="0" w:space="0" w:color="auto"/>
          </w:divBdr>
        </w:div>
        <w:div w:id="1308363266">
          <w:marLeft w:val="0"/>
          <w:marRight w:val="0"/>
          <w:marTop w:val="0"/>
          <w:marBottom w:val="0"/>
          <w:divBdr>
            <w:top w:val="none" w:sz="0" w:space="0" w:color="auto"/>
            <w:left w:val="none" w:sz="0" w:space="0" w:color="auto"/>
            <w:bottom w:val="none" w:sz="0" w:space="0" w:color="auto"/>
            <w:right w:val="none" w:sz="0" w:space="0" w:color="auto"/>
          </w:divBdr>
        </w:div>
        <w:div w:id="1364670722">
          <w:marLeft w:val="0"/>
          <w:marRight w:val="0"/>
          <w:marTop w:val="0"/>
          <w:marBottom w:val="0"/>
          <w:divBdr>
            <w:top w:val="none" w:sz="0" w:space="0" w:color="auto"/>
            <w:left w:val="none" w:sz="0" w:space="0" w:color="auto"/>
            <w:bottom w:val="none" w:sz="0" w:space="0" w:color="auto"/>
            <w:right w:val="none" w:sz="0" w:space="0" w:color="auto"/>
          </w:divBdr>
        </w:div>
        <w:div w:id="1437672090">
          <w:marLeft w:val="0"/>
          <w:marRight w:val="0"/>
          <w:marTop w:val="0"/>
          <w:marBottom w:val="0"/>
          <w:divBdr>
            <w:top w:val="none" w:sz="0" w:space="0" w:color="auto"/>
            <w:left w:val="none" w:sz="0" w:space="0" w:color="auto"/>
            <w:bottom w:val="none" w:sz="0" w:space="0" w:color="auto"/>
            <w:right w:val="none" w:sz="0" w:space="0" w:color="auto"/>
          </w:divBdr>
        </w:div>
        <w:div w:id="1561137653">
          <w:marLeft w:val="0"/>
          <w:marRight w:val="0"/>
          <w:marTop w:val="0"/>
          <w:marBottom w:val="0"/>
          <w:divBdr>
            <w:top w:val="none" w:sz="0" w:space="0" w:color="auto"/>
            <w:left w:val="none" w:sz="0" w:space="0" w:color="auto"/>
            <w:bottom w:val="none" w:sz="0" w:space="0" w:color="auto"/>
            <w:right w:val="none" w:sz="0" w:space="0" w:color="auto"/>
          </w:divBdr>
        </w:div>
        <w:div w:id="1573540539">
          <w:marLeft w:val="0"/>
          <w:marRight w:val="0"/>
          <w:marTop w:val="0"/>
          <w:marBottom w:val="0"/>
          <w:divBdr>
            <w:top w:val="none" w:sz="0" w:space="0" w:color="auto"/>
            <w:left w:val="none" w:sz="0" w:space="0" w:color="auto"/>
            <w:bottom w:val="none" w:sz="0" w:space="0" w:color="auto"/>
            <w:right w:val="none" w:sz="0" w:space="0" w:color="auto"/>
          </w:divBdr>
        </w:div>
        <w:div w:id="1592355814">
          <w:marLeft w:val="0"/>
          <w:marRight w:val="0"/>
          <w:marTop w:val="0"/>
          <w:marBottom w:val="0"/>
          <w:divBdr>
            <w:top w:val="none" w:sz="0" w:space="0" w:color="auto"/>
            <w:left w:val="none" w:sz="0" w:space="0" w:color="auto"/>
            <w:bottom w:val="none" w:sz="0" w:space="0" w:color="auto"/>
            <w:right w:val="none" w:sz="0" w:space="0" w:color="auto"/>
          </w:divBdr>
        </w:div>
        <w:div w:id="1611544440">
          <w:marLeft w:val="0"/>
          <w:marRight w:val="0"/>
          <w:marTop w:val="0"/>
          <w:marBottom w:val="0"/>
          <w:divBdr>
            <w:top w:val="none" w:sz="0" w:space="0" w:color="auto"/>
            <w:left w:val="none" w:sz="0" w:space="0" w:color="auto"/>
            <w:bottom w:val="none" w:sz="0" w:space="0" w:color="auto"/>
            <w:right w:val="none" w:sz="0" w:space="0" w:color="auto"/>
          </w:divBdr>
        </w:div>
        <w:div w:id="1670474852">
          <w:marLeft w:val="0"/>
          <w:marRight w:val="0"/>
          <w:marTop w:val="0"/>
          <w:marBottom w:val="0"/>
          <w:divBdr>
            <w:top w:val="none" w:sz="0" w:space="0" w:color="auto"/>
            <w:left w:val="none" w:sz="0" w:space="0" w:color="auto"/>
            <w:bottom w:val="none" w:sz="0" w:space="0" w:color="auto"/>
            <w:right w:val="none" w:sz="0" w:space="0" w:color="auto"/>
          </w:divBdr>
        </w:div>
        <w:div w:id="1800606359">
          <w:marLeft w:val="0"/>
          <w:marRight w:val="0"/>
          <w:marTop w:val="0"/>
          <w:marBottom w:val="0"/>
          <w:divBdr>
            <w:top w:val="none" w:sz="0" w:space="0" w:color="auto"/>
            <w:left w:val="none" w:sz="0" w:space="0" w:color="auto"/>
            <w:bottom w:val="none" w:sz="0" w:space="0" w:color="auto"/>
            <w:right w:val="none" w:sz="0" w:space="0" w:color="auto"/>
          </w:divBdr>
        </w:div>
        <w:div w:id="1834637180">
          <w:marLeft w:val="0"/>
          <w:marRight w:val="0"/>
          <w:marTop w:val="0"/>
          <w:marBottom w:val="0"/>
          <w:divBdr>
            <w:top w:val="none" w:sz="0" w:space="0" w:color="auto"/>
            <w:left w:val="none" w:sz="0" w:space="0" w:color="auto"/>
            <w:bottom w:val="none" w:sz="0" w:space="0" w:color="auto"/>
            <w:right w:val="none" w:sz="0" w:space="0" w:color="auto"/>
          </w:divBdr>
        </w:div>
        <w:div w:id="1857647964">
          <w:marLeft w:val="0"/>
          <w:marRight w:val="0"/>
          <w:marTop w:val="0"/>
          <w:marBottom w:val="0"/>
          <w:divBdr>
            <w:top w:val="none" w:sz="0" w:space="0" w:color="auto"/>
            <w:left w:val="none" w:sz="0" w:space="0" w:color="auto"/>
            <w:bottom w:val="none" w:sz="0" w:space="0" w:color="auto"/>
            <w:right w:val="none" w:sz="0" w:space="0" w:color="auto"/>
          </w:divBdr>
        </w:div>
        <w:div w:id="1937009515">
          <w:marLeft w:val="0"/>
          <w:marRight w:val="0"/>
          <w:marTop w:val="0"/>
          <w:marBottom w:val="0"/>
          <w:divBdr>
            <w:top w:val="none" w:sz="0" w:space="0" w:color="auto"/>
            <w:left w:val="none" w:sz="0" w:space="0" w:color="auto"/>
            <w:bottom w:val="none" w:sz="0" w:space="0" w:color="auto"/>
            <w:right w:val="none" w:sz="0" w:space="0" w:color="auto"/>
          </w:divBdr>
        </w:div>
        <w:div w:id="1947614364">
          <w:marLeft w:val="0"/>
          <w:marRight w:val="0"/>
          <w:marTop w:val="0"/>
          <w:marBottom w:val="0"/>
          <w:divBdr>
            <w:top w:val="none" w:sz="0" w:space="0" w:color="auto"/>
            <w:left w:val="none" w:sz="0" w:space="0" w:color="auto"/>
            <w:bottom w:val="none" w:sz="0" w:space="0" w:color="auto"/>
            <w:right w:val="none" w:sz="0" w:space="0" w:color="auto"/>
          </w:divBdr>
        </w:div>
        <w:div w:id="1947809924">
          <w:marLeft w:val="0"/>
          <w:marRight w:val="0"/>
          <w:marTop w:val="0"/>
          <w:marBottom w:val="0"/>
          <w:divBdr>
            <w:top w:val="none" w:sz="0" w:space="0" w:color="auto"/>
            <w:left w:val="none" w:sz="0" w:space="0" w:color="auto"/>
            <w:bottom w:val="none" w:sz="0" w:space="0" w:color="auto"/>
            <w:right w:val="none" w:sz="0" w:space="0" w:color="auto"/>
          </w:divBdr>
        </w:div>
        <w:div w:id="2000572550">
          <w:marLeft w:val="0"/>
          <w:marRight w:val="0"/>
          <w:marTop w:val="0"/>
          <w:marBottom w:val="0"/>
          <w:divBdr>
            <w:top w:val="none" w:sz="0" w:space="0" w:color="auto"/>
            <w:left w:val="none" w:sz="0" w:space="0" w:color="auto"/>
            <w:bottom w:val="none" w:sz="0" w:space="0" w:color="auto"/>
            <w:right w:val="none" w:sz="0" w:space="0" w:color="auto"/>
          </w:divBdr>
        </w:div>
        <w:div w:id="2001035056">
          <w:marLeft w:val="0"/>
          <w:marRight w:val="0"/>
          <w:marTop w:val="0"/>
          <w:marBottom w:val="0"/>
          <w:divBdr>
            <w:top w:val="none" w:sz="0" w:space="0" w:color="auto"/>
            <w:left w:val="none" w:sz="0" w:space="0" w:color="auto"/>
            <w:bottom w:val="none" w:sz="0" w:space="0" w:color="auto"/>
            <w:right w:val="none" w:sz="0" w:space="0" w:color="auto"/>
          </w:divBdr>
        </w:div>
        <w:div w:id="2031182952">
          <w:marLeft w:val="0"/>
          <w:marRight w:val="0"/>
          <w:marTop w:val="0"/>
          <w:marBottom w:val="0"/>
          <w:divBdr>
            <w:top w:val="none" w:sz="0" w:space="0" w:color="auto"/>
            <w:left w:val="none" w:sz="0" w:space="0" w:color="auto"/>
            <w:bottom w:val="none" w:sz="0" w:space="0" w:color="auto"/>
            <w:right w:val="none" w:sz="0" w:space="0" w:color="auto"/>
          </w:divBdr>
        </w:div>
      </w:divsChild>
    </w:div>
    <w:div w:id="318847037">
      <w:bodyDiv w:val="1"/>
      <w:marLeft w:val="0"/>
      <w:marRight w:val="0"/>
      <w:marTop w:val="0"/>
      <w:marBottom w:val="0"/>
      <w:divBdr>
        <w:top w:val="none" w:sz="0" w:space="0" w:color="auto"/>
        <w:left w:val="none" w:sz="0" w:space="0" w:color="auto"/>
        <w:bottom w:val="none" w:sz="0" w:space="0" w:color="auto"/>
        <w:right w:val="none" w:sz="0" w:space="0" w:color="auto"/>
      </w:divBdr>
      <w:divsChild>
        <w:div w:id="1379934304">
          <w:marLeft w:val="547"/>
          <w:marRight w:val="0"/>
          <w:marTop w:val="0"/>
          <w:marBottom w:val="0"/>
          <w:divBdr>
            <w:top w:val="none" w:sz="0" w:space="0" w:color="auto"/>
            <w:left w:val="none" w:sz="0" w:space="0" w:color="auto"/>
            <w:bottom w:val="none" w:sz="0" w:space="0" w:color="auto"/>
            <w:right w:val="none" w:sz="0" w:space="0" w:color="auto"/>
          </w:divBdr>
        </w:div>
      </w:divsChild>
    </w:div>
    <w:div w:id="350650104">
      <w:bodyDiv w:val="1"/>
      <w:marLeft w:val="0"/>
      <w:marRight w:val="0"/>
      <w:marTop w:val="0"/>
      <w:marBottom w:val="0"/>
      <w:divBdr>
        <w:top w:val="none" w:sz="0" w:space="0" w:color="auto"/>
        <w:left w:val="none" w:sz="0" w:space="0" w:color="auto"/>
        <w:bottom w:val="none" w:sz="0" w:space="0" w:color="auto"/>
        <w:right w:val="none" w:sz="0" w:space="0" w:color="auto"/>
      </w:divBdr>
    </w:div>
    <w:div w:id="351494694">
      <w:bodyDiv w:val="1"/>
      <w:marLeft w:val="0"/>
      <w:marRight w:val="0"/>
      <w:marTop w:val="0"/>
      <w:marBottom w:val="0"/>
      <w:divBdr>
        <w:top w:val="none" w:sz="0" w:space="0" w:color="auto"/>
        <w:left w:val="none" w:sz="0" w:space="0" w:color="auto"/>
        <w:bottom w:val="none" w:sz="0" w:space="0" w:color="auto"/>
        <w:right w:val="none" w:sz="0" w:space="0" w:color="auto"/>
      </w:divBdr>
      <w:divsChild>
        <w:div w:id="491484005">
          <w:marLeft w:val="274"/>
          <w:marRight w:val="0"/>
          <w:marTop w:val="0"/>
          <w:marBottom w:val="0"/>
          <w:divBdr>
            <w:top w:val="none" w:sz="0" w:space="0" w:color="auto"/>
            <w:left w:val="none" w:sz="0" w:space="0" w:color="auto"/>
            <w:bottom w:val="none" w:sz="0" w:space="0" w:color="auto"/>
            <w:right w:val="none" w:sz="0" w:space="0" w:color="auto"/>
          </w:divBdr>
        </w:div>
        <w:div w:id="522669565">
          <w:marLeft w:val="274"/>
          <w:marRight w:val="0"/>
          <w:marTop w:val="0"/>
          <w:marBottom w:val="0"/>
          <w:divBdr>
            <w:top w:val="none" w:sz="0" w:space="0" w:color="auto"/>
            <w:left w:val="none" w:sz="0" w:space="0" w:color="auto"/>
            <w:bottom w:val="none" w:sz="0" w:space="0" w:color="auto"/>
            <w:right w:val="none" w:sz="0" w:space="0" w:color="auto"/>
          </w:divBdr>
        </w:div>
        <w:div w:id="865022689">
          <w:marLeft w:val="274"/>
          <w:marRight w:val="0"/>
          <w:marTop w:val="0"/>
          <w:marBottom w:val="0"/>
          <w:divBdr>
            <w:top w:val="none" w:sz="0" w:space="0" w:color="auto"/>
            <w:left w:val="none" w:sz="0" w:space="0" w:color="auto"/>
            <w:bottom w:val="none" w:sz="0" w:space="0" w:color="auto"/>
            <w:right w:val="none" w:sz="0" w:space="0" w:color="auto"/>
          </w:divBdr>
        </w:div>
      </w:divsChild>
    </w:div>
    <w:div w:id="360327740">
      <w:bodyDiv w:val="1"/>
      <w:marLeft w:val="0"/>
      <w:marRight w:val="0"/>
      <w:marTop w:val="0"/>
      <w:marBottom w:val="0"/>
      <w:divBdr>
        <w:top w:val="none" w:sz="0" w:space="0" w:color="auto"/>
        <w:left w:val="none" w:sz="0" w:space="0" w:color="auto"/>
        <w:bottom w:val="none" w:sz="0" w:space="0" w:color="auto"/>
        <w:right w:val="none" w:sz="0" w:space="0" w:color="auto"/>
      </w:divBdr>
      <w:divsChild>
        <w:div w:id="921989288">
          <w:marLeft w:val="446"/>
          <w:marRight w:val="0"/>
          <w:marTop w:val="0"/>
          <w:marBottom w:val="0"/>
          <w:divBdr>
            <w:top w:val="none" w:sz="0" w:space="0" w:color="auto"/>
            <w:left w:val="none" w:sz="0" w:space="0" w:color="auto"/>
            <w:bottom w:val="none" w:sz="0" w:space="0" w:color="auto"/>
            <w:right w:val="none" w:sz="0" w:space="0" w:color="auto"/>
          </w:divBdr>
        </w:div>
      </w:divsChild>
    </w:div>
    <w:div w:id="377360794">
      <w:bodyDiv w:val="1"/>
      <w:marLeft w:val="0"/>
      <w:marRight w:val="0"/>
      <w:marTop w:val="0"/>
      <w:marBottom w:val="0"/>
      <w:divBdr>
        <w:top w:val="none" w:sz="0" w:space="0" w:color="auto"/>
        <w:left w:val="none" w:sz="0" w:space="0" w:color="auto"/>
        <w:bottom w:val="none" w:sz="0" w:space="0" w:color="auto"/>
        <w:right w:val="none" w:sz="0" w:space="0" w:color="auto"/>
      </w:divBdr>
      <w:divsChild>
        <w:div w:id="33845763">
          <w:marLeft w:val="547"/>
          <w:marRight w:val="0"/>
          <w:marTop w:val="0"/>
          <w:marBottom w:val="0"/>
          <w:divBdr>
            <w:top w:val="none" w:sz="0" w:space="0" w:color="auto"/>
            <w:left w:val="none" w:sz="0" w:space="0" w:color="auto"/>
            <w:bottom w:val="none" w:sz="0" w:space="0" w:color="auto"/>
            <w:right w:val="none" w:sz="0" w:space="0" w:color="auto"/>
          </w:divBdr>
        </w:div>
        <w:div w:id="1009140811">
          <w:marLeft w:val="547"/>
          <w:marRight w:val="0"/>
          <w:marTop w:val="0"/>
          <w:marBottom w:val="0"/>
          <w:divBdr>
            <w:top w:val="none" w:sz="0" w:space="0" w:color="auto"/>
            <w:left w:val="none" w:sz="0" w:space="0" w:color="auto"/>
            <w:bottom w:val="none" w:sz="0" w:space="0" w:color="auto"/>
            <w:right w:val="none" w:sz="0" w:space="0" w:color="auto"/>
          </w:divBdr>
        </w:div>
        <w:div w:id="1158690640">
          <w:marLeft w:val="547"/>
          <w:marRight w:val="0"/>
          <w:marTop w:val="0"/>
          <w:marBottom w:val="0"/>
          <w:divBdr>
            <w:top w:val="none" w:sz="0" w:space="0" w:color="auto"/>
            <w:left w:val="none" w:sz="0" w:space="0" w:color="auto"/>
            <w:bottom w:val="none" w:sz="0" w:space="0" w:color="auto"/>
            <w:right w:val="none" w:sz="0" w:space="0" w:color="auto"/>
          </w:divBdr>
        </w:div>
      </w:divsChild>
    </w:div>
    <w:div w:id="378361435">
      <w:bodyDiv w:val="1"/>
      <w:marLeft w:val="0"/>
      <w:marRight w:val="0"/>
      <w:marTop w:val="0"/>
      <w:marBottom w:val="0"/>
      <w:divBdr>
        <w:top w:val="none" w:sz="0" w:space="0" w:color="auto"/>
        <w:left w:val="none" w:sz="0" w:space="0" w:color="auto"/>
        <w:bottom w:val="none" w:sz="0" w:space="0" w:color="auto"/>
        <w:right w:val="none" w:sz="0" w:space="0" w:color="auto"/>
      </w:divBdr>
    </w:div>
    <w:div w:id="380446600">
      <w:bodyDiv w:val="1"/>
      <w:marLeft w:val="0"/>
      <w:marRight w:val="0"/>
      <w:marTop w:val="0"/>
      <w:marBottom w:val="0"/>
      <w:divBdr>
        <w:top w:val="none" w:sz="0" w:space="0" w:color="auto"/>
        <w:left w:val="none" w:sz="0" w:space="0" w:color="auto"/>
        <w:bottom w:val="none" w:sz="0" w:space="0" w:color="auto"/>
        <w:right w:val="none" w:sz="0" w:space="0" w:color="auto"/>
      </w:divBdr>
    </w:div>
    <w:div w:id="405762464">
      <w:bodyDiv w:val="1"/>
      <w:marLeft w:val="0"/>
      <w:marRight w:val="0"/>
      <w:marTop w:val="0"/>
      <w:marBottom w:val="0"/>
      <w:divBdr>
        <w:top w:val="none" w:sz="0" w:space="0" w:color="auto"/>
        <w:left w:val="none" w:sz="0" w:space="0" w:color="auto"/>
        <w:bottom w:val="none" w:sz="0" w:space="0" w:color="auto"/>
        <w:right w:val="none" w:sz="0" w:space="0" w:color="auto"/>
      </w:divBdr>
    </w:div>
    <w:div w:id="430469021">
      <w:bodyDiv w:val="1"/>
      <w:marLeft w:val="0"/>
      <w:marRight w:val="0"/>
      <w:marTop w:val="0"/>
      <w:marBottom w:val="0"/>
      <w:divBdr>
        <w:top w:val="none" w:sz="0" w:space="0" w:color="auto"/>
        <w:left w:val="none" w:sz="0" w:space="0" w:color="auto"/>
        <w:bottom w:val="none" w:sz="0" w:space="0" w:color="auto"/>
        <w:right w:val="none" w:sz="0" w:space="0" w:color="auto"/>
      </w:divBdr>
    </w:div>
    <w:div w:id="434836198">
      <w:bodyDiv w:val="1"/>
      <w:marLeft w:val="0"/>
      <w:marRight w:val="0"/>
      <w:marTop w:val="0"/>
      <w:marBottom w:val="0"/>
      <w:divBdr>
        <w:top w:val="none" w:sz="0" w:space="0" w:color="auto"/>
        <w:left w:val="none" w:sz="0" w:space="0" w:color="auto"/>
        <w:bottom w:val="none" w:sz="0" w:space="0" w:color="auto"/>
        <w:right w:val="none" w:sz="0" w:space="0" w:color="auto"/>
      </w:divBdr>
      <w:divsChild>
        <w:div w:id="76178080">
          <w:marLeft w:val="0"/>
          <w:marRight w:val="0"/>
          <w:marTop w:val="0"/>
          <w:marBottom w:val="0"/>
          <w:divBdr>
            <w:top w:val="none" w:sz="0" w:space="0" w:color="auto"/>
            <w:left w:val="none" w:sz="0" w:space="0" w:color="auto"/>
            <w:bottom w:val="none" w:sz="0" w:space="0" w:color="auto"/>
            <w:right w:val="none" w:sz="0" w:space="0" w:color="auto"/>
          </w:divBdr>
        </w:div>
        <w:div w:id="97139408">
          <w:marLeft w:val="0"/>
          <w:marRight w:val="0"/>
          <w:marTop w:val="0"/>
          <w:marBottom w:val="0"/>
          <w:divBdr>
            <w:top w:val="none" w:sz="0" w:space="0" w:color="auto"/>
            <w:left w:val="none" w:sz="0" w:space="0" w:color="auto"/>
            <w:bottom w:val="none" w:sz="0" w:space="0" w:color="auto"/>
            <w:right w:val="none" w:sz="0" w:space="0" w:color="auto"/>
          </w:divBdr>
        </w:div>
        <w:div w:id="115756030">
          <w:marLeft w:val="0"/>
          <w:marRight w:val="0"/>
          <w:marTop w:val="0"/>
          <w:marBottom w:val="0"/>
          <w:divBdr>
            <w:top w:val="none" w:sz="0" w:space="0" w:color="auto"/>
            <w:left w:val="none" w:sz="0" w:space="0" w:color="auto"/>
            <w:bottom w:val="none" w:sz="0" w:space="0" w:color="auto"/>
            <w:right w:val="none" w:sz="0" w:space="0" w:color="auto"/>
          </w:divBdr>
        </w:div>
        <w:div w:id="164786122">
          <w:marLeft w:val="0"/>
          <w:marRight w:val="0"/>
          <w:marTop w:val="0"/>
          <w:marBottom w:val="0"/>
          <w:divBdr>
            <w:top w:val="none" w:sz="0" w:space="0" w:color="auto"/>
            <w:left w:val="none" w:sz="0" w:space="0" w:color="auto"/>
            <w:bottom w:val="none" w:sz="0" w:space="0" w:color="auto"/>
            <w:right w:val="none" w:sz="0" w:space="0" w:color="auto"/>
          </w:divBdr>
        </w:div>
        <w:div w:id="214241358">
          <w:marLeft w:val="0"/>
          <w:marRight w:val="0"/>
          <w:marTop w:val="0"/>
          <w:marBottom w:val="0"/>
          <w:divBdr>
            <w:top w:val="none" w:sz="0" w:space="0" w:color="auto"/>
            <w:left w:val="none" w:sz="0" w:space="0" w:color="auto"/>
            <w:bottom w:val="none" w:sz="0" w:space="0" w:color="auto"/>
            <w:right w:val="none" w:sz="0" w:space="0" w:color="auto"/>
          </w:divBdr>
        </w:div>
        <w:div w:id="222642009">
          <w:marLeft w:val="0"/>
          <w:marRight w:val="0"/>
          <w:marTop w:val="0"/>
          <w:marBottom w:val="0"/>
          <w:divBdr>
            <w:top w:val="none" w:sz="0" w:space="0" w:color="auto"/>
            <w:left w:val="none" w:sz="0" w:space="0" w:color="auto"/>
            <w:bottom w:val="none" w:sz="0" w:space="0" w:color="auto"/>
            <w:right w:val="none" w:sz="0" w:space="0" w:color="auto"/>
          </w:divBdr>
        </w:div>
        <w:div w:id="245961277">
          <w:marLeft w:val="0"/>
          <w:marRight w:val="0"/>
          <w:marTop w:val="0"/>
          <w:marBottom w:val="0"/>
          <w:divBdr>
            <w:top w:val="none" w:sz="0" w:space="0" w:color="auto"/>
            <w:left w:val="none" w:sz="0" w:space="0" w:color="auto"/>
            <w:bottom w:val="none" w:sz="0" w:space="0" w:color="auto"/>
            <w:right w:val="none" w:sz="0" w:space="0" w:color="auto"/>
          </w:divBdr>
        </w:div>
        <w:div w:id="273828950">
          <w:marLeft w:val="0"/>
          <w:marRight w:val="0"/>
          <w:marTop w:val="0"/>
          <w:marBottom w:val="0"/>
          <w:divBdr>
            <w:top w:val="none" w:sz="0" w:space="0" w:color="auto"/>
            <w:left w:val="none" w:sz="0" w:space="0" w:color="auto"/>
            <w:bottom w:val="none" w:sz="0" w:space="0" w:color="auto"/>
            <w:right w:val="none" w:sz="0" w:space="0" w:color="auto"/>
          </w:divBdr>
        </w:div>
        <w:div w:id="318122206">
          <w:marLeft w:val="0"/>
          <w:marRight w:val="0"/>
          <w:marTop w:val="0"/>
          <w:marBottom w:val="0"/>
          <w:divBdr>
            <w:top w:val="none" w:sz="0" w:space="0" w:color="auto"/>
            <w:left w:val="none" w:sz="0" w:space="0" w:color="auto"/>
            <w:bottom w:val="none" w:sz="0" w:space="0" w:color="auto"/>
            <w:right w:val="none" w:sz="0" w:space="0" w:color="auto"/>
          </w:divBdr>
        </w:div>
        <w:div w:id="324169072">
          <w:marLeft w:val="0"/>
          <w:marRight w:val="0"/>
          <w:marTop w:val="0"/>
          <w:marBottom w:val="0"/>
          <w:divBdr>
            <w:top w:val="none" w:sz="0" w:space="0" w:color="auto"/>
            <w:left w:val="none" w:sz="0" w:space="0" w:color="auto"/>
            <w:bottom w:val="none" w:sz="0" w:space="0" w:color="auto"/>
            <w:right w:val="none" w:sz="0" w:space="0" w:color="auto"/>
          </w:divBdr>
        </w:div>
        <w:div w:id="359360146">
          <w:marLeft w:val="0"/>
          <w:marRight w:val="0"/>
          <w:marTop w:val="0"/>
          <w:marBottom w:val="0"/>
          <w:divBdr>
            <w:top w:val="none" w:sz="0" w:space="0" w:color="auto"/>
            <w:left w:val="none" w:sz="0" w:space="0" w:color="auto"/>
            <w:bottom w:val="none" w:sz="0" w:space="0" w:color="auto"/>
            <w:right w:val="none" w:sz="0" w:space="0" w:color="auto"/>
          </w:divBdr>
        </w:div>
        <w:div w:id="360207560">
          <w:marLeft w:val="0"/>
          <w:marRight w:val="0"/>
          <w:marTop w:val="0"/>
          <w:marBottom w:val="0"/>
          <w:divBdr>
            <w:top w:val="none" w:sz="0" w:space="0" w:color="auto"/>
            <w:left w:val="none" w:sz="0" w:space="0" w:color="auto"/>
            <w:bottom w:val="none" w:sz="0" w:space="0" w:color="auto"/>
            <w:right w:val="none" w:sz="0" w:space="0" w:color="auto"/>
          </w:divBdr>
        </w:div>
        <w:div w:id="362097408">
          <w:marLeft w:val="0"/>
          <w:marRight w:val="0"/>
          <w:marTop w:val="0"/>
          <w:marBottom w:val="0"/>
          <w:divBdr>
            <w:top w:val="none" w:sz="0" w:space="0" w:color="auto"/>
            <w:left w:val="none" w:sz="0" w:space="0" w:color="auto"/>
            <w:bottom w:val="none" w:sz="0" w:space="0" w:color="auto"/>
            <w:right w:val="none" w:sz="0" w:space="0" w:color="auto"/>
          </w:divBdr>
        </w:div>
        <w:div w:id="362754355">
          <w:marLeft w:val="0"/>
          <w:marRight w:val="0"/>
          <w:marTop w:val="0"/>
          <w:marBottom w:val="0"/>
          <w:divBdr>
            <w:top w:val="none" w:sz="0" w:space="0" w:color="auto"/>
            <w:left w:val="none" w:sz="0" w:space="0" w:color="auto"/>
            <w:bottom w:val="none" w:sz="0" w:space="0" w:color="auto"/>
            <w:right w:val="none" w:sz="0" w:space="0" w:color="auto"/>
          </w:divBdr>
        </w:div>
        <w:div w:id="386532901">
          <w:marLeft w:val="0"/>
          <w:marRight w:val="0"/>
          <w:marTop w:val="0"/>
          <w:marBottom w:val="0"/>
          <w:divBdr>
            <w:top w:val="none" w:sz="0" w:space="0" w:color="auto"/>
            <w:left w:val="none" w:sz="0" w:space="0" w:color="auto"/>
            <w:bottom w:val="none" w:sz="0" w:space="0" w:color="auto"/>
            <w:right w:val="none" w:sz="0" w:space="0" w:color="auto"/>
          </w:divBdr>
        </w:div>
        <w:div w:id="394282542">
          <w:marLeft w:val="0"/>
          <w:marRight w:val="0"/>
          <w:marTop w:val="0"/>
          <w:marBottom w:val="0"/>
          <w:divBdr>
            <w:top w:val="none" w:sz="0" w:space="0" w:color="auto"/>
            <w:left w:val="none" w:sz="0" w:space="0" w:color="auto"/>
            <w:bottom w:val="none" w:sz="0" w:space="0" w:color="auto"/>
            <w:right w:val="none" w:sz="0" w:space="0" w:color="auto"/>
          </w:divBdr>
        </w:div>
        <w:div w:id="408817891">
          <w:marLeft w:val="0"/>
          <w:marRight w:val="0"/>
          <w:marTop w:val="0"/>
          <w:marBottom w:val="0"/>
          <w:divBdr>
            <w:top w:val="none" w:sz="0" w:space="0" w:color="auto"/>
            <w:left w:val="none" w:sz="0" w:space="0" w:color="auto"/>
            <w:bottom w:val="none" w:sz="0" w:space="0" w:color="auto"/>
            <w:right w:val="none" w:sz="0" w:space="0" w:color="auto"/>
          </w:divBdr>
        </w:div>
        <w:div w:id="417408511">
          <w:marLeft w:val="0"/>
          <w:marRight w:val="0"/>
          <w:marTop w:val="0"/>
          <w:marBottom w:val="0"/>
          <w:divBdr>
            <w:top w:val="none" w:sz="0" w:space="0" w:color="auto"/>
            <w:left w:val="none" w:sz="0" w:space="0" w:color="auto"/>
            <w:bottom w:val="none" w:sz="0" w:space="0" w:color="auto"/>
            <w:right w:val="none" w:sz="0" w:space="0" w:color="auto"/>
          </w:divBdr>
        </w:div>
        <w:div w:id="433132147">
          <w:marLeft w:val="0"/>
          <w:marRight w:val="0"/>
          <w:marTop w:val="0"/>
          <w:marBottom w:val="0"/>
          <w:divBdr>
            <w:top w:val="none" w:sz="0" w:space="0" w:color="auto"/>
            <w:left w:val="none" w:sz="0" w:space="0" w:color="auto"/>
            <w:bottom w:val="none" w:sz="0" w:space="0" w:color="auto"/>
            <w:right w:val="none" w:sz="0" w:space="0" w:color="auto"/>
          </w:divBdr>
        </w:div>
        <w:div w:id="547882905">
          <w:marLeft w:val="0"/>
          <w:marRight w:val="0"/>
          <w:marTop w:val="0"/>
          <w:marBottom w:val="0"/>
          <w:divBdr>
            <w:top w:val="none" w:sz="0" w:space="0" w:color="auto"/>
            <w:left w:val="none" w:sz="0" w:space="0" w:color="auto"/>
            <w:bottom w:val="none" w:sz="0" w:space="0" w:color="auto"/>
            <w:right w:val="none" w:sz="0" w:space="0" w:color="auto"/>
          </w:divBdr>
        </w:div>
        <w:div w:id="882863469">
          <w:marLeft w:val="0"/>
          <w:marRight w:val="0"/>
          <w:marTop w:val="0"/>
          <w:marBottom w:val="0"/>
          <w:divBdr>
            <w:top w:val="none" w:sz="0" w:space="0" w:color="auto"/>
            <w:left w:val="none" w:sz="0" w:space="0" w:color="auto"/>
            <w:bottom w:val="none" w:sz="0" w:space="0" w:color="auto"/>
            <w:right w:val="none" w:sz="0" w:space="0" w:color="auto"/>
          </w:divBdr>
        </w:div>
        <w:div w:id="907762731">
          <w:marLeft w:val="0"/>
          <w:marRight w:val="0"/>
          <w:marTop w:val="0"/>
          <w:marBottom w:val="0"/>
          <w:divBdr>
            <w:top w:val="none" w:sz="0" w:space="0" w:color="auto"/>
            <w:left w:val="none" w:sz="0" w:space="0" w:color="auto"/>
            <w:bottom w:val="none" w:sz="0" w:space="0" w:color="auto"/>
            <w:right w:val="none" w:sz="0" w:space="0" w:color="auto"/>
          </w:divBdr>
        </w:div>
        <w:div w:id="908881706">
          <w:marLeft w:val="0"/>
          <w:marRight w:val="0"/>
          <w:marTop w:val="0"/>
          <w:marBottom w:val="0"/>
          <w:divBdr>
            <w:top w:val="none" w:sz="0" w:space="0" w:color="auto"/>
            <w:left w:val="none" w:sz="0" w:space="0" w:color="auto"/>
            <w:bottom w:val="none" w:sz="0" w:space="0" w:color="auto"/>
            <w:right w:val="none" w:sz="0" w:space="0" w:color="auto"/>
          </w:divBdr>
        </w:div>
        <w:div w:id="934169290">
          <w:marLeft w:val="0"/>
          <w:marRight w:val="0"/>
          <w:marTop w:val="0"/>
          <w:marBottom w:val="0"/>
          <w:divBdr>
            <w:top w:val="none" w:sz="0" w:space="0" w:color="auto"/>
            <w:left w:val="none" w:sz="0" w:space="0" w:color="auto"/>
            <w:bottom w:val="none" w:sz="0" w:space="0" w:color="auto"/>
            <w:right w:val="none" w:sz="0" w:space="0" w:color="auto"/>
          </w:divBdr>
        </w:div>
        <w:div w:id="983199269">
          <w:marLeft w:val="0"/>
          <w:marRight w:val="0"/>
          <w:marTop w:val="0"/>
          <w:marBottom w:val="0"/>
          <w:divBdr>
            <w:top w:val="none" w:sz="0" w:space="0" w:color="auto"/>
            <w:left w:val="none" w:sz="0" w:space="0" w:color="auto"/>
            <w:bottom w:val="none" w:sz="0" w:space="0" w:color="auto"/>
            <w:right w:val="none" w:sz="0" w:space="0" w:color="auto"/>
          </w:divBdr>
        </w:div>
        <w:div w:id="1060712936">
          <w:marLeft w:val="0"/>
          <w:marRight w:val="0"/>
          <w:marTop w:val="0"/>
          <w:marBottom w:val="0"/>
          <w:divBdr>
            <w:top w:val="none" w:sz="0" w:space="0" w:color="auto"/>
            <w:left w:val="none" w:sz="0" w:space="0" w:color="auto"/>
            <w:bottom w:val="none" w:sz="0" w:space="0" w:color="auto"/>
            <w:right w:val="none" w:sz="0" w:space="0" w:color="auto"/>
          </w:divBdr>
        </w:div>
        <w:div w:id="1125849033">
          <w:marLeft w:val="0"/>
          <w:marRight w:val="0"/>
          <w:marTop w:val="0"/>
          <w:marBottom w:val="0"/>
          <w:divBdr>
            <w:top w:val="none" w:sz="0" w:space="0" w:color="auto"/>
            <w:left w:val="none" w:sz="0" w:space="0" w:color="auto"/>
            <w:bottom w:val="none" w:sz="0" w:space="0" w:color="auto"/>
            <w:right w:val="none" w:sz="0" w:space="0" w:color="auto"/>
          </w:divBdr>
        </w:div>
        <w:div w:id="1134257316">
          <w:marLeft w:val="0"/>
          <w:marRight w:val="0"/>
          <w:marTop w:val="0"/>
          <w:marBottom w:val="0"/>
          <w:divBdr>
            <w:top w:val="none" w:sz="0" w:space="0" w:color="auto"/>
            <w:left w:val="none" w:sz="0" w:space="0" w:color="auto"/>
            <w:bottom w:val="none" w:sz="0" w:space="0" w:color="auto"/>
            <w:right w:val="none" w:sz="0" w:space="0" w:color="auto"/>
          </w:divBdr>
        </w:div>
        <w:div w:id="1169171145">
          <w:marLeft w:val="0"/>
          <w:marRight w:val="0"/>
          <w:marTop w:val="0"/>
          <w:marBottom w:val="0"/>
          <w:divBdr>
            <w:top w:val="none" w:sz="0" w:space="0" w:color="auto"/>
            <w:left w:val="none" w:sz="0" w:space="0" w:color="auto"/>
            <w:bottom w:val="none" w:sz="0" w:space="0" w:color="auto"/>
            <w:right w:val="none" w:sz="0" w:space="0" w:color="auto"/>
          </w:divBdr>
        </w:div>
        <w:div w:id="1184973218">
          <w:marLeft w:val="0"/>
          <w:marRight w:val="0"/>
          <w:marTop w:val="0"/>
          <w:marBottom w:val="0"/>
          <w:divBdr>
            <w:top w:val="none" w:sz="0" w:space="0" w:color="auto"/>
            <w:left w:val="none" w:sz="0" w:space="0" w:color="auto"/>
            <w:bottom w:val="none" w:sz="0" w:space="0" w:color="auto"/>
            <w:right w:val="none" w:sz="0" w:space="0" w:color="auto"/>
          </w:divBdr>
        </w:div>
        <w:div w:id="1186753360">
          <w:marLeft w:val="0"/>
          <w:marRight w:val="0"/>
          <w:marTop w:val="0"/>
          <w:marBottom w:val="0"/>
          <w:divBdr>
            <w:top w:val="none" w:sz="0" w:space="0" w:color="auto"/>
            <w:left w:val="none" w:sz="0" w:space="0" w:color="auto"/>
            <w:bottom w:val="none" w:sz="0" w:space="0" w:color="auto"/>
            <w:right w:val="none" w:sz="0" w:space="0" w:color="auto"/>
          </w:divBdr>
        </w:div>
        <w:div w:id="1201164539">
          <w:marLeft w:val="0"/>
          <w:marRight w:val="0"/>
          <w:marTop w:val="0"/>
          <w:marBottom w:val="0"/>
          <w:divBdr>
            <w:top w:val="none" w:sz="0" w:space="0" w:color="auto"/>
            <w:left w:val="none" w:sz="0" w:space="0" w:color="auto"/>
            <w:bottom w:val="none" w:sz="0" w:space="0" w:color="auto"/>
            <w:right w:val="none" w:sz="0" w:space="0" w:color="auto"/>
          </w:divBdr>
        </w:div>
        <w:div w:id="1268465968">
          <w:marLeft w:val="0"/>
          <w:marRight w:val="0"/>
          <w:marTop w:val="0"/>
          <w:marBottom w:val="0"/>
          <w:divBdr>
            <w:top w:val="none" w:sz="0" w:space="0" w:color="auto"/>
            <w:left w:val="none" w:sz="0" w:space="0" w:color="auto"/>
            <w:bottom w:val="none" w:sz="0" w:space="0" w:color="auto"/>
            <w:right w:val="none" w:sz="0" w:space="0" w:color="auto"/>
          </w:divBdr>
        </w:div>
        <w:div w:id="1315449242">
          <w:marLeft w:val="0"/>
          <w:marRight w:val="0"/>
          <w:marTop w:val="0"/>
          <w:marBottom w:val="0"/>
          <w:divBdr>
            <w:top w:val="none" w:sz="0" w:space="0" w:color="auto"/>
            <w:left w:val="none" w:sz="0" w:space="0" w:color="auto"/>
            <w:bottom w:val="none" w:sz="0" w:space="0" w:color="auto"/>
            <w:right w:val="none" w:sz="0" w:space="0" w:color="auto"/>
          </w:divBdr>
        </w:div>
        <w:div w:id="1337152843">
          <w:marLeft w:val="0"/>
          <w:marRight w:val="0"/>
          <w:marTop w:val="0"/>
          <w:marBottom w:val="0"/>
          <w:divBdr>
            <w:top w:val="none" w:sz="0" w:space="0" w:color="auto"/>
            <w:left w:val="none" w:sz="0" w:space="0" w:color="auto"/>
            <w:bottom w:val="none" w:sz="0" w:space="0" w:color="auto"/>
            <w:right w:val="none" w:sz="0" w:space="0" w:color="auto"/>
          </w:divBdr>
        </w:div>
        <w:div w:id="1348020109">
          <w:marLeft w:val="0"/>
          <w:marRight w:val="0"/>
          <w:marTop w:val="0"/>
          <w:marBottom w:val="0"/>
          <w:divBdr>
            <w:top w:val="none" w:sz="0" w:space="0" w:color="auto"/>
            <w:left w:val="none" w:sz="0" w:space="0" w:color="auto"/>
            <w:bottom w:val="none" w:sz="0" w:space="0" w:color="auto"/>
            <w:right w:val="none" w:sz="0" w:space="0" w:color="auto"/>
          </w:divBdr>
        </w:div>
        <w:div w:id="1396968715">
          <w:marLeft w:val="0"/>
          <w:marRight w:val="0"/>
          <w:marTop w:val="0"/>
          <w:marBottom w:val="0"/>
          <w:divBdr>
            <w:top w:val="none" w:sz="0" w:space="0" w:color="auto"/>
            <w:left w:val="none" w:sz="0" w:space="0" w:color="auto"/>
            <w:bottom w:val="none" w:sz="0" w:space="0" w:color="auto"/>
            <w:right w:val="none" w:sz="0" w:space="0" w:color="auto"/>
          </w:divBdr>
        </w:div>
        <w:div w:id="1636720280">
          <w:marLeft w:val="0"/>
          <w:marRight w:val="0"/>
          <w:marTop w:val="0"/>
          <w:marBottom w:val="0"/>
          <w:divBdr>
            <w:top w:val="none" w:sz="0" w:space="0" w:color="auto"/>
            <w:left w:val="none" w:sz="0" w:space="0" w:color="auto"/>
            <w:bottom w:val="none" w:sz="0" w:space="0" w:color="auto"/>
            <w:right w:val="none" w:sz="0" w:space="0" w:color="auto"/>
          </w:divBdr>
        </w:div>
        <w:div w:id="1643346549">
          <w:marLeft w:val="0"/>
          <w:marRight w:val="0"/>
          <w:marTop w:val="0"/>
          <w:marBottom w:val="0"/>
          <w:divBdr>
            <w:top w:val="none" w:sz="0" w:space="0" w:color="auto"/>
            <w:left w:val="none" w:sz="0" w:space="0" w:color="auto"/>
            <w:bottom w:val="none" w:sz="0" w:space="0" w:color="auto"/>
            <w:right w:val="none" w:sz="0" w:space="0" w:color="auto"/>
          </w:divBdr>
        </w:div>
        <w:div w:id="1720131907">
          <w:marLeft w:val="0"/>
          <w:marRight w:val="0"/>
          <w:marTop w:val="0"/>
          <w:marBottom w:val="0"/>
          <w:divBdr>
            <w:top w:val="none" w:sz="0" w:space="0" w:color="auto"/>
            <w:left w:val="none" w:sz="0" w:space="0" w:color="auto"/>
            <w:bottom w:val="none" w:sz="0" w:space="0" w:color="auto"/>
            <w:right w:val="none" w:sz="0" w:space="0" w:color="auto"/>
          </w:divBdr>
        </w:div>
        <w:div w:id="1722827070">
          <w:marLeft w:val="0"/>
          <w:marRight w:val="0"/>
          <w:marTop w:val="0"/>
          <w:marBottom w:val="0"/>
          <w:divBdr>
            <w:top w:val="none" w:sz="0" w:space="0" w:color="auto"/>
            <w:left w:val="none" w:sz="0" w:space="0" w:color="auto"/>
            <w:bottom w:val="none" w:sz="0" w:space="0" w:color="auto"/>
            <w:right w:val="none" w:sz="0" w:space="0" w:color="auto"/>
          </w:divBdr>
        </w:div>
        <w:div w:id="1839036396">
          <w:marLeft w:val="0"/>
          <w:marRight w:val="0"/>
          <w:marTop w:val="0"/>
          <w:marBottom w:val="0"/>
          <w:divBdr>
            <w:top w:val="none" w:sz="0" w:space="0" w:color="auto"/>
            <w:left w:val="none" w:sz="0" w:space="0" w:color="auto"/>
            <w:bottom w:val="none" w:sz="0" w:space="0" w:color="auto"/>
            <w:right w:val="none" w:sz="0" w:space="0" w:color="auto"/>
          </w:divBdr>
        </w:div>
        <w:div w:id="1969968766">
          <w:marLeft w:val="0"/>
          <w:marRight w:val="0"/>
          <w:marTop w:val="0"/>
          <w:marBottom w:val="0"/>
          <w:divBdr>
            <w:top w:val="none" w:sz="0" w:space="0" w:color="auto"/>
            <w:left w:val="none" w:sz="0" w:space="0" w:color="auto"/>
            <w:bottom w:val="none" w:sz="0" w:space="0" w:color="auto"/>
            <w:right w:val="none" w:sz="0" w:space="0" w:color="auto"/>
          </w:divBdr>
        </w:div>
        <w:div w:id="2004158168">
          <w:marLeft w:val="0"/>
          <w:marRight w:val="0"/>
          <w:marTop w:val="0"/>
          <w:marBottom w:val="0"/>
          <w:divBdr>
            <w:top w:val="none" w:sz="0" w:space="0" w:color="auto"/>
            <w:left w:val="none" w:sz="0" w:space="0" w:color="auto"/>
            <w:bottom w:val="none" w:sz="0" w:space="0" w:color="auto"/>
            <w:right w:val="none" w:sz="0" w:space="0" w:color="auto"/>
          </w:divBdr>
        </w:div>
        <w:div w:id="2138796160">
          <w:marLeft w:val="0"/>
          <w:marRight w:val="0"/>
          <w:marTop w:val="0"/>
          <w:marBottom w:val="0"/>
          <w:divBdr>
            <w:top w:val="none" w:sz="0" w:space="0" w:color="auto"/>
            <w:left w:val="none" w:sz="0" w:space="0" w:color="auto"/>
            <w:bottom w:val="none" w:sz="0" w:space="0" w:color="auto"/>
            <w:right w:val="none" w:sz="0" w:space="0" w:color="auto"/>
          </w:divBdr>
        </w:div>
      </w:divsChild>
    </w:div>
    <w:div w:id="436095877">
      <w:bodyDiv w:val="1"/>
      <w:marLeft w:val="0"/>
      <w:marRight w:val="0"/>
      <w:marTop w:val="0"/>
      <w:marBottom w:val="0"/>
      <w:divBdr>
        <w:top w:val="none" w:sz="0" w:space="0" w:color="auto"/>
        <w:left w:val="none" w:sz="0" w:space="0" w:color="auto"/>
        <w:bottom w:val="none" w:sz="0" w:space="0" w:color="auto"/>
        <w:right w:val="none" w:sz="0" w:space="0" w:color="auto"/>
      </w:divBdr>
      <w:divsChild>
        <w:div w:id="281225688">
          <w:marLeft w:val="274"/>
          <w:marRight w:val="0"/>
          <w:marTop w:val="0"/>
          <w:marBottom w:val="0"/>
          <w:divBdr>
            <w:top w:val="none" w:sz="0" w:space="0" w:color="auto"/>
            <w:left w:val="none" w:sz="0" w:space="0" w:color="auto"/>
            <w:bottom w:val="none" w:sz="0" w:space="0" w:color="auto"/>
            <w:right w:val="none" w:sz="0" w:space="0" w:color="auto"/>
          </w:divBdr>
        </w:div>
        <w:div w:id="568922902">
          <w:marLeft w:val="274"/>
          <w:marRight w:val="0"/>
          <w:marTop w:val="0"/>
          <w:marBottom w:val="0"/>
          <w:divBdr>
            <w:top w:val="none" w:sz="0" w:space="0" w:color="auto"/>
            <w:left w:val="none" w:sz="0" w:space="0" w:color="auto"/>
            <w:bottom w:val="none" w:sz="0" w:space="0" w:color="auto"/>
            <w:right w:val="none" w:sz="0" w:space="0" w:color="auto"/>
          </w:divBdr>
        </w:div>
        <w:div w:id="795293644">
          <w:marLeft w:val="274"/>
          <w:marRight w:val="0"/>
          <w:marTop w:val="0"/>
          <w:marBottom w:val="0"/>
          <w:divBdr>
            <w:top w:val="none" w:sz="0" w:space="0" w:color="auto"/>
            <w:left w:val="none" w:sz="0" w:space="0" w:color="auto"/>
            <w:bottom w:val="none" w:sz="0" w:space="0" w:color="auto"/>
            <w:right w:val="none" w:sz="0" w:space="0" w:color="auto"/>
          </w:divBdr>
        </w:div>
      </w:divsChild>
    </w:div>
    <w:div w:id="439033982">
      <w:bodyDiv w:val="1"/>
      <w:marLeft w:val="0"/>
      <w:marRight w:val="0"/>
      <w:marTop w:val="0"/>
      <w:marBottom w:val="0"/>
      <w:divBdr>
        <w:top w:val="none" w:sz="0" w:space="0" w:color="auto"/>
        <w:left w:val="none" w:sz="0" w:space="0" w:color="auto"/>
        <w:bottom w:val="none" w:sz="0" w:space="0" w:color="auto"/>
        <w:right w:val="none" w:sz="0" w:space="0" w:color="auto"/>
      </w:divBdr>
    </w:div>
    <w:div w:id="446002003">
      <w:bodyDiv w:val="1"/>
      <w:marLeft w:val="0"/>
      <w:marRight w:val="0"/>
      <w:marTop w:val="0"/>
      <w:marBottom w:val="0"/>
      <w:divBdr>
        <w:top w:val="none" w:sz="0" w:space="0" w:color="auto"/>
        <w:left w:val="none" w:sz="0" w:space="0" w:color="auto"/>
        <w:bottom w:val="none" w:sz="0" w:space="0" w:color="auto"/>
        <w:right w:val="none" w:sz="0" w:space="0" w:color="auto"/>
      </w:divBdr>
      <w:divsChild>
        <w:div w:id="1143621138">
          <w:marLeft w:val="274"/>
          <w:marRight w:val="0"/>
          <w:marTop w:val="0"/>
          <w:marBottom w:val="0"/>
          <w:divBdr>
            <w:top w:val="none" w:sz="0" w:space="0" w:color="auto"/>
            <w:left w:val="none" w:sz="0" w:space="0" w:color="auto"/>
            <w:bottom w:val="none" w:sz="0" w:space="0" w:color="auto"/>
            <w:right w:val="none" w:sz="0" w:space="0" w:color="auto"/>
          </w:divBdr>
        </w:div>
        <w:div w:id="1358581370">
          <w:marLeft w:val="274"/>
          <w:marRight w:val="0"/>
          <w:marTop w:val="0"/>
          <w:marBottom w:val="0"/>
          <w:divBdr>
            <w:top w:val="none" w:sz="0" w:space="0" w:color="auto"/>
            <w:left w:val="none" w:sz="0" w:space="0" w:color="auto"/>
            <w:bottom w:val="none" w:sz="0" w:space="0" w:color="auto"/>
            <w:right w:val="none" w:sz="0" w:space="0" w:color="auto"/>
          </w:divBdr>
        </w:div>
        <w:div w:id="1472167025">
          <w:marLeft w:val="274"/>
          <w:marRight w:val="0"/>
          <w:marTop w:val="0"/>
          <w:marBottom w:val="0"/>
          <w:divBdr>
            <w:top w:val="none" w:sz="0" w:space="0" w:color="auto"/>
            <w:left w:val="none" w:sz="0" w:space="0" w:color="auto"/>
            <w:bottom w:val="none" w:sz="0" w:space="0" w:color="auto"/>
            <w:right w:val="none" w:sz="0" w:space="0" w:color="auto"/>
          </w:divBdr>
        </w:div>
        <w:div w:id="1762726263">
          <w:marLeft w:val="274"/>
          <w:marRight w:val="0"/>
          <w:marTop w:val="0"/>
          <w:marBottom w:val="0"/>
          <w:divBdr>
            <w:top w:val="none" w:sz="0" w:space="0" w:color="auto"/>
            <w:left w:val="none" w:sz="0" w:space="0" w:color="auto"/>
            <w:bottom w:val="none" w:sz="0" w:space="0" w:color="auto"/>
            <w:right w:val="none" w:sz="0" w:space="0" w:color="auto"/>
          </w:divBdr>
        </w:div>
      </w:divsChild>
    </w:div>
    <w:div w:id="464130115">
      <w:bodyDiv w:val="1"/>
      <w:marLeft w:val="0"/>
      <w:marRight w:val="0"/>
      <w:marTop w:val="0"/>
      <w:marBottom w:val="0"/>
      <w:divBdr>
        <w:top w:val="none" w:sz="0" w:space="0" w:color="auto"/>
        <w:left w:val="none" w:sz="0" w:space="0" w:color="auto"/>
        <w:bottom w:val="none" w:sz="0" w:space="0" w:color="auto"/>
        <w:right w:val="none" w:sz="0" w:space="0" w:color="auto"/>
      </w:divBdr>
      <w:divsChild>
        <w:div w:id="294795549">
          <w:marLeft w:val="274"/>
          <w:marRight w:val="0"/>
          <w:marTop w:val="0"/>
          <w:marBottom w:val="0"/>
          <w:divBdr>
            <w:top w:val="none" w:sz="0" w:space="0" w:color="auto"/>
            <w:left w:val="none" w:sz="0" w:space="0" w:color="auto"/>
            <w:bottom w:val="none" w:sz="0" w:space="0" w:color="auto"/>
            <w:right w:val="none" w:sz="0" w:space="0" w:color="auto"/>
          </w:divBdr>
        </w:div>
        <w:div w:id="295768303">
          <w:marLeft w:val="274"/>
          <w:marRight w:val="0"/>
          <w:marTop w:val="0"/>
          <w:marBottom w:val="0"/>
          <w:divBdr>
            <w:top w:val="none" w:sz="0" w:space="0" w:color="auto"/>
            <w:left w:val="none" w:sz="0" w:space="0" w:color="auto"/>
            <w:bottom w:val="none" w:sz="0" w:space="0" w:color="auto"/>
            <w:right w:val="none" w:sz="0" w:space="0" w:color="auto"/>
          </w:divBdr>
        </w:div>
        <w:div w:id="682364132">
          <w:marLeft w:val="274"/>
          <w:marRight w:val="0"/>
          <w:marTop w:val="0"/>
          <w:marBottom w:val="0"/>
          <w:divBdr>
            <w:top w:val="none" w:sz="0" w:space="0" w:color="auto"/>
            <w:left w:val="none" w:sz="0" w:space="0" w:color="auto"/>
            <w:bottom w:val="none" w:sz="0" w:space="0" w:color="auto"/>
            <w:right w:val="none" w:sz="0" w:space="0" w:color="auto"/>
          </w:divBdr>
        </w:div>
        <w:div w:id="929195528">
          <w:marLeft w:val="274"/>
          <w:marRight w:val="0"/>
          <w:marTop w:val="0"/>
          <w:marBottom w:val="0"/>
          <w:divBdr>
            <w:top w:val="none" w:sz="0" w:space="0" w:color="auto"/>
            <w:left w:val="none" w:sz="0" w:space="0" w:color="auto"/>
            <w:bottom w:val="none" w:sz="0" w:space="0" w:color="auto"/>
            <w:right w:val="none" w:sz="0" w:space="0" w:color="auto"/>
          </w:divBdr>
        </w:div>
        <w:div w:id="1225872838">
          <w:marLeft w:val="274"/>
          <w:marRight w:val="0"/>
          <w:marTop w:val="0"/>
          <w:marBottom w:val="0"/>
          <w:divBdr>
            <w:top w:val="none" w:sz="0" w:space="0" w:color="auto"/>
            <w:left w:val="none" w:sz="0" w:space="0" w:color="auto"/>
            <w:bottom w:val="none" w:sz="0" w:space="0" w:color="auto"/>
            <w:right w:val="none" w:sz="0" w:space="0" w:color="auto"/>
          </w:divBdr>
        </w:div>
        <w:div w:id="1291549876">
          <w:marLeft w:val="274"/>
          <w:marRight w:val="0"/>
          <w:marTop w:val="0"/>
          <w:marBottom w:val="0"/>
          <w:divBdr>
            <w:top w:val="none" w:sz="0" w:space="0" w:color="auto"/>
            <w:left w:val="none" w:sz="0" w:space="0" w:color="auto"/>
            <w:bottom w:val="none" w:sz="0" w:space="0" w:color="auto"/>
            <w:right w:val="none" w:sz="0" w:space="0" w:color="auto"/>
          </w:divBdr>
        </w:div>
      </w:divsChild>
    </w:div>
    <w:div w:id="485323085">
      <w:bodyDiv w:val="1"/>
      <w:marLeft w:val="0"/>
      <w:marRight w:val="0"/>
      <w:marTop w:val="0"/>
      <w:marBottom w:val="0"/>
      <w:divBdr>
        <w:top w:val="none" w:sz="0" w:space="0" w:color="auto"/>
        <w:left w:val="none" w:sz="0" w:space="0" w:color="auto"/>
        <w:bottom w:val="none" w:sz="0" w:space="0" w:color="auto"/>
        <w:right w:val="none" w:sz="0" w:space="0" w:color="auto"/>
      </w:divBdr>
      <w:divsChild>
        <w:div w:id="1083724069">
          <w:marLeft w:val="274"/>
          <w:marRight w:val="0"/>
          <w:marTop w:val="0"/>
          <w:marBottom w:val="0"/>
          <w:divBdr>
            <w:top w:val="none" w:sz="0" w:space="0" w:color="auto"/>
            <w:left w:val="none" w:sz="0" w:space="0" w:color="auto"/>
            <w:bottom w:val="none" w:sz="0" w:space="0" w:color="auto"/>
            <w:right w:val="none" w:sz="0" w:space="0" w:color="auto"/>
          </w:divBdr>
        </w:div>
      </w:divsChild>
    </w:div>
    <w:div w:id="488207579">
      <w:bodyDiv w:val="1"/>
      <w:marLeft w:val="0"/>
      <w:marRight w:val="0"/>
      <w:marTop w:val="0"/>
      <w:marBottom w:val="0"/>
      <w:divBdr>
        <w:top w:val="none" w:sz="0" w:space="0" w:color="auto"/>
        <w:left w:val="none" w:sz="0" w:space="0" w:color="auto"/>
        <w:bottom w:val="none" w:sz="0" w:space="0" w:color="auto"/>
        <w:right w:val="none" w:sz="0" w:space="0" w:color="auto"/>
      </w:divBdr>
      <w:divsChild>
        <w:div w:id="74130926">
          <w:marLeft w:val="547"/>
          <w:marRight w:val="0"/>
          <w:marTop w:val="0"/>
          <w:marBottom w:val="0"/>
          <w:divBdr>
            <w:top w:val="none" w:sz="0" w:space="0" w:color="auto"/>
            <w:left w:val="none" w:sz="0" w:space="0" w:color="auto"/>
            <w:bottom w:val="none" w:sz="0" w:space="0" w:color="auto"/>
            <w:right w:val="none" w:sz="0" w:space="0" w:color="auto"/>
          </w:divBdr>
        </w:div>
      </w:divsChild>
    </w:div>
    <w:div w:id="500390989">
      <w:bodyDiv w:val="1"/>
      <w:marLeft w:val="0"/>
      <w:marRight w:val="0"/>
      <w:marTop w:val="0"/>
      <w:marBottom w:val="0"/>
      <w:divBdr>
        <w:top w:val="none" w:sz="0" w:space="0" w:color="auto"/>
        <w:left w:val="none" w:sz="0" w:space="0" w:color="auto"/>
        <w:bottom w:val="none" w:sz="0" w:space="0" w:color="auto"/>
        <w:right w:val="none" w:sz="0" w:space="0" w:color="auto"/>
      </w:divBdr>
    </w:div>
    <w:div w:id="505290375">
      <w:bodyDiv w:val="1"/>
      <w:marLeft w:val="0"/>
      <w:marRight w:val="0"/>
      <w:marTop w:val="0"/>
      <w:marBottom w:val="0"/>
      <w:divBdr>
        <w:top w:val="none" w:sz="0" w:space="0" w:color="auto"/>
        <w:left w:val="none" w:sz="0" w:space="0" w:color="auto"/>
        <w:bottom w:val="none" w:sz="0" w:space="0" w:color="auto"/>
        <w:right w:val="none" w:sz="0" w:space="0" w:color="auto"/>
      </w:divBdr>
    </w:div>
    <w:div w:id="505631211">
      <w:bodyDiv w:val="1"/>
      <w:marLeft w:val="0"/>
      <w:marRight w:val="0"/>
      <w:marTop w:val="0"/>
      <w:marBottom w:val="0"/>
      <w:divBdr>
        <w:top w:val="none" w:sz="0" w:space="0" w:color="auto"/>
        <w:left w:val="none" w:sz="0" w:space="0" w:color="auto"/>
        <w:bottom w:val="none" w:sz="0" w:space="0" w:color="auto"/>
        <w:right w:val="none" w:sz="0" w:space="0" w:color="auto"/>
      </w:divBdr>
    </w:div>
    <w:div w:id="524252728">
      <w:bodyDiv w:val="1"/>
      <w:marLeft w:val="0"/>
      <w:marRight w:val="0"/>
      <w:marTop w:val="0"/>
      <w:marBottom w:val="0"/>
      <w:divBdr>
        <w:top w:val="none" w:sz="0" w:space="0" w:color="auto"/>
        <w:left w:val="none" w:sz="0" w:space="0" w:color="auto"/>
        <w:bottom w:val="none" w:sz="0" w:space="0" w:color="auto"/>
        <w:right w:val="none" w:sz="0" w:space="0" w:color="auto"/>
      </w:divBdr>
    </w:div>
    <w:div w:id="539826033">
      <w:bodyDiv w:val="1"/>
      <w:marLeft w:val="0"/>
      <w:marRight w:val="0"/>
      <w:marTop w:val="0"/>
      <w:marBottom w:val="0"/>
      <w:divBdr>
        <w:top w:val="none" w:sz="0" w:space="0" w:color="auto"/>
        <w:left w:val="none" w:sz="0" w:space="0" w:color="auto"/>
        <w:bottom w:val="none" w:sz="0" w:space="0" w:color="auto"/>
        <w:right w:val="none" w:sz="0" w:space="0" w:color="auto"/>
      </w:divBdr>
    </w:div>
    <w:div w:id="540674675">
      <w:bodyDiv w:val="1"/>
      <w:marLeft w:val="0"/>
      <w:marRight w:val="0"/>
      <w:marTop w:val="0"/>
      <w:marBottom w:val="0"/>
      <w:divBdr>
        <w:top w:val="none" w:sz="0" w:space="0" w:color="auto"/>
        <w:left w:val="none" w:sz="0" w:space="0" w:color="auto"/>
        <w:bottom w:val="none" w:sz="0" w:space="0" w:color="auto"/>
        <w:right w:val="none" w:sz="0" w:space="0" w:color="auto"/>
      </w:divBdr>
      <w:divsChild>
        <w:div w:id="239946628">
          <w:marLeft w:val="547"/>
          <w:marRight w:val="0"/>
          <w:marTop w:val="0"/>
          <w:marBottom w:val="0"/>
          <w:divBdr>
            <w:top w:val="none" w:sz="0" w:space="0" w:color="auto"/>
            <w:left w:val="none" w:sz="0" w:space="0" w:color="auto"/>
            <w:bottom w:val="none" w:sz="0" w:space="0" w:color="auto"/>
            <w:right w:val="none" w:sz="0" w:space="0" w:color="auto"/>
          </w:divBdr>
        </w:div>
      </w:divsChild>
    </w:div>
    <w:div w:id="564141142">
      <w:bodyDiv w:val="1"/>
      <w:marLeft w:val="0"/>
      <w:marRight w:val="0"/>
      <w:marTop w:val="0"/>
      <w:marBottom w:val="0"/>
      <w:divBdr>
        <w:top w:val="none" w:sz="0" w:space="0" w:color="auto"/>
        <w:left w:val="none" w:sz="0" w:space="0" w:color="auto"/>
        <w:bottom w:val="none" w:sz="0" w:space="0" w:color="auto"/>
        <w:right w:val="none" w:sz="0" w:space="0" w:color="auto"/>
      </w:divBdr>
    </w:div>
    <w:div w:id="590310576">
      <w:bodyDiv w:val="1"/>
      <w:marLeft w:val="0"/>
      <w:marRight w:val="0"/>
      <w:marTop w:val="0"/>
      <w:marBottom w:val="0"/>
      <w:divBdr>
        <w:top w:val="none" w:sz="0" w:space="0" w:color="auto"/>
        <w:left w:val="none" w:sz="0" w:space="0" w:color="auto"/>
        <w:bottom w:val="none" w:sz="0" w:space="0" w:color="auto"/>
        <w:right w:val="none" w:sz="0" w:space="0" w:color="auto"/>
      </w:divBdr>
    </w:div>
    <w:div w:id="624123756">
      <w:bodyDiv w:val="1"/>
      <w:marLeft w:val="0"/>
      <w:marRight w:val="0"/>
      <w:marTop w:val="0"/>
      <w:marBottom w:val="0"/>
      <w:divBdr>
        <w:top w:val="none" w:sz="0" w:space="0" w:color="auto"/>
        <w:left w:val="none" w:sz="0" w:space="0" w:color="auto"/>
        <w:bottom w:val="none" w:sz="0" w:space="0" w:color="auto"/>
        <w:right w:val="none" w:sz="0" w:space="0" w:color="auto"/>
      </w:divBdr>
      <w:divsChild>
        <w:div w:id="412439351">
          <w:marLeft w:val="446"/>
          <w:marRight w:val="0"/>
          <w:marTop w:val="0"/>
          <w:marBottom w:val="0"/>
          <w:divBdr>
            <w:top w:val="none" w:sz="0" w:space="0" w:color="auto"/>
            <w:left w:val="none" w:sz="0" w:space="0" w:color="auto"/>
            <w:bottom w:val="none" w:sz="0" w:space="0" w:color="auto"/>
            <w:right w:val="none" w:sz="0" w:space="0" w:color="auto"/>
          </w:divBdr>
        </w:div>
        <w:div w:id="724597880">
          <w:marLeft w:val="446"/>
          <w:marRight w:val="0"/>
          <w:marTop w:val="0"/>
          <w:marBottom w:val="0"/>
          <w:divBdr>
            <w:top w:val="none" w:sz="0" w:space="0" w:color="auto"/>
            <w:left w:val="none" w:sz="0" w:space="0" w:color="auto"/>
            <w:bottom w:val="none" w:sz="0" w:space="0" w:color="auto"/>
            <w:right w:val="none" w:sz="0" w:space="0" w:color="auto"/>
          </w:divBdr>
        </w:div>
        <w:div w:id="741365314">
          <w:marLeft w:val="446"/>
          <w:marRight w:val="0"/>
          <w:marTop w:val="0"/>
          <w:marBottom w:val="0"/>
          <w:divBdr>
            <w:top w:val="none" w:sz="0" w:space="0" w:color="auto"/>
            <w:left w:val="none" w:sz="0" w:space="0" w:color="auto"/>
            <w:bottom w:val="none" w:sz="0" w:space="0" w:color="auto"/>
            <w:right w:val="none" w:sz="0" w:space="0" w:color="auto"/>
          </w:divBdr>
        </w:div>
        <w:div w:id="1543715708">
          <w:marLeft w:val="446"/>
          <w:marRight w:val="0"/>
          <w:marTop w:val="0"/>
          <w:marBottom w:val="0"/>
          <w:divBdr>
            <w:top w:val="none" w:sz="0" w:space="0" w:color="auto"/>
            <w:left w:val="none" w:sz="0" w:space="0" w:color="auto"/>
            <w:bottom w:val="none" w:sz="0" w:space="0" w:color="auto"/>
            <w:right w:val="none" w:sz="0" w:space="0" w:color="auto"/>
          </w:divBdr>
        </w:div>
      </w:divsChild>
    </w:div>
    <w:div w:id="628784040">
      <w:bodyDiv w:val="1"/>
      <w:marLeft w:val="0"/>
      <w:marRight w:val="0"/>
      <w:marTop w:val="0"/>
      <w:marBottom w:val="0"/>
      <w:divBdr>
        <w:top w:val="none" w:sz="0" w:space="0" w:color="auto"/>
        <w:left w:val="none" w:sz="0" w:space="0" w:color="auto"/>
        <w:bottom w:val="none" w:sz="0" w:space="0" w:color="auto"/>
        <w:right w:val="none" w:sz="0" w:space="0" w:color="auto"/>
      </w:divBdr>
    </w:div>
    <w:div w:id="692417660">
      <w:bodyDiv w:val="1"/>
      <w:marLeft w:val="0"/>
      <w:marRight w:val="0"/>
      <w:marTop w:val="0"/>
      <w:marBottom w:val="0"/>
      <w:divBdr>
        <w:top w:val="none" w:sz="0" w:space="0" w:color="auto"/>
        <w:left w:val="none" w:sz="0" w:space="0" w:color="auto"/>
        <w:bottom w:val="none" w:sz="0" w:space="0" w:color="auto"/>
        <w:right w:val="none" w:sz="0" w:space="0" w:color="auto"/>
      </w:divBdr>
    </w:div>
    <w:div w:id="698823505">
      <w:bodyDiv w:val="1"/>
      <w:marLeft w:val="0"/>
      <w:marRight w:val="0"/>
      <w:marTop w:val="0"/>
      <w:marBottom w:val="0"/>
      <w:divBdr>
        <w:top w:val="none" w:sz="0" w:space="0" w:color="auto"/>
        <w:left w:val="none" w:sz="0" w:space="0" w:color="auto"/>
        <w:bottom w:val="none" w:sz="0" w:space="0" w:color="auto"/>
        <w:right w:val="none" w:sz="0" w:space="0" w:color="auto"/>
      </w:divBdr>
    </w:div>
    <w:div w:id="704912861">
      <w:bodyDiv w:val="1"/>
      <w:marLeft w:val="0"/>
      <w:marRight w:val="0"/>
      <w:marTop w:val="0"/>
      <w:marBottom w:val="0"/>
      <w:divBdr>
        <w:top w:val="none" w:sz="0" w:space="0" w:color="auto"/>
        <w:left w:val="none" w:sz="0" w:space="0" w:color="auto"/>
        <w:bottom w:val="none" w:sz="0" w:space="0" w:color="auto"/>
        <w:right w:val="none" w:sz="0" w:space="0" w:color="auto"/>
      </w:divBdr>
      <w:divsChild>
        <w:div w:id="319774948">
          <w:marLeft w:val="274"/>
          <w:marRight w:val="0"/>
          <w:marTop w:val="0"/>
          <w:marBottom w:val="0"/>
          <w:divBdr>
            <w:top w:val="none" w:sz="0" w:space="0" w:color="auto"/>
            <w:left w:val="none" w:sz="0" w:space="0" w:color="auto"/>
            <w:bottom w:val="none" w:sz="0" w:space="0" w:color="auto"/>
            <w:right w:val="none" w:sz="0" w:space="0" w:color="auto"/>
          </w:divBdr>
        </w:div>
        <w:div w:id="1088497602">
          <w:marLeft w:val="274"/>
          <w:marRight w:val="0"/>
          <w:marTop w:val="0"/>
          <w:marBottom w:val="0"/>
          <w:divBdr>
            <w:top w:val="none" w:sz="0" w:space="0" w:color="auto"/>
            <w:left w:val="none" w:sz="0" w:space="0" w:color="auto"/>
            <w:bottom w:val="none" w:sz="0" w:space="0" w:color="auto"/>
            <w:right w:val="none" w:sz="0" w:space="0" w:color="auto"/>
          </w:divBdr>
        </w:div>
        <w:div w:id="1778982875">
          <w:marLeft w:val="274"/>
          <w:marRight w:val="0"/>
          <w:marTop w:val="0"/>
          <w:marBottom w:val="0"/>
          <w:divBdr>
            <w:top w:val="none" w:sz="0" w:space="0" w:color="auto"/>
            <w:left w:val="none" w:sz="0" w:space="0" w:color="auto"/>
            <w:bottom w:val="none" w:sz="0" w:space="0" w:color="auto"/>
            <w:right w:val="none" w:sz="0" w:space="0" w:color="auto"/>
          </w:divBdr>
        </w:div>
        <w:div w:id="1804154416">
          <w:marLeft w:val="274"/>
          <w:marRight w:val="0"/>
          <w:marTop w:val="0"/>
          <w:marBottom w:val="0"/>
          <w:divBdr>
            <w:top w:val="none" w:sz="0" w:space="0" w:color="auto"/>
            <w:left w:val="none" w:sz="0" w:space="0" w:color="auto"/>
            <w:bottom w:val="none" w:sz="0" w:space="0" w:color="auto"/>
            <w:right w:val="none" w:sz="0" w:space="0" w:color="auto"/>
          </w:divBdr>
        </w:div>
      </w:divsChild>
    </w:div>
    <w:div w:id="744109338">
      <w:bodyDiv w:val="1"/>
      <w:marLeft w:val="0"/>
      <w:marRight w:val="0"/>
      <w:marTop w:val="0"/>
      <w:marBottom w:val="0"/>
      <w:divBdr>
        <w:top w:val="none" w:sz="0" w:space="0" w:color="auto"/>
        <w:left w:val="none" w:sz="0" w:space="0" w:color="auto"/>
        <w:bottom w:val="none" w:sz="0" w:space="0" w:color="auto"/>
        <w:right w:val="none" w:sz="0" w:space="0" w:color="auto"/>
      </w:divBdr>
    </w:div>
    <w:div w:id="744184716">
      <w:bodyDiv w:val="1"/>
      <w:marLeft w:val="0"/>
      <w:marRight w:val="0"/>
      <w:marTop w:val="0"/>
      <w:marBottom w:val="0"/>
      <w:divBdr>
        <w:top w:val="none" w:sz="0" w:space="0" w:color="auto"/>
        <w:left w:val="none" w:sz="0" w:space="0" w:color="auto"/>
        <w:bottom w:val="none" w:sz="0" w:space="0" w:color="auto"/>
        <w:right w:val="none" w:sz="0" w:space="0" w:color="auto"/>
      </w:divBdr>
    </w:div>
    <w:div w:id="754787272">
      <w:bodyDiv w:val="1"/>
      <w:marLeft w:val="0"/>
      <w:marRight w:val="0"/>
      <w:marTop w:val="0"/>
      <w:marBottom w:val="0"/>
      <w:divBdr>
        <w:top w:val="none" w:sz="0" w:space="0" w:color="auto"/>
        <w:left w:val="none" w:sz="0" w:space="0" w:color="auto"/>
        <w:bottom w:val="none" w:sz="0" w:space="0" w:color="auto"/>
        <w:right w:val="none" w:sz="0" w:space="0" w:color="auto"/>
      </w:divBdr>
      <w:divsChild>
        <w:div w:id="272709172">
          <w:marLeft w:val="274"/>
          <w:marRight w:val="0"/>
          <w:marTop w:val="0"/>
          <w:marBottom w:val="0"/>
          <w:divBdr>
            <w:top w:val="none" w:sz="0" w:space="0" w:color="auto"/>
            <w:left w:val="none" w:sz="0" w:space="0" w:color="auto"/>
            <w:bottom w:val="none" w:sz="0" w:space="0" w:color="auto"/>
            <w:right w:val="none" w:sz="0" w:space="0" w:color="auto"/>
          </w:divBdr>
        </w:div>
        <w:div w:id="724794648">
          <w:marLeft w:val="274"/>
          <w:marRight w:val="0"/>
          <w:marTop w:val="0"/>
          <w:marBottom w:val="0"/>
          <w:divBdr>
            <w:top w:val="none" w:sz="0" w:space="0" w:color="auto"/>
            <w:left w:val="none" w:sz="0" w:space="0" w:color="auto"/>
            <w:bottom w:val="none" w:sz="0" w:space="0" w:color="auto"/>
            <w:right w:val="none" w:sz="0" w:space="0" w:color="auto"/>
          </w:divBdr>
        </w:div>
        <w:div w:id="851528495">
          <w:marLeft w:val="274"/>
          <w:marRight w:val="0"/>
          <w:marTop w:val="0"/>
          <w:marBottom w:val="0"/>
          <w:divBdr>
            <w:top w:val="none" w:sz="0" w:space="0" w:color="auto"/>
            <w:left w:val="none" w:sz="0" w:space="0" w:color="auto"/>
            <w:bottom w:val="none" w:sz="0" w:space="0" w:color="auto"/>
            <w:right w:val="none" w:sz="0" w:space="0" w:color="auto"/>
          </w:divBdr>
        </w:div>
        <w:div w:id="856697265">
          <w:marLeft w:val="274"/>
          <w:marRight w:val="0"/>
          <w:marTop w:val="0"/>
          <w:marBottom w:val="0"/>
          <w:divBdr>
            <w:top w:val="none" w:sz="0" w:space="0" w:color="auto"/>
            <w:left w:val="none" w:sz="0" w:space="0" w:color="auto"/>
            <w:bottom w:val="none" w:sz="0" w:space="0" w:color="auto"/>
            <w:right w:val="none" w:sz="0" w:space="0" w:color="auto"/>
          </w:divBdr>
        </w:div>
        <w:div w:id="1858349770">
          <w:marLeft w:val="274"/>
          <w:marRight w:val="0"/>
          <w:marTop w:val="0"/>
          <w:marBottom w:val="0"/>
          <w:divBdr>
            <w:top w:val="none" w:sz="0" w:space="0" w:color="auto"/>
            <w:left w:val="none" w:sz="0" w:space="0" w:color="auto"/>
            <w:bottom w:val="none" w:sz="0" w:space="0" w:color="auto"/>
            <w:right w:val="none" w:sz="0" w:space="0" w:color="auto"/>
          </w:divBdr>
        </w:div>
      </w:divsChild>
    </w:div>
    <w:div w:id="776947460">
      <w:bodyDiv w:val="1"/>
      <w:marLeft w:val="0"/>
      <w:marRight w:val="0"/>
      <w:marTop w:val="0"/>
      <w:marBottom w:val="0"/>
      <w:divBdr>
        <w:top w:val="none" w:sz="0" w:space="0" w:color="auto"/>
        <w:left w:val="none" w:sz="0" w:space="0" w:color="auto"/>
        <w:bottom w:val="none" w:sz="0" w:space="0" w:color="auto"/>
        <w:right w:val="none" w:sz="0" w:space="0" w:color="auto"/>
      </w:divBdr>
    </w:div>
    <w:div w:id="781220122">
      <w:bodyDiv w:val="1"/>
      <w:marLeft w:val="0"/>
      <w:marRight w:val="0"/>
      <w:marTop w:val="0"/>
      <w:marBottom w:val="0"/>
      <w:divBdr>
        <w:top w:val="none" w:sz="0" w:space="0" w:color="auto"/>
        <w:left w:val="none" w:sz="0" w:space="0" w:color="auto"/>
        <w:bottom w:val="none" w:sz="0" w:space="0" w:color="auto"/>
        <w:right w:val="none" w:sz="0" w:space="0" w:color="auto"/>
      </w:divBdr>
    </w:div>
    <w:div w:id="801965360">
      <w:bodyDiv w:val="1"/>
      <w:marLeft w:val="0"/>
      <w:marRight w:val="0"/>
      <w:marTop w:val="0"/>
      <w:marBottom w:val="0"/>
      <w:divBdr>
        <w:top w:val="none" w:sz="0" w:space="0" w:color="auto"/>
        <w:left w:val="none" w:sz="0" w:space="0" w:color="auto"/>
        <w:bottom w:val="none" w:sz="0" w:space="0" w:color="auto"/>
        <w:right w:val="none" w:sz="0" w:space="0" w:color="auto"/>
      </w:divBdr>
    </w:div>
    <w:div w:id="807825335">
      <w:bodyDiv w:val="1"/>
      <w:marLeft w:val="0"/>
      <w:marRight w:val="0"/>
      <w:marTop w:val="0"/>
      <w:marBottom w:val="0"/>
      <w:divBdr>
        <w:top w:val="none" w:sz="0" w:space="0" w:color="auto"/>
        <w:left w:val="none" w:sz="0" w:space="0" w:color="auto"/>
        <w:bottom w:val="none" w:sz="0" w:space="0" w:color="auto"/>
        <w:right w:val="none" w:sz="0" w:space="0" w:color="auto"/>
      </w:divBdr>
      <w:divsChild>
        <w:div w:id="449251957">
          <w:marLeft w:val="274"/>
          <w:marRight w:val="0"/>
          <w:marTop w:val="0"/>
          <w:marBottom w:val="0"/>
          <w:divBdr>
            <w:top w:val="none" w:sz="0" w:space="0" w:color="auto"/>
            <w:left w:val="none" w:sz="0" w:space="0" w:color="auto"/>
            <w:bottom w:val="none" w:sz="0" w:space="0" w:color="auto"/>
            <w:right w:val="none" w:sz="0" w:space="0" w:color="auto"/>
          </w:divBdr>
        </w:div>
        <w:div w:id="1356426652">
          <w:marLeft w:val="274"/>
          <w:marRight w:val="0"/>
          <w:marTop w:val="0"/>
          <w:marBottom w:val="0"/>
          <w:divBdr>
            <w:top w:val="none" w:sz="0" w:space="0" w:color="auto"/>
            <w:left w:val="none" w:sz="0" w:space="0" w:color="auto"/>
            <w:bottom w:val="none" w:sz="0" w:space="0" w:color="auto"/>
            <w:right w:val="none" w:sz="0" w:space="0" w:color="auto"/>
          </w:divBdr>
        </w:div>
        <w:div w:id="1824731961">
          <w:marLeft w:val="274"/>
          <w:marRight w:val="0"/>
          <w:marTop w:val="0"/>
          <w:marBottom w:val="0"/>
          <w:divBdr>
            <w:top w:val="none" w:sz="0" w:space="0" w:color="auto"/>
            <w:left w:val="none" w:sz="0" w:space="0" w:color="auto"/>
            <w:bottom w:val="none" w:sz="0" w:space="0" w:color="auto"/>
            <w:right w:val="none" w:sz="0" w:space="0" w:color="auto"/>
          </w:divBdr>
        </w:div>
      </w:divsChild>
    </w:div>
    <w:div w:id="817770665">
      <w:bodyDiv w:val="1"/>
      <w:marLeft w:val="0"/>
      <w:marRight w:val="0"/>
      <w:marTop w:val="0"/>
      <w:marBottom w:val="0"/>
      <w:divBdr>
        <w:top w:val="none" w:sz="0" w:space="0" w:color="auto"/>
        <w:left w:val="none" w:sz="0" w:space="0" w:color="auto"/>
        <w:bottom w:val="none" w:sz="0" w:space="0" w:color="auto"/>
        <w:right w:val="none" w:sz="0" w:space="0" w:color="auto"/>
      </w:divBdr>
    </w:div>
    <w:div w:id="823594800">
      <w:bodyDiv w:val="1"/>
      <w:marLeft w:val="0"/>
      <w:marRight w:val="0"/>
      <w:marTop w:val="0"/>
      <w:marBottom w:val="0"/>
      <w:divBdr>
        <w:top w:val="none" w:sz="0" w:space="0" w:color="auto"/>
        <w:left w:val="none" w:sz="0" w:space="0" w:color="auto"/>
        <w:bottom w:val="none" w:sz="0" w:space="0" w:color="auto"/>
        <w:right w:val="none" w:sz="0" w:space="0" w:color="auto"/>
      </w:divBdr>
    </w:div>
    <w:div w:id="826284656">
      <w:bodyDiv w:val="1"/>
      <w:marLeft w:val="0"/>
      <w:marRight w:val="0"/>
      <w:marTop w:val="0"/>
      <w:marBottom w:val="0"/>
      <w:divBdr>
        <w:top w:val="none" w:sz="0" w:space="0" w:color="auto"/>
        <w:left w:val="none" w:sz="0" w:space="0" w:color="auto"/>
        <w:bottom w:val="none" w:sz="0" w:space="0" w:color="auto"/>
        <w:right w:val="none" w:sz="0" w:space="0" w:color="auto"/>
      </w:divBdr>
    </w:div>
    <w:div w:id="827090150">
      <w:bodyDiv w:val="1"/>
      <w:marLeft w:val="0"/>
      <w:marRight w:val="0"/>
      <w:marTop w:val="0"/>
      <w:marBottom w:val="0"/>
      <w:divBdr>
        <w:top w:val="none" w:sz="0" w:space="0" w:color="auto"/>
        <w:left w:val="none" w:sz="0" w:space="0" w:color="auto"/>
        <w:bottom w:val="none" w:sz="0" w:space="0" w:color="auto"/>
        <w:right w:val="none" w:sz="0" w:space="0" w:color="auto"/>
      </w:divBdr>
      <w:divsChild>
        <w:div w:id="68574279">
          <w:marLeft w:val="274"/>
          <w:marRight w:val="0"/>
          <w:marTop w:val="0"/>
          <w:marBottom w:val="0"/>
          <w:divBdr>
            <w:top w:val="none" w:sz="0" w:space="0" w:color="auto"/>
            <w:left w:val="none" w:sz="0" w:space="0" w:color="auto"/>
            <w:bottom w:val="none" w:sz="0" w:space="0" w:color="auto"/>
            <w:right w:val="none" w:sz="0" w:space="0" w:color="auto"/>
          </w:divBdr>
        </w:div>
        <w:div w:id="408039860">
          <w:marLeft w:val="274"/>
          <w:marRight w:val="0"/>
          <w:marTop w:val="0"/>
          <w:marBottom w:val="0"/>
          <w:divBdr>
            <w:top w:val="none" w:sz="0" w:space="0" w:color="auto"/>
            <w:left w:val="none" w:sz="0" w:space="0" w:color="auto"/>
            <w:bottom w:val="none" w:sz="0" w:space="0" w:color="auto"/>
            <w:right w:val="none" w:sz="0" w:space="0" w:color="auto"/>
          </w:divBdr>
        </w:div>
        <w:div w:id="2040619265">
          <w:marLeft w:val="274"/>
          <w:marRight w:val="0"/>
          <w:marTop w:val="0"/>
          <w:marBottom w:val="0"/>
          <w:divBdr>
            <w:top w:val="none" w:sz="0" w:space="0" w:color="auto"/>
            <w:left w:val="none" w:sz="0" w:space="0" w:color="auto"/>
            <w:bottom w:val="none" w:sz="0" w:space="0" w:color="auto"/>
            <w:right w:val="none" w:sz="0" w:space="0" w:color="auto"/>
          </w:divBdr>
        </w:div>
      </w:divsChild>
    </w:div>
    <w:div w:id="829173204">
      <w:bodyDiv w:val="1"/>
      <w:marLeft w:val="0"/>
      <w:marRight w:val="0"/>
      <w:marTop w:val="0"/>
      <w:marBottom w:val="0"/>
      <w:divBdr>
        <w:top w:val="none" w:sz="0" w:space="0" w:color="auto"/>
        <w:left w:val="none" w:sz="0" w:space="0" w:color="auto"/>
        <w:bottom w:val="none" w:sz="0" w:space="0" w:color="auto"/>
        <w:right w:val="none" w:sz="0" w:space="0" w:color="auto"/>
      </w:divBdr>
    </w:div>
    <w:div w:id="831531312">
      <w:bodyDiv w:val="1"/>
      <w:marLeft w:val="0"/>
      <w:marRight w:val="0"/>
      <w:marTop w:val="0"/>
      <w:marBottom w:val="0"/>
      <w:divBdr>
        <w:top w:val="none" w:sz="0" w:space="0" w:color="auto"/>
        <w:left w:val="none" w:sz="0" w:space="0" w:color="auto"/>
        <w:bottom w:val="none" w:sz="0" w:space="0" w:color="auto"/>
        <w:right w:val="none" w:sz="0" w:space="0" w:color="auto"/>
      </w:divBdr>
      <w:divsChild>
        <w:div w:id="912617217">
          <w:marLeft w:val="562"/>
          <w:marRight w:val="0"/>
          <w:marTop w:val="0"/>
          <w:marBottom w:val="0"/>
          <w:divBdr>
            <w:top w:val="none" w:sz="0" w:space="0" w:color="auto"/>
            <w:left w:val="none" w:sz="0" w:space="0" w:color="auto"/>
            <w:bottom w:val="none" w:sz="0" w:space="0" w:color="auto"/>
            <w:right w:val="none" w:sz="0" w:space="0" w:color="auto"/>
          </w:divBdr>
        </w:div>
      </w:divsChild>
    </w:div>
    <w:div w:id="842428099">
      <w:bodyDiv w:val="1"/>
      <w:marLeft w:val="0"/>
      <w:marRight w:val="0"/>
      <w:marTop w:val="0"/>
      <w:marBottom w:val="0"/>
      <w:divBdr>
        <w:top w:val="none" w:sz="0" w:space="0" w:color="auto"/>
        <w:left w:val="none" w:sz="0" w:space="0" w:color="auto"/>
        <w:bottom w:val="none" w:sz="0" w:space="0" w:color="auto"/>
        <w:right w:val="none" w:sz="0" w:space="0" w:color="auto"/>
      </w:divBdr>
    </w:div>
    <w:div w:id="870459676">
      <w:bodyDiv w:val="1"/>
      <w:marLeft w:val="0"/>
      <w:marRight w:val="0"/>
      <w:marTop w:val="0"/>
      <w:marBottom w:val="0"/>
      <w:divBdr>
        <w:top w:val="none" w:sz="0" w:space="0" w:color="auto"/>
        <w:left w:val="none" w:sz="0" w:space="0" w:color="auto"/>
        <w:bottom w:val="none" w:sz="0" w:space="0" w:color="auto"/>
        <w:right w:val="none" w:sz="0" w:space="0" w:color="auto"/>
      </w:divBdr>
    </w:div>
    <w:div w:id="884296374">
      <w:bodyDiv w:val="1"/>
      <w:marLeft w:val="0"/>
      <w:marRight w:val="0"/>
      <w:marTop w:val="0"/>
      <w:marBottom w:val="0"/>
      <w:divBdr>
        <w:top w:val="none" w:sz="0" w:space="0" w:color="auto"/>
        <w:left w:val="none" w:sz="0" w:space="0" w:color="auto"/>
        <w:bottom w:val="none" w:sz="0" w:space="0" w:color="auto"/>
        <w:right w:val="none" w:sz="0" w:space="0" w:color="auto"/>
      </w:divBdr>
      <w:divsChild>
        <w:div w:id="8024176">
          <w:marLeft w:val="547"/>
          <w:marRight w:val="0"/>
          <w:marTop w:val="0"/>
          <w:marBottom w:val="0"/>
          <w:divBdr>
            <w:top w:val="none" w:sz="0" w:space="0" w:color="auto"/>
            <w:left w:val="none" w:sz="0" w:space="0" w:color="auto"/>
            <w:bottom w:val="none" w:sz="0" w:space="0" w:color="auto"/>
            <w:right w:val="none" w:sz="0" w:space="0" w:color="auto"/>
          </w:divBdr>
        </w:div>
        <w:div w:id="260577717">
          <w:marLeft w:val="547"/>
          <w:marRight w:val="0"/>
          <w:marTop w:val="0"/>
          <w:marBottom w:val="0"/>
          <w:divBdr>
            <w:top w:val="none" w:sz="0" w:space="0" w:color="auto"/>
            <w:left w:val="none" w:sz="0" w:space="0" w:color="auto"/>
            <w:bottom w:val="none" w:sz="0" w:space="0" w:color="auto"/>
            <w:right w:val="none" w:sz="0" w:space="0" w:color="auto"/>
          </w:divBdr>
        </w:div>
        <w:div w:id="476842888">
          <w:marLeft w:val="547"/>
          <w:marRight w:val="0"/>
          <w:marTop w:val="0"/>
          <w:marBottom w:val="0"/>
          <w:divBdr>
            <w:top w:val="none" w:sz="0" w:space="0" w:color="auto"/>
            <w:left w:val="none" w:sz="0" w:space="0" w:color="auto"/>
            <w:bottom w:val="none" w:sz="0" w:space="0" w:color="auto"/>
            <w:right w:val="none" w:sz="0" w:space="0" w:color="auto"/>
          </w:divBdr>
        </w:div>
        <w:div w:id="751270942">
          <w:marLeft w:val="547"/>
          <w:marRight w:val="0"/>
          <w:marTop w:val="0"/>
          <w:marBottom w:val="0"/>
          <w:divBdr>
            <w:top w:val="none" w:sz="0" w:space="0" w:color="auto"/>
            <w:left w:val="none" w:sz="0" w:space="0" w:color="auto"/>
            <w:bottom w:val="none" w:sz="0" w:space="0" w:color="auto"/>
            <w:right w:val="none" w:sz="0" w:space="0" w:color="auto"/>
          </w:divBdr>
        </w:div>
        <w:div w:id="873351086">
          <w:marLeft w:val="547"/>
          <w:marRight w:val="0"/>
          <w:marTop w:val="0"/>
          <w:marBottom w:val="0"/>
          <w:divBdr>
            <w:top w:val="none" w:sz="0" w:space="0" w:color="auto"/>
            <w:left w:val="none" w:sz="0" w:space="0" w:color="auto"/>
            <w:bottom w:val="none" w:sz="0" w:space="0" w:color="auto"/>
            <w:right w:val="none" w:sz="0" w:space="0" w:color="auto"/>
          </w:divBdr>
        </w:div>
        <w:div w:id="1099981338">
          <w:marLeft w:val="547"/>
          <w:marRight w:val="0"/>
          <w:marTop w:val="0"/>
          <w:marBottom w:val="0"/>
          <w:divBdr>
            <w:top w:val="none" w:sz="0" w:space="0" w:color="auto"/>
            <w:left w:val="none" w:sz="0" w:space="0" w:color="auto"/>
            <w:bottom w:val="none" w:sz="0" w:space="0" w:color="auto"/>
            <w:right w:val="none" w:sz="0" w:space="0" w:color="auto"/>
          </w:divBdr>
        </w:div>
        <w:div w:id="1663587285">
          <w:marLeft w:val="547"/>
          <w:marRight w:val="0"/>
          <w:marTop w:val="0"/>
          <w:marBottom w:val="0"/>
          <w:divBdr>
            <w:top w:val="none" w:sz="0" w:space="0" w:color="auto"/>
            <w:left w:val="none" w:sz="0" w:space="0" w:color="auto"/>
            <w:bottom w:val="none" w:sz="0" w:space="0" w:color="auto"/>
            <w:right w:val="none" w:sz="0" w:space="0" w:color="auto"/>
          </w:divBdr>
        </w:div>
        <w:div w:id="1813788393">
          <w:marLeft w:val="547"/>
          <w:marRight w:val="0"/>
          <w:marTop w:val="0"/>
          <w:marBottom w:val="0"/>
          <w:divBdr>
            <w:top w:val="none" w:sz="0" w:space="0" w:color="auto"/>
            <w:left w:val="none" w:sz="0" w:space="0" w:color="auto"/>
            <w:bottom w:val="none" w:sz="0" w:space="0" w:color="auto"/>
            <w:right w:val="none" w:sz="0" w:space="0" w:color="auto"/>
          </w:divBdr>
        </w:div>
      </w:divsChild>
    </w:div>
    <w:div w:id="916018275">
      <w:bodyDiv w:val="1"/>
      <w:marLeft w:val="0"/>
      <w:marRight w:val="0"/>
      <w:marTop w:val="0"/>
      <w:marBottom w:val="0"/>
      <w:divBdr>
        <w:top w:val="none" w:sz="0" w:space="0" w:color="auto"/>
        <w:left w:val="none" w:sz="0" w:space="0" w:color="auto"/>
        <w:bottom w:val="none" w:sz="0" w:space="0" w:color="auto"/>
        <w:right w:val="none" w:sz="0" w:space="0" w:color="auto"/>
      </w:divBdr>
      <w:divsChild>
        <w:div w:id="547647774">
          <w:marLeft w:val="274"/>
          <w:marRight w:val="0"/>
          <w:marTop w:val="0"/>
          <w:marBottom w:val="0"/>
          <w:divBdr>
            <w:top w:val="none" w:sz="0" w:space="0" w:color="auto"/>
            <w:left w:val="none" w:sz="0" w:space="0" w:color="auto"/>
            <w:bottom w:val="none" w:sz="0" w:space="0" w:color="auto"/>
            <w:right w:val="none" w:sz="0" w:space="0" w:color="auto"/>
          </w:divBdr>
        </w:div>
        <w:div w:id="747070624">
          <w:marLeft w:val="274"/>
          <w:marRight w:val="0"/>
          <w:marTop w:val="0"/>
          <w:marBottom w:val="0"/>
          <w:divBdr>
            <w:top w:val="none" w:sz="0" w:space="0" w:color="auto"/>
            <w:left w:val="none" w:sz="0" w:space="0" w:color="auto"/>
            <w:bottom w:val="none" w:sz="0" w:space="0" w:color="auto"/>
            <w:right w:val="none" w:sz="0" w:space="0" w:color="auto"/>
          </w:divBdr>
        </w:div>
        <w:div w:id="752123540">
          <w:marLeft w:val="274"/>
          <w:marRight w:val="0"/>
          <w:marTop w:val="0"/>
          <w:marBottom w:val="0"/>
          <w:divBdr>
            <w:top w:val="none" w:sz="0" w:space="0" w:color="auto"/>
            <w:left w:val="none" w:sz="0" w:space="0" w:color="auto"/>
            <w:bottom w:val="none" w:sz="0" w:space="0" w:color="auto"/>
            <w:right w:val="none" w:sz="0" w:space="0" w:color="auto"/>
          </w:divBdr>
        </w:div>
        <w:div w:id="1102608250">
          <w:marLeft w:val="274"/>
          <w:marRight w:val="0"/>
          <w:marTop w:val="0"/>
          <w:marBottom w:val="0"/>
          <w:divBdr>
            <w:top w:val="none" w:sz="0" w:space="0" w:color="auto"/>
            <w:left w:val="none" w:sz="0" w:space="0" w:color="auto"/>
            <w:bottom w:val="none" w:sz="0" w:space="0" w:color="auto"/>
            <w:right w:val="none" w:sz="0" w:space="0" w:color="auto"/>
          </w:divBdr>
        </w:div>
        <w:div w:id="1111974076">
          <w:marLeft w:val="274"/>
          <w:marRight w:val="0"/>
          <w:marTop w:val="0"/>
          <w:marBottom w:val="0"/>
          <w:divBdr>
            <w:top w:val="none" w:sz="0" w:space="0" w:color="auto"/>
            <w:left w:val="none" w:sz="0" w:space="0" w:color="auto"/>
            <w:bottom w:val="none" w:sz="0" w:space="0" w:color="auto"/>
            <w:right w:val="none" w:sz="0" w:space="0" w:color="auto"/>
          </w:divBdr>
        </w:div>
        <w:div w:id="1473325607">
          <w:marLeft w:val="274"/>
          <w:marRight w:val="0"/>
          <w:marTop w:val="0"/>
          <w:marBottom w:val="0"/>
          <w:divBdr>
            <w:top w:val="none" w:sz="0" w:space="0" w:color="auto"/>
            <w:left w:val="none" w:sz="0" w:space="0" w:color="auto"/>
            <w:bottom w:val="none" w:sz="0" w:space="0" w:color="auto"/>
            <w:right w:val="none" w:sz="0" w:space="0" w:color="auto"/>
          </w:divBdr>
        </w:div>
      </w:divsChild>
    </w:div>
    <w:div w:id="918245987">
      <w:bodyDiv w:val="1"/>
      <w:marLeft w:val="0"/>
      <w:marRight w:val="0"/>
      <w:marTop w:val="0"/>
      <w:marBottom w:val="0"/>
      <w:divBdr>
        <w:top w:val="none" w:sz="0" w:space="0" w:color="auto"/>
        <w:left w:val="none" w:sz="0" w:space="0" w:color="auto"/>
        <w:bottom w:val="none" w:sz="0" w:space="0" w:color="auto"/>
        <w:right w:val="none" w:sz="0" w:space="0" w:color="auto"/>
      </w:divBdr>
    </w:div>
    <w:div w:id="930426965">
      <w:bodyDiv w:val="1"/>
      <w:marLeft w:val="0"/>
      <w:marRight w:val="0"/>
      <w:marTop w:val="0"/>
      <w:marBottom w:val="0"/>
      <w:divBdr>
        <w:top w:val="none" w:sz="0" w:space="0" w:color="auto"/>
        <w:left w:val="none" w:sz="0" w:space="0" w:color="auto"/>
        <w:bottom w:val="none" w:sz="0" w:space="0" w:color="auto"/>
        <w:right w:val="none" w:sz="0" w:space="0" w:color="auto"/>
      </w:divBdr>
    </w:div>
    <w:div w:id="954170754">
      <w:bodyDiv w:val="1"/>
      <w:marLeft w:val="0"/>
      <w:marRight w:val="0"/>
      <w:marTop w:val="0"/>
      <w:marBottom w:val="0"/>
      <w:divBdr>
        <w:top w:val="none" w:sz="0" w:space="0" w:color="auto"/>
        <w:left w:val="none" w:sz="0" w:space="0" w:color="auto"/>
        <w:bottom w:val="none" w:sz="0" w:space="0" w:color="auto"/>
        <w:right w:val="none" w:sz="0" w:space="0" w:color="auto"/>
      </w:divBdr>
    </w:div>
    <w:div w:id="962080227">
      <w:bodyDiv w:val="1"/>
      <w:marLeft w:val="0"/>
      <w:marRight w:val="0"/>
      <w:marTop w:val="0"/>
      <w:marBottom w:val="0"/>
      <w:divBdr>
        <w:top w:val="none" w:sz="0" w:space="0" w:color="auto"/>
        <w:left w:val="none" w:sz="0" w:space="0" w:color="auto"/>
        <w:bottom w:val="none" w:sz="0" w:space="0" w:color="auto"/>
        <w:right w:val="none" w:sz="0" w:space="0" w:color="auto"/>
      </w:divBdr>
    </w:div>
    <w:div w:id="978342086">
      <w:bodyDiv w:val="1"/>
      <w:marLeft w:val="0"/>
      <w:marRight w:val="0"/>
      <w:marTop w:val="0"/>
      <w:marBottom w:val="0"/>
      <w:divBdr>
        <w:top w:val="none" w:sz="0" w:space="0" w:color="auto"/>
        <w:left w:val="none" w:sz="0" w:space="0" w:color="auto"/>
        <w:bottom w:val="none" w:sz="0" w:space="0" w:color="auto"/>
        <w:right w:val="none" w:sz="0" w:space="0" w:color="auto"/>
      </w:divBdr>
    </w:div>
    <w:div w:id="988241442">
      <w:bodyDiv w:val="1"/>
      <w:marLeft w:val="0"/>
      <w:marRight w:val="0"/>
      <w:marTop w:val="0"/>
      <w:marBottom w:val="0"/>
      <w:divBdr>
        <w:top w:val="none" w:sz="0" w:space="0" w:color="auto"/>
        <w:left w:val="none" w:sz="0" w:space="0" w:color="auto"/>
        <w:bottom w:val="none" w:sz="0" w:space="0" w:color="auto"/>
        <w:right w:val="none" w:sz="0" w:space="0" w:color="auto"/>
      </w:divBdr>
      <w:divsChild>
        <w:div w:id="46805325">
          <w:marLeft w:val="274"/>
          <w:marRight w:val="0"/>
          <w:marTop w:val="67"/>
          <w:marBottom w:val="0"/>
          <w:divBdr>
            <w:top w:val="none" w:sz="0" w:space="0" w:color="auto"/>
            <w:left w:val="none" w:sz="0" w:space="0" w:color="auto"/>
            <w:bottom w:val="none" w:sz="0" w:space="0" w:color="auto"/>
            <w:right w:val="none" w:sz="0" w:space="0" w:color="auto"/>
          </w:divBdr>
        </w:div>
        <w:div w:id="378289934">
          <w:marLeft w:val="274"/>
          <w:marRight w:val="0"/>
          <w:marTop w:val="0"/>
          <w:marBottom w:val="0"/>
          <w:divBdr>
            <w:top w:val="none" w:sz="0" w:space="0" w:color="auto"/>
            <w:left w:val="none" w:sz="0" w:space="0" w:color="auto"/>
            <w:bottom w:val="none" w:sz="0" w:space="0" w:color="auto"/>
            <w:right w:val="none" w:sz="0" w:space="0" w:color="auto"/>
          </w:divBdr>
        </w:div>
        <w:div w:id="1272132257">
          <w:marLeft w:val="274"/>
          <w:marRight w:val="0"/>
          <w:marTop w:val="0"/>
          <w:marBottom w:val="0"/>
          <w:divBdr>
            <w:top w:val="none" w:sz="0" w:space="0" w:color="auto"/>
            <w:left w:val="none" w:sz="0" w:space="0" w:color="auto"/>
            <w:bottom w:val="none" w:sz="0" w:space="0" w:color="auto"/>
            <w:right w:val="none" w:sz="0" w:space="0" w:color="auto"/>
          </w:divBdr>
        </w:div>
        <w:div w:id="1405646344">
          <w:marLeft w:val="274"/>
          <w:marRight w:val="0"/>
          <w:marTop w:val="67"/>
          <w:marBottom w:val="0"/>
          <w:divBdr>
            <w:top w:val="none" w:sz="0" w:space="0" w:color="auto"/>
            <w:left w:val="none" w:sz="0" w:space="0" w:color="auto"/>
            <w:bottom w:val="none" w:sz="0" w:space="0" w:color="auto"/>
            <w:right w:val="none" w:sz="0" w:space="0" w:color="auto"/>
          </w:divBdr>
        </w:div>
      </w:divsChild>
    </w:div>
    <w:div w:id="989791452">
      <w:bodyDiv w:val="1"/>
      <w:marLeft w:val="0"/>
      <w:marRight w:val="0"/>
      <w:marTop w:val="0"/>
      <w:marBottom w:val="0"/>
      <w:divBdr>
        <w:top w:val="none" w:sz="0" w:space="0" w:color="auto"/>
        <w:left w:val="none" w:sz="0" w:space="0" w:color="auto"/>
        <w:bottom w:val="none" w:sz="0" w:space="0" w:color="auto"/>
        <w:right w:val="none" w:sz="0" w:space="0" w:color="auto"/>
      </w:divBdr>
    </w:div>
    <w:div w:id="1001157694">
      <w:bodyDiv w:val="1"/>
      <w:marLeft w:val="0"/>
      <w:marRight w:val="0"/>
      <w:marTop w:val="0"/>
      <w:marBottom w:val="0"/>
      <w:divBdr>
        <w:top w:val="none" w:sz="0" w:space="0" w:color="auto"/>
        <w:left w:val="none" w:sz="0" w:space="0" w:color="auto"/>
        <w:bottom w:val="none" w:sz="0" w:space="0" w:color="auto"/>
        <w:right w:val="none" w:sz="0" w:space="0" w:color="auto"/>
      </w:divBdr>
    </w:div>
    <w:div w:id="1020087336">
      <w:bodyDiv w:val="1"/>
      <w:marLeft w:val="0"/>
      <w:marRight w:val="0"/>
      <w:marTop w:val="0"/>
      <w:marBottom w:val="0"/>
      <w:divBdr>
        <w:top w:val="none" w:sz="0" w:space="0" w:color="auto"/>
        <w:left w:val="none" w:sz="0" w:space="0" w:color="auto"/>
        <w:bottom w:val="none" w:sz="0" w:space="0" w:color="auto"/>
        <w:right w:val="none" w:sz="0" w:space="0" w:color="auto"/>
      </w:divBdr>
    </w:div>
    <w:div w:id="1020933289">
      <w:bodyDiv w:val="1"/>
      <w:marLeft w:val="0"/>
      <w:marRight w:val="0"/>
      <w:marTop w:val="0"/>
      <w:marBottom w:val="0"/>
      <w:divBdr>
        <w:top w:val="none" w:sz="0" w:space="0" w:color="auto"/>
        <w:left w:val="none" w:sz="0" w:space="0" w:color="auto"/>
        <w:bottom w:val="none" w:sz="0" w:space="0" w:color="auto"/>
        <w:right w:val="none" w:sz="0" w:space="0" w:color="auto"/>
      </w:divBdr>
      <w:divsChild>
        <w:div w:id="1014915187">
          <w:marLeft w:val="274"/>
          <w:marRight w:val="0"/>
          <w:marTop w:val="0"/>
          <w:marBottom w:val="0"/>
          <w:divBdr>
            <w:top w:val="none" w:sz="0" w:space="0" w:color="auto"/>
            <w:left w:val="none" w:sz="0" w:space="0" w:color="auto"/>
            <w:bottom w:val="none" w:sz="0" w:space="0" w:color="auto"/>
            <w:right w:val="none" w:sz="0" w:space="0" w:color="auto"/>
          </w:divBdr>
        </w:div>
        <w:div w:id="1243566326">
          <w:marLeft w:val="274"/>
          <w:marRight w:val="0"/>
          <w:marTop w:val="0"/>
          <w:marBottom w:val="0"/>
          <w:divBdr>
            <w:top w:val="none" w:sz="0" w:space="0" w:color="auto"/>
            <w:left w:val="none" w:sz="0" w:space="0" w:color="auto"/>
            <w:bottom w:val="none" w:sz="0" w:space="0" w:color="auto"/>
            <w:right w:val="none" w:sz="0" w:space="0" w:color="auto"/>
          </w:divBdr>
        </w:div>
      </w:divsChild>
    </w:div>
    <w:div w:id="1037662783">
      <w:bodyDiv w:val="1"/>
      <w:marLeft w:val="0"/>
      <w:marRight w:val="0"/>
      <w:marTop w:val="0"/>
      <w:marBottom w:val="0"/>
      <w:divBdr>
        <w:top w:val="none" w:sz="0" w:space="0" w:color="auto"/>
        <w:left w:val="none" w:sz="0" w:space="0" w:color="auto"/>
        <w:bottom w:val="none" w:sz="0" w:space="0" w:color="auto"/>
        <w:right w:val="none" w:sz="0" w:space="0" w:color="auto"/>
      </w:divBdr>
    </w:div>
    <w:div w:id="1053191511">
      <w:bodyDiv w:val="1"/>
      <w:marLeft w:val="0"/>
      <w:marRight w:val="0"/>
      <w:marTop w:val="0"/>
      <w:marBottom w:val="0"/>
      <w:divBdr>
        <w:top w:val="none" w:sz="0" w:space="0" w:color="auto"/>
        <w:left w:val="none" w:sz="0" w:space="0" w:color="auto"/>
        <w:bottom w:val="none" w:sz="0" w:space="0" w:color="auto"/>
        <w:right w:val="none" w:sz="0" w:space="0" w:color="auto"/>
      </w:divBdr>
    </w:div>
    <w:div w:id="1055354184">
      <w:bodyDiv w:val="1"/>
      <w:marLeft w:val="0"/>
      <w:marRight w:val="0"/>
      <w:marTop w:val="0"/>
      <w:marBottom w:val="0"/>
      <w:divBdr>
        <w:top w:val="none" w:sz="0" w:space="0" w:color="auto"/>
        <w:left w:val="none" w:sz="0" w:space="0" w:color="auto"/>
        <w:bottom w:val="none" w:sz="0" w:space="0" w:color="auto"/>
        <w:right w:val="none" w:sz="0" w:space="0" w:color="auto"/>
      </w:divBdr>
    </w:div>
    <w:div w:id="1056246714">
      <w:bodyDiv w:val="1"/>
      <w:marLeft w:val="0"/>
      <w:marRight w:val="0"/>
      <w:marTop w:val="0"/>
      <w:marBottom w:val="0"/>
      <w:divBdr>
        <w:top w:val="none" w:sz="0" w:space="0" w:color="auto"/>
        <w:left w:val="none" w:sz="0" w:space="0" w:color="auto"/>
        <w:bottom w:val="none" w:sz="0" w:space="0" w:color="auto"/>
        <w:right w:val="none" w:sz="0" w:space="0" w:color="auto"/>
      </w:divBdr>
    </w:div>
    <w:div w:id="1065421384">
      <w:bodyDiv w:val="1"/>
      <w:marLeft w:val="0"/>
      <w:marRight w:val="0"/>
      <w:marTop w:val="0"/>
      <w:marBottom w:val="0"/>
      <w:divBdr>
        <w:top w:val="none" w:sz="0" w:space="0" w:color="auto"/>
        <w:left w:val="none" w:sz="0" w:space="0" w:color="auto"/>
        <w:bottom w:val="none" w:sz="0" w:space="0" w:color="auto"/>
        <w:right w:val="none" w:sz="0" w:space="0" w:color="auto"/>
      </w:divBdr>
    </w:div>
    <w:div w:id="1066611241">
      <w:bodyDiv w:val="1"/>
      <w:marLeft w:val="0"/>
      <w:marRight w:val="0"/>
      <w:marTop w:val="0"/>
      <w:marBottom w:val="0"/>
      <w:divBdr>
        <w:top w:val="none" w:sz="0" w:space="0" w:color="auto"/>
        <w:left w:val="none" w:sz="0" w:space="0" w:color="auto"/>
        <w:bottom w:val="none" w:sz="0" w:space="0" w:color="auto"/>
        <w:right w:val="none" w:sz="0" w:space="0" w:color="auto"/>
      </w:divBdr>
    </w:div>
    <w:div w:id="1076560008">
      <w:bodyDiv w:val="1"/>
      <w:marLeft w:val="0"/>
      <w:marRight w:val="0"/>
      <w:marTop w:val="0"/>
      <w:marBottom w:val="0"/>
      <w:divBdr>
        <w:top w:val="none" w:sz="0" w:space="0" w:color="auto"/>
        <w:left w:val="none" w:sz="0" w:space="0" w:color="auto"/>
        <w:bottom w:val="none" w:sz="0" w:space="0" w:color="auto"/>
        <w:right w:val="none" w:sz="0" w:space="0" w:color="auto"/>
      </w:divBdr>
      <w:divsChild>
        <w:div w:id="427392761">
          <w:marLeft w:val="274"/>
          <w:marRight w:val="0"/>
          <w:marTop w:val="0"/>
          <w:marBottom w:val="0"/>
          <w:divBdr>
            <w:top w:val="none" w:sz="0" w:space="0" w:color="auto"/>
            <w:left w:val="none" w:sz="0" w:space="0" w:color="auto"/>
            <w:bottom w:val="none" w:sz="0" w:space="0" w:color="auto"/>
            <w:right w:val="none" w:sz="0" w:space="0" w:color="auto"/>
          </w:divBdr>
        </w:div>
        <w:div w:id="1158690874">
          <w:marLeft w:val="274"/>
          <w:marRight w:val="0"/>
          <w:marTop w:val="0"/>
          <w:marBottom w:val="0"/>
          <w:divBdr>
            <w:top w:val="none" w:sz="0" w:space="0" w:color="auto"/>
            <w:left w:val="none" w:sz="0" w:space="0" w:color="auto"/>
            <w:bottom w:val="none" w:sz="0" w:space="0" w:color="auto"/>
            <w:right w:val="none" w:sz="0" w:space="0" w:color="auto"/>
          </w:divBdr>
        </w:div>
        <w:div w:id="1924678832">
          <w:marLeft w:val="274"/>
          <w:marRight w:val="0"/>
          <w:marTop w:val="0"/>
          <w:marBottom w:val="0"/>
          <w:divBdr>
            <w:top w:val="none" w:sz="0" w:space="0" w:color="auto"/>
            <w:left w:val="none" w:sz="0" w:space="0" w:color="auto"/>
            <w:bottom w:val="none" w:sz="0" w:space="0" w:color="auto"/>
            <w:right w:val="none" w:sz="0" w:space="0" w:color="auto"/>
          </w:divBdr>
        </w:div>
      </w:divsChild>
    </w:div>
    <w:div w:id="1089932323">
      <w:bodyDiv w:val="1"/>
      <w:marLeft w:val="0"/>
      <w:marRight w:val="0"/>
      <w:marTop w:val="0"/>
      <w:marBottom w:val="0"/>
      <w:divBdr>
        <w:top w:val="none" w:sz="0" w:space="0" w:color="auto"/>
        <w:left w:val="none" w:sz="0" w:space="0" w:color="auto"/>
        <w:bottom w:val="none" w:sz="0" w:space="0" w:color="auto"/>
        <w:right w:val="none" w:sz="0" w:space="0" w:color="auto"/>
      </w:divBdr>
      <w:divsChild>
        <w:div w:id="382560498">
          <w:marLeft w:val="274"/>
          <w:marRight w:val="0"/>
          <w:marTop w:val="0"/>
          <w:marBottom w:val="0"/>
          <w:divBdr>
            <w:top w:val="none" w:sz="0" w:space="0" w:color="auto"/>
            <w:left w:val="none" w:sz="0" w:space="0" w:color="auto"/>
            <w:bottom w:val="none" w:sz="0" w:space="0" w:color="auto"/>
            <w:right w:val="none" w:sz="0" w:space="0" w:color="auto"/>
          </w:divBdr>
        </w:div>
        <w:div w:id="1017541320">
          <w:marLeft w:val="274"/>
          <w:marRight w:val="0"/>
          <w:marTop w:val="0"/>
          <w:marBottom w:val="0"/>
          <w:divBdr>
            <w:top w:val="none" w:sz="0" w:space="0" w:color="auto"/>
            <w:left w:val="none" w:sz="0" w:space="0" w:color="auto"/>
            <w:bottom w:val="none" w:sz="0" w:space="0" w:color="auto"/>
            <w:right w:val="none" w:sz="0" w:space="0" w:color="auto"/>
          </w:divBdr>
        </w:div>
        <w:div w:id="1939216580">
          <w:marLeft w:val="274"/>
          <w:marRight w:val="0"/>
          <w:marTop w:val="0"/>
          <w:marBottom w:val="0"/>
          <w:divBdr>
            <w:top w:val="none" w:sz="0" w:space="0" w:color="auto"/>
            <w:left w:val="none" w:sz="0" w:space="0" w:color="auto"/>
            <w:bottom w:val="none" w:sz="0" w:space="0" w:color="auto"/>
            <w:right w:val="none" w:sz="0" w:space="0" w:color="auto"/>
          </w:divBdr>
        </w:div>
        <w:div w:id="1976325381">
          <w:marLeft w:val="274"/>
          <w:marRight w:val="0"/>
          <w:marTop w:val="0"/>
          <w:marBottom w:val="0"/>
          <w:divBdr>
            <w:top w:val="none" w:sz="0" w:space="0" w:color="auto"/>
            <w:left w:val="none" w:sz="0" w:space="0" w:color="auto"/>
            <w:bottom w:val="none" w:sz="0" w:space="0" w:color="auto"/>
            <w:right w:val="none" w:sz="0" w:space="0" w:color="auto"/>
          </w:divBdr>
        </w:div>
      </w:divsChild>
    </w:div>
    <w:div w:id="1094863739">
      <w:bodyDiv w:val="1"/>
      <w:marLeft w:val="0"/>
      <w:marRight w:val="0"/>
      <w:marTop w:val="0"/>
      <w:marBottom w:val="0"/>
      <w:divBdr>
        <w:top w:val="none" w:sz="0" w:space="0" w:color="auto"/>
        <w:left w:val="none" w:sz="0" w:space="0" w:color="auto"/>
        <w:bottom w:val="none" w:sz="0" w:space="0" w:color="auto"/>
        <w:right w:val="none" w:sz="0" w:space="0" w:color="auto"/>
      </w:divBdr>
    </w:div>
    <w:div w:id="1103378102">
      <w:bodyDiv w:val="1"/>
      <w:marLeft w:val="0"/>
      <w:marRight w:val="0"/>
      <w:marTop w:val="0"/>
      <w:marBottom w:val="0"/>
      <w:divBdr>
        <w:top w:val="none" w:sz="0" w:space="0" w:color="auto"/>
        <w:left w:val="none" w:sz="0" w:space="0" w:color="auto"/>
        <w:bottom w:val="none" w:sz="0" w:space="0" w:color="auto"/>
        <w:right w:val="none" w:sz="0" w:space="0" w:color="auto"/>
      </w:divBdr>
    </w:div>
    <w:div w:id="1104492741">
      <w:bodyDiv w:val="1"/>
      <w:marLeft w:val="0"/>
      <w:marRight w:val="0"/>
      <w:marTop w:val="0"/>
      <w:marBottom w:val="0"/>
      <w:divBdr>
        <w:top w:val="none" w:sz="0" w:space="0" w:color="auto"/>
        <w:left w:val="none" w:sz="0" w:space="0" w:color="auto"/>
        <w:bottom w:val="none" w:sz="0" w:space="0" w:color="auto"/>
        <w:right w:val="none" w:sz="0" w:space="0" w:color="auto"/>
      </w:divBdr>
    </w:div>
    <w:div w:id="1135878991">
      <w:bodyDiv w:val="1"/>
      <w:marLeft w:val="0"/>
      <w:marRight w:val="0"/>
      <w:marTop w:val="0"/>
      <w:marBottom w:val="0"/>
      <w:divBdr>
        <w:top w:val="none" w:sz="0" w:space="0" w:color="auto"/>
        <w:left w:val="none" w:sz="0" w:space="0" w:color="auto"/>
        <w:bottom w:val="none" w:sz="0" w:space="0" w:color="auto"/>
        <w:right w:val="none" w:sz="0" w:space="0" w:color="auto"/>
      </w:divBdr>
      <w:divsChild>
        <w:div w:id="2061129776">
          <w:marLeft w:val="274"/>
          <w:marRight w:val="0"/>
          <w:marTop w:val="0"/>
          <w:marBottom w:val="0"/>
          <w:divBdr>
            <w:top w:val="none" w:sz="0" w:space="0" w:color="auto"/>
            <w:left w:val="none" w:sz="0" w:space="0" w:color="auto"/>
            <w:bottom w:val="none" w:sz="0" w:space="0" w:color="auto"/>
            <w:right w:val="none" w:sz="0" w:space="0" w:color="auto"/>
          </w:divBdr>
        </w:div>
      </w:divsChild>
    </w:div>
    <w:div w:id="1142424195">
      <w:bodyDiv w:val="1"/>
      <w:marLeft w:val="0"/>
      <w:marRight w:val="0"/>
      <w:marTop w:val="0"/>
      <w:marBottom w:val="0"/>
      <w:divBdr>
        <w:top w:val="none" w:sz="0" w:space="0" w:color="auto"/>
        <w:left w:val="none" w:sz="0" w:space="0" w:color="auto"/>
        <w:bottom w:val="none" w:sz="0" w:space="0" w:color="auto"/>
        <w:right w:val="none" w:sz="0" w:space="0" w:color="auto"/>
      </w:divBdr>
    </w:div>
    <w:div w:id="1172449993">
      <w:bodyDiv w:val="1"/>
      <w:marLeft w:val="0"/>
      <w:marRight w:val="0"/>
      <w:marTop w:val="0"/>
      <w:marBottom w:val="0"/>
      <w:divBdr>
        <w:top w:val="none" w:sz="0" w:space="0" w:color="auto"/>
        <w:left w:val="none" w:sz="0" w:space="0" w:color="auto"/>
        <w:bottom w:val="none" w:sz="0" w:space="0" w:color="auto"/>
        <w:right w:val="none" w:sz="0" w:space="0" w:color="auto"/>
      </w:divBdr>
    </w:div>
    <w:div w:id="1186988395">
      <w:bodyDiv w:val="1"/>
      <w:marLeft w:val="0"/>
      <w:marRight w:val="0"/>
      <w:marTop w:val="0"/>
      <w:marBottom w:val="0"/>
      <w:divBdr>
        <w:top w:val="none" w:sz="0" w:space="0" w:color="auto"/>
        <w:left w:val="none" w:sz="0" w:space="0" w:color="auto"/>
        <w:bottom w:val="none" w:sz="0" w:space="0" w:color="auto"/>
        <w:right w:val="none" w:sz="0" w:space="0" w:color="auto"/>
      </w:divBdr>
      <w:divsChild>
        <w:div w:id="802962945">
          <w:marLeft w:val="547"/>
          <w:marRight w:val="0"/>
          <w:marTop w:val="0"/>
          <w:marBottom w:val="0"/>
          <w:divBdr>
            <w:top w:val="none" w:sz="0" w:space="0" w:color="auto"/>
            <w:left w:val="none" w:sz="0" w:space="0" w:color="auto"/>
            <w:bottom w:val="none" w:sz="0" w:space="0" w:color="auto"/>
            <w:right w:val="none" w:sz="0" w:space="0" w:color="auto"/>
          </w:divBdr>
        </w:div>
      </w:divsChild>
    </w:div>
    <w:div w:id="1193373568">
      <w:bodyDiv w:val="1"/>
      <w:marLeft w:val="0"/>
      <w:marRight w:val="0"/>
      <w:marTop w:val="0"/>
      <w:marBottom w:val="0"/>
      <w:divBdr>
        <w:top w:val="none" w:sz="0" w:space="0" w:color="auto"/>
        <w:left w:val="none" w:sz="0" w:space="0" w:color="auto"/>
        <w:bottom w:val="none" w:sz="0" w:space="0" w:color="auto"/>
        <w:right w:val="none" w:sz="0" w:space="0" w:color="auto"/>
      </w:divBdr>
    </w:div>
    <w:div w:id="1197547526">
      <w:bodyDiv w:val="1"/>
      <w:marLeft w:val="0"/>
      <w:marRight w:val="0"/>
      <w:marTop w:val="0"/>
      <w:marBottom w:val="0"/>
      <w:divBdr>
        <w:top w:val="none" w:sz="0" w:space="0" w:color="auto"/>
        <w:left w:val="none" w:sz="0" w:space="0" w:color="auto"/>
        <w:bottom w:val="none" w:sz="0" w:space="0" w:color="auto"/>
        <w:right w:val="none" w:sz="0" w:space="0" w:color="auto"/>
      </w:divBdr>
      <w:divsChild>
        <w:div w:id="514609800">
          <w:marLeft w:val="0"/>
          <w:marRight w:val="0"/>
          <w:marTop w:val="100"/>
          <w:marBottom w:val="0"/>
          <w:divBdr>
            <w:top w:val="none" w:sz="0" w:space="0" w:color="auto"/>
            <w:left w:val="none" w:sz="0" w:space="0" w:color="auto"/>
            <w:bottom w:val="none" w:sz="0" w:space="0" w:color="auto"/>
            <w:right w:val="none" w:sz="0" w:space="0" w:color="auto"/>
          </w:divBdr>
        </w:div>
        <w:div w:id="529223374">
          <w:marLeft w:val="0"/>
          <w:marRight w:val="0"/>
          <w:marTop w:val="100"/>
          <w:marBottom w:val="0"/>
          <w:divBdr>
            <w:top w:val="none" w:sz="0" w:space="0" w:color="auto"/>
            <w:left w:val="none" w:sz="0" w:space="0" w:color="auto"/>
            <w:bottom w:val="none" w:sz="0" w:space="0" w:color="auto"/>
            <w:right w:val="none" w:sz="0" w:space="0" w:color="auto"/>
          </w:divBdr>
        </w:div>
        <w:div w:id="592589366">
          <w:marLeft w:val="0"/>
          <w:marRight w:val="0"/>
          <w:marTop w:val="100"/>
          <w:marBottom w:val="0"/>
          <w:divBdr>
            <w:top w:val="none" w:sz="0" w:space="0" w:color="auto"/>
            <w:left w:val="none" w:sz="0" w:space="0" w:color="auto"/>
            <w:bottom w:val="none" w:sz="0" w:space="0" w:color="auto"/>
            <w:right w:val="none" w:sz="0" w:space="0" w:color="auto"/>
          </w:divBdr>
        </w:div>
        <w:div w:id="871914456">
          <w:marLeft w:val="0"/>
          <w:marRight w:val="0"/>
          <w:marTop w:val="100"/>
          <w:marBottom w:val="0"/>
          <w:divBdr>
            <w:top w:val="none" w:sz="0" w:space="0" w:color="auto"/>
            <w:left w:val="none" w:sz="0" w:space="0" w:color="auto"/>
            <w:bottom w:val="none" w:sz="0" w:space="0" w:color="auto"/>
            <w:right w:val="none" w:sz="0" w:space="0" w:color="auto"/>
          </w:divBdr>
        </w:div>
        <w:div w:id="1337923913">
          <w:marLeft w:val="0"/>
          <w:marRight w:val="0"/>
          <w:marTop w:val="100"/>
          <w:marBottom w:val="0"/>
          <w:divBdr>
            <w:top w:val="none" w:sz="0" w:space="0" w:color="auto"/>
            <w:left w:val="none" w:sz="0" w:space="0" w:color="auto"/>
            <w:bottom w:val="none" w:sz="0" w:space="0" w:color="auto"/>
            <w:right w:val="none" w:sz="0" w:space="0" w:color="auto"/>
          </w:divBdr>
        </w:div>
        <w:div w:id="1739133379">
          <w:marLeft w:val="0"/>
          <w:marRight w:val="0"/>
          <w:marTop w:val="100"/>
          <w:marBottom w:val="0"/>
          <w:divBdr>
            <w:top w:val="none" w:sz="0" w:space="0" w:color="auto"/>
            <w:left w:val="none" w:sz="0" w:space="0" w:color="auto"/>
            <w:bottom w:val="none" w:sz="0" w:space="0" w:color="auto"/>
            <w:right w:val="none" w:sz="0" w:space="0" w:color="auto"/>
          </w:divBdr>
        </w:div>
        <w:div w:id="1762330636">
          <w:marLeft w:val="0"/>
          <w:marRight w:val="0"/>
          <w:marTop w:val="100"/>
          <w:marBottom w:val="0"/>
          <w:divBdr>
            <w:top w:val="none" w:sz="0" w:space="0" w:color="auto"/>
            <w:left w:val="none" w:sz="0" w:space="0" w:color="auto"/>
            <w:bottom w:val="none" w:sz="0" w:space="0" w:color="auto"/>
            <w:right w:val="none" w:sz="0" w:space="0" w:color="auto"/>
          </w:divBdr>
        </w:div>
        <w:div w:id="2144691952">
          <w:marLeft w:val="0"/>
          <w:marRight w:val="0"/>
          <w:marTop w:val="100"/>
          <w:marBottom w:val="0"/>
          <w:divBdr>
            <w:top w:val="none" w:sz="0" w:space="0" w:color="auto"/>
            <w:left w:val="none" w:sz="0" w:space="0" w:color="auto"/>
            <w:bottom w:val="none" w:sz="0" w:space="0" w:color="auto"/>
            <w:right w:val="none" w:sz="0" w:space="0" w:color="auto"/>
          </w:divBdr>
        </w:div>
      </w:divsChild>
    </w:div>
    <w:div w:id="1198395843">
      <w:bodyDiv w:val="1"/>
      <w:marLeft w:val="0"/>
      <w:marRight w:val="0"/>
      <w:marTop w:val="0"/>
      <w:marBottom w:val="0"/>
      <w:divBdr>
        <w:top w:val="none" w:sz="0" w:space="0" w:color="auto"/>
        <w:left w:val="none" w:sz="0" w:space="0" w:color="auto"/>
        <w:bottom w:val="none" w:sz="0" w:space="0" w:color="auto"/>
        <w:right w:val="none" w:sz="0" w:space="0" w:color="auto"/>
      </w:divBdr>
      <w:divsChild>
        <w:div w:id="561673305">
          <w:marLeft w:val="547"/>
          <w:marRight w:val="0"/>
          <w:marTop w:val="0"/>
          <w:marBottom w:val="0"/>
          <w:divBdr>
            <w:top w:val="none" w:sz="0" w:space="0" w:color="auto"/>
            <w:left w:val="none" w:sz="0" w:space="0" w:color="auto"/>
            <w:bottom w:val="none" w:sz="0" w:space="0" w:color="auto"/>
            <w:right w:val="none" w:sz="0" w:space="0" w:color="auto"/>
          </w:divBdr>
        </w:div>
        <w:div w:id="1521623591">
          <w:marLeft w:val="547"/>
          <w:marRight w:val="0"/>
          <w:marTop w:val="0"/>
          <w:marBottom w:val="0"/>
          <w:divBdr>
            <w:top w:val="none" w:sz="0" w:space="0" w:color="auto"/>
            <w:left w:val="none" w:sz="0" w:space="0" w:color="auto"/>
            <w:bottom w:val="none" w:sz="0" w:space="0" w:color="auto"/>
            <w:right w:val="none" w:sz="0" w:space="0" w:color="auto"/>
          </w:divBdr>
        </w:div>
        <w:div w:id="1522552315">
          <w:marLeft w:val="547"/>
          <w:marRight w:val="0"/>
          <w:marTop w:val="0"/>
          <w:marBottom w:val="0"/>
          <w:divBdr>
            <w:top w:val="none" w:sz="0" w:space="0" w:color="auto"/>
            <w:left w:val="none" w:sz="0" w:space="0" w:color="auto"/>
            <w:bottom w:val="none" w:sz="0" w:space="0" w:color="auto"/>
            <w:right w:val="none" w:sz="0" w:space="0" w:color="auto"/>
          </w:divBdr>
        </w:div>
        <w:div w:id="1654486900">
          <w:marLeft w:val="547"/>
          <w:marRight w:val="0"/>
          <w:marTop w:val="0"/>
          <w:marBottom w:val="0"/>
          <w:divBdr>
            <w:top w:val="none" w:sz="0" w:space="0" w:color="auto"/>
            <w:left w:val="none" w:sz="0" w:space="0" w:color="auto"/>
            <w:bottom w:val="none" w:sz="0" w:space="0" w:color="auto"/>
            <w:right w:val="none" w:sz="0" w:space="0" w:color="auto"/>
          </w:divBdr>
        </w:div>
        <w:div w:id="2005082511">
          <w:marLeft w:val="547"/>
          <w:marRight w:val="0"/>
          <w:marTop w:val="0"/>
          <w:marBottom w:val="0"/>
          <w:divBdr>
            <w:top w:val="none" w:sz="0" w:space="0" w:color="auto"/>
            <w:left w:val="none" w:sz="0" w:space="0" w:color="auto"/>
            <w:bottom w:val="none" w:sz="0" w:space="0" w:color="auto"/>
            <w:right w:val="none" w:sz="0" w:space="0" w:color="auto"/>
          </w:divBdr>
        </w:div>
      </w:divsChild>
    </w:div>
    <w:div w:id="1202665018">
      <w:bodyDiv w:val="1"/>
      <w:marLeft w:val="0"/>
      <w:marRight w:val="0"/>
      <w:marTop w:val="0"/>
      <w:marBottom w:val="0"/>
      <w:divBdr>
        <w:top w:val="none" w:sz="0" w:space="0" w:color="auto"/>
        <w:left w:val="none" w:sz="0" w:space="0" w:color="auto"/>
        <w:bottom w:val="none" w:sz="0" w:space="0" w:color="auto"/>
        <w:right w:val="none" w:sz="0" w:space="0" w:color="auto"/>
      </w:divBdr>
      <w:divsChild>
        <w:div w:id="1970210488">
          <w:marLeft w:val="274"/>
          <w:marRight w:val="0"/>
          <w:marTop w:val="0"/>
          <w:marBottom w:val="0"/>
          <w:divBdr>
            <w:top w:val="none" w:sz="0" w:space="0" w:color="auto"/>
            <w:left w:val="none" w:sz="0" w:space="0" w:color="auto"/>
            <w:bottom w:val="none" w:sz="0" w:space="0" w:color="auto"/>
            <w:right w:val="none" w:sz="0" w:space="0" w:color="auto"/>
          </w:divBdr>
        </w:div>
      </w:divsChild>
    </w:div>
    <w:div w:id="1227764407">
      <w:bodyDiv w:val="1"/>
      <w:marLeft w:val="0"/>
      <w:marRight w:val="0"/>
      <w:marTop w:val="0"/>
      <w:marBottom w:val="0"/>
      <w:divBdr>
        <w:top w:val="none" w:sz="0" w:space="0" w:color="auto"/>
        <w:left w:val="none" w:sz="0" w:space="0" w:color="auto"/>
        <w:bottom w:val="none" w:sz="0" w:space="0" w:color="auto"/>
        <w:right w:val="none" w:sz="0" w:space="0" w:color="auto"/>
      </w:divBdr>
    </w:div>
    <w:div w:id="1245528813">
      <w:bodyDiv w:val="1"/>
      <w:marLeft w:val="0"/>
      <w:marRight w:val="0"/>
      <w:marTop w:val="0"/>
      <w:marBottom w:val="0"/>
      <w:divBdr>
        <w:top w:val="none" w:sz="0" w:space="0" w:color="auto"/>
        <w:left w:val="none" w:sz="0" w:space="0" w:color="auto"/>
        <w:bottom w:val="none" w:sz="0" w:space="0" w:color="auto"/>
        <w:right w:val="none" w:sz="0" w:space="0" w:color="auto"/>
      </w:divBdr>
    </w:div>
    <w:div w:id="1264680288">
      <w:bodyDiv w:val="1"/>
      <w:marLeft w:val="0"/>
      <w:marRight w:val="0"/>
      <w:marTop w:val="0"/>
      <w:marBottom w:val="0"/>
      <w:divBdr>
        <w:top w:val="none" w:sz="0" w:space="0" w:color="auto"/>
        <w:left w:val="none" w:sz="0" w:space="0" w:color="auto"/>
        <w:bottom w:val="none" w:sz="0" w:space="0" w:color="auto"/>
        <w:right w:val="none" w:sz="0" w:space="0" w:color="auto"/>
      </w:divBdr>
      <w:divsChild>
        <w:div w:id="167255358">
          <w:marLeft w:val="0"/>
          <w:marRight w:val="0"/>
          <w:marTop w:val="0"/>
          <w:marBottom w:val="0"/>
          <w:divBdr>
            <w:top w:val="none" w:sz="0" w:space="0" w:color="auto"/>
            <w:left w:val="none" w:sz="0" w:space="0" w:color="auto"/>
            <w:bottom w:val="none" w:sz="0" w:space="0" w:color="auto"/>
            <w:right w:val="none" w:sz="0" w:space="0" w:color="auto"/>
          </w:divBdr>
        </w:div>
        <w:div w:id="192227817">
          <w:marLeft w:val="0"/>
          <w:marRight w:val="0"/>
          <w:marTop w:val="0"/>
          <w:marBottom w:val="0"/>
          <w:divBdr>
            <w:top w:val="none" w:sz="0" w:space="0" w:color="auto"/>
            <w:left w:val="none" w:sz="0" w:space="0" w:color="auto"/>
            <w:bottom w:val="none" w:sz="0" w:space="0" w:color="auto"/>
            <w:right w:val="none" w:sz="0" w:space="0" w:color="auto"/>
          </w:divBdr>
        </w:div>
        <w:div w:id="381906419">
          <w:marLeft w:val="0"/>
          <w:marRight w:val="0"/>
          <w:marTop w:val="0"/>
          <w:marBottom w:val="0"/>
          <w:divBdr>
            <w:top w:val="none" w:sz="0" w:space="0" w:color="auto"/>
            <w:left w:val="none" w:sz="0" w:space="0" w:color="auto"/>
            <w:bottom w:val="none" w:sz="0" w:space="0" w:color="auto"/>
            <w:right w:val="none" w:sz="0" w:space="0" w:color="auto"/>
          </w:divBdr>
        </w:div>
        <w:div w:id="545146476">
          <w:marLeft w:val="0"/>
          <w:marRight w:val="0"/>
          <w:marTop w:val="0"/>
          <w:marBottom w:val="0"/>
          <w:divBdr>
            <w:top w:val="none" w:sz="0" w:space="0" w:color="auto"/>
            <w:left w:val="none" w:sz="0" w:space="0" w:color="auto"/>
            <w:bottom w:val="none" w:sz="0" w:space="0" w:color="auto"/>
            <w:right w:val="none" w:sz="0" w:space="0" w:color="auto"/>
          </w:divBdr>
        </w:div>
        <w:div w:id="569199082">
          <w:marLeft w:val="0"/>
          <w:marRight w:val="0"/>
          <w:marTop w:val="0"/>
          <w:marBottom w:val="0"/>
          <w:divBdr>
            <w:top w:val="none" w:sz="0" w:space="0" w:color="auto"/>
            <w:left w:val="none" w:sz="0" w:space="0" w:color="auto"/>
            <w:bottom w:val="none" w:sz="0" w:space="0" w:color="auto"/>
            <w:right w:val="none" w:sz="0" w:space="0" w:color="auto"/>
          </w:divBdr>
        </w:div>
        <w:div w:id="671957914">
          <w:marLeft w:val="0"/>
          <w:marRight w:val="0"/>
          <w:marTop w:val="0"/>
          <w:marBottom w:val="0"/>
          <w:divBdr>
            <w:top w:val="none" w:sz="0" w:space="0" w:color="auto"/>
            <w:left w:val="none" w:sz="0" w:space="0" w:color="auto"/>
            <w:bottom w:val="none" w:sz="0" w:space="0" w:color="auto"/>
            <w:right w:val="none" w:sz="0" w:space="0" w:color="auto"/>
          </w:divBdr>
        </w:div>
        <w:div w:id="672024985">
          <w:marLeft w:val="0"/>
          <w:marRight w:val="0"/>
          <w:marTop w:val="0"/>
          <w:marBottom w:val="0"/>
          <w:divBdr>
            <w:top w:val="none" w:sz="0" w:space="0" w:color="auto"/>
            <w:left w:val="none" w:sz="0" w:space="0" w:color="auto"/>
            <w:bottom w:val="none" w:sz="0" w:space="0" w:color="auto"/>
            <w:right w:val="none" w:sz="0" w:space="0" w:color="auto"/>
          </w:divBdr>
        </w:div>
        <w:div w:id="746921596">
          <w:marLeft w:val="0"/>
          <w:marRight w:val="0"/>
          <w:marTop w:val="0"/>
          <w:marBottom w:val="0"/>
          <w:divBdr>
            <w:top w:val="none" w:sz="0" w:space="0" w:color="auto"/>
            <w:left w:val="none" w:sz="0" w:space="0" w:color="auto"/>
            <w:bottom w:val="none" w:sz="0" w:space="0" w:color="auto"/>
            <w:right w:val="none" w:sz="0" w:space="0" w:color="auto"/>
          </w:divBdr>
        </w:div>
        <w:div w:id="777484741">
          <w:marLeft w:val="0"/>
          <w:marRight w:val="0"/>
          <w:marTop w:val="0"/>
          <w:marBottom w:val="0"/>
          <w:divBdr>
            <w:top w:val="none" w:sz="0" w:space="0" w:color="auto"/>
            <w:left w:val="none" w:sz="0" w:space="0" w:color="auto"/>
            <w:bottom w:val="none" w:sz="0" w:space="0" w:color="auto"/>
            <w:right w:val="none" w:sz="0" w:space="0" w:color="auto"/>
          </w:divBdr>
        </w:div>
        <w:div w:id="815876136">
          <w:marLeft w:val="0"/>
          <w:marRight w:val="0"/>
          <w:marTop w:val="0"/>
          <w:marBottom w:val="0"/>
          <w:divBdr>
            <w:top w:val="none" w:sz="0" w:space="0" w:color="auto"/>
            <w:left w:val="none" w:sz="0" w:space="0" w:color="auto"/>
            <w:bottom w:val="none" w:sz="0" w:space="0" w:color="auto"/>
            <w:right w:val="none" w:sz="0" w:space="0" w:color="auto"/>
          </w:divBdr>
        </w:div>
        <w:div w:id="1219171372">
          <w:marLeft w:val="0"/>
          <w:marRight w:val="0"/>
          <w:marTop w:val="0"/>
          <w:marBottom w:val="0"/>
          <w:divBdr>
            <w:top w:val="none" w:sz="0" w:space="0" w:color="auto"/>
            <w:left w:val="none" w:sz="0" w:space="0" w:color="auto"/>
            <w:bottom w:val="none" w:sz="0" w:space="0" w:color="auto"/>
            <w:right w:val="none" w:sz="0" w:space="0" w:color="auto"/>
          </w:divBdr>
        </w:div>
        <w:div w:id="1465736016">
          <w:marLeft w:val="0"/>
          <w:marRight w:val="0"/>
          <w:marTop w:val="0"/>
          <w:marBottom w:val="0"/>
          <w:divBdr>
            <w:top w:val="none" w:sz="0" w:space="0" w:color="auto"/>
            <w:left w:val="none" w:sz="0" w:space="0" w:color="auto"/>
            <w:bottom w:val="none" w:sz="0" w:space="0" w:color="auto"/>
            <w:right w:val="none" w:sz="0" w:space="0" w:color="auto"/>
          </w:divBdr>
        </w:div>
        <w:div w:id="1484008936">
          <w:marLeft w:val="0"/>
          <w:marRight w:val="0"/>
          <w:marTop w:val="0"/>
          <w:marBottom w:val="0"/>
          <w:divBdr>
            <w:top w:val="none" w:sz="0" w:space="0" w:color="auto"/>
            <w:left w:val="none" w:sz="0" w:space="0" w:color="auto"/>
            <w:bottom w:val="none" w:sz="0" w:space="0" w:color="auto"/>
            <w:right w:val="none" w:sz="0" w:space="0" w:color="auto"/>
          </w:divBdr>
        </w:div>
        <w:div w:id="1640838527">
          <w:marLeft w:val="0"/>
          <w:marRight w:val="0"/>
          <w:marTop w:val="0"/>
          <w:marBottom w:val="0"/>
          <w:divBdr>
            <w:top w:val="none" w:sz="0" w:space="0" w:color="auto"/>
            <w:left w:val="none" w:sz="0" w:space="0" w:color="auto"/>
            <w:bottom w:val="none" w:sz="0" w:space="0" w:color="auto"/>
            <w:right w:val="none" w:sz="0" w:space="0" w:color="auto"/>
          </w:divBdr>
        </w:div>
        <w:div w:id="1766421030">
          <w:marLeft w:val="0"/>
          <w:marRight w:val="0"/>
          <w:marTop w:val="0"/>
          <w:marBottom w:val="0"/>
          <w:divBdr>
            <w:top w:val="none" w:sz="0" w:space="0" w:color="auto"/>
            <w:left w:val="none" w:sz="0" w:space="0" w:color="auto"/>
            <w:bottom w:val="none" w:sz="0" w:space="0" w:color="auto"/>
            <w:right w:val="none" w:sz="0" w:space="0" w:color="auto"/>
          </w:divBdr>
        </w:div>
      </w:divsChild>
    </w:div>
    <w:div w:id="1268927767">
      <w:bodyDiv w:val="1"/>
      <w:marLeft w:val="0"/>
      <w:marRight w:val="0"/>
      <w:marTop w:val="0"/>
      <w:marBottom w:val="0"/>
      <w:divBdr>
        <w:top w:val="none" w:sz="0" w:space="0" w:color="auto"/>
        <w:left w:val="none" w:sz="0" w:space="0" w:color="auto"/>
        <w:bottom w:val="none" w:sz="0" w:space="0" w:color="auto"/>
        <w:right w:val="none" w:sz="0" w:space="0" w:color="auto"/>
      </w:divBdr>
      <w:divsChild>
        <w:div w:id="665864612">
          <w:marLeft w:val="547"/>
          <w:marRight w:val="0"/>
          <w:marTop w:val="86"/>
          <w:marBottom w:val="0"/>
          <w:divBdr>
            <w:top w:val="none" w:sz="0" w:space="0" w:color="auto"/>
            <w:left w:val="none" w:sz="0" w:space="0" w:color="auto"/>
            <w:bottom w:val="none" w:sz="0" w:space="0" w:color="auto"/>
            <w:right w:val="none" w:sz="0" w:space="0" w:color="auto"/>
          </w:divBdr>
        </w:div>
        <w:div w:id="677587821">
          <w:marLeft w:val="1166"/>
          <w:marRight w:val="0"/>
          <w:marTop w:val="86"/>
          <w:marBottom w:val="0"/>
          <w:divBdr>
            <w:top w:val="none" w:sz="0" w:space="0" w:color="auto"/>
            <w:left w:val="none" w:sz="0" w:space="0" w:color="auto"/>
            <w:bottom w:val="none" w:sz="0" w:space="0" w:color="auto"/>
            <w:right w:val="none" w:sz="0" w:space="0" w:color="auto"/>
          </w:divBdr>
        </w:div>
        <w:div w:id="708144621">
          <w:marLeft w:val="547"/>
          <w:marRight w:val="0"/>
          <w:marTop w:val="86"/>
          <w:marBottom w:val="0"/>
          <w:divBdr>
            <w:top w:val="none" w:sz="0" w:space="0" w:color="auto"/>
            <w:left w:val="none" w:sz="0" w:space="0" w:color="auto"/>
            <w:bottom w:val="none" w:sz="0" w:space="0" w:color="auto"/>
            <w:right w:val="none" w:sz="0" w:space="0" w:color="auto"/>
          </w:divBdr>
        </w:div>
        <w:div w:id="904101512">
          <w:marLeft w:val="547"/>
          <w:marRight w:val="0"/>
          <w:marTop w:val="86"/>
          <w:marBottom w:val="0"/>
          <w:divBdr>
            <w:top w:val="none" w:sz="0" w:space="0" w:color="auto"/>
            <w:left w:val="none" w:sz="0" w:space="0" w:color="auto"/>
            <w:bottom w:val="none" w:sz="0" w:space="0" w:color="auto"/>
            <w:right w:val="none" w:sz="0" w:space="0" w:color="auto"/>
          </w:divBdr>
        </w:div>
        <w:div w:id="1015225828">
          <w:marLeft w:val="547"/>
          <w:marRight w:val="0"/>
          <w:marTop w:val="86"/>
          <w:marBottom w:val="0"/>
          <w:divBdr>
            <w:top w:val="none" w:sz="0" w:space="0" w:color="auto"/>
            <w:left w:val="none" w:sz="0" w:space="0" w:color="auto"/>
            <w:bottom w:val="none" w:sz="0" w:space="0" w:color="auto"/>
            <w:right w:val="none" w:sz="0" w:space="0" w:color="auto"/>
          </w:divBdr>
        </w:div>
        <w:div w:id="1068378663">
          <w:marLeft w:val="547"/>
          <w:marRight w:val="0"/>
          <w:marTop w:val="86"/>
          <w:marBottom w:val="0"/>
          <w:divBdr>
            <w:top w:val="none" w:sz="0" w:space="0" w:color="auto"/>
            <w:left w:val="none" w:sz="0" w:space="0" w:color="auto"/>
            <w:bottom w:val="none" w:sz="0" w:space="0" w:color="auto"/>
            <w:right w:val="none" w:sz="0" w:space="0" w:color="auto"/>
          </w:divBdr>
        </w:div>
        <w:div w:id="1238705495">
          <w:marLeft w:val="1166"/>
          <w:marRight w:val="0"/>
          <w:marTop w:val="86"/>
          <w:marBottom w:val="0"/>
          <w:divBdr>
            <w:top w:val="none" w:sz="0" w:space="0" w:color="auto"/>
            <w:left w:val="none" w:sz="0" w:space="0" w:color="auto"/>
            <w:bottom w:val="none" w:sz="0" w:space="0" w:color="auto"/>
            <w:right w:val="none" w:sz="0" w:space="0" w:color="auto"/>
          </w:divBdr>
        </w:div>
        <w:div w:id="2033220641">
          <w:marLeft w:val="547"/>
          <w:marRight w:val="0"/>
          <w:marTop w:val="86"/>
          <w:marBottom w:val="0"/>
          <w:divBdr>
            <w:top w:val="none" w:sz="0" w:space="0" w:color="auto"/>
            <w:left w:val="none" w:sz="0" w:space="0" w:color="auto"/>
            <w:bottom w:val="none" w:sz="0" w:space="0" w:color="auto"/>
            <w:right w:val="none" w:sz="0" w:space="0" w:color="auto"/>
          </w:divBdr>
        </w:div>
        <w:div w:id="2065519536">
          <w:marLeft w:val="1166"/>
          <w:marRight w:val="0"/>
          <w:marTop w:val="86"/>
          <w:marBottom w:val="0"/>
          <w:divBdr>
            <w:top w:val="none" w:sz="0" w:space="0" w:color="auto"/>
            <w:left w:val="none" w:sz="0" w:space="0" w:color="auto"/>
            <w:bottom w:val="none" w:sz="0" w:space="0" w:color="auto"/>
            <w:right w:val="none" w:sz="0" w:space="0" w:color="auto"/>
          </w:divBdr>
        </w:div>
      </w:divsChild>
    </w:div>
    <w:div w:id="1294674103">
      <w:bodyDiv w:val="1"/>
      <w:marLeft w:val="0"/>
      <w:marRight w:val="0"/>
      <w:marTop w:val="0"/>
      <w:marBottom w:val="0"/>
      <w:divBdr>
        <w:top w:val="none" w:sz="0" w:space="0" w:color="auto"/>
        <w:left w:val="none" w:sz="0" w:space="0" w:color="auto"/>
        <w:bottom w:val="none" w:sz="0" w:space="0" w:color="auto"/>
        <w:right w:val="none" w:sz="0" w:space="0" w:color="auto"/>
      </w:divBdr>
    </w:div>
    <w:div w:id="1298149913">
      <w:bodyDiv w:val="1"/>
      <w:marLeft w:val="0"/>
      <w:marRight w:val="0"/>
      <w:marTop w:val="0"/>
      <w:marBottom w:val="0"/>
      <w:divBdr>
        <w:top w:val="none" w:sz="0" w:space="0" w:color="auto"/>
        <w:left w:val="none" w:sz="0" w:space="0" w:color="auto"/>
        <w:bottom w:val="none" w:sz="0" w:space="0" w:color="auto"/>
        <w:right w:val="none" w:sz="0" w:space="0" w:color="auto"/>
      </w:divBdr>
    </w:div>
    <w:div w:id="1346320917">
      <w:bodyDiv w:val="1"/>
      <w:marLeft w:val="0"/>
      <w:marRight w:val="0"/>
      <w:marTop w:val="0"/>
      <w:marBottom w:val="0"/>
      <w:divBdr>
        <w:top w:val="none" w:sz="0" w:space="0" w:color="auto"/>
        <w:left w:val="none" w:sz="0" w:space="0" w:color="auto"/>
        <w:bottom w:val="none" w:sz="0" w:space="0" w:color="auto"/>
        <w:right w:val="none" w:sz="0" w:space="0" w:color="auto"/>
      </w:divBdr>
    </w:div>
    <w:div w:id="1355114147">
      <w:bodyDiv w:val="1"/>
      <w:marLeft w:val="0"/>
      <w:marRight w:val="0"/>
      <w:marTop w:val="0"/>
      <w:marBottom w:val="0"/>
      <w:divBdr>
        <w:top w:val="none" w:sz="0" w:space="0" w:color="auto"/>
        <w:left w:val="none" w:sz="0" w:space="0" w:color="auto"/>
        <w:bottom w:val="none" w:sz="0" w:space="0" w:color="auto"/>
        <w:right w:val="none" w:sz="0" w:space="0" w:color="auto"/>
      </w:divBdr>
    </w:div>
    <w:div w:id="1386904257">
      <w:bodyDiv w:val="1"/>
      <w:marLeft w:val="0"/>
      <w:marRight w:val="0"/>
      <w:marTop w:val="0"/>
      <w:marBottom w:val="0"/>
      <w:divBdr>
        <w:top w:val="none" w:sz="0" w:space="0" w:color="auto"/>
        <w:left w:val="none" w:sz="0" w:space="0" w:color="auto"/>
        <w:bottom w:val="none" w:sz="0" w:space="0" w:color="auto"/>
        <w:right w:val="none" w:sz="0" w:space="0" w:color="auto"/>
      </w:divBdr>
    </w:div>
    <w:div w:id="1414009330">
      <w:bodyDiv w:val="1"/>
      <w:marLeft w:val="0"/>
      <w:marRight w:val="0"/>
      <w:marTop w:val="0"/>
      <w:marBottom w:val="0"/>
      <w:divBdr>
        <w:top w:val="none" w:sz="0" w:space="0" w:color="auto"/>
        <w:left w:val="none" w:sz="0" w:space="0" w:color="auto"/>
        <w:bottom w:val="none" w:sz="0" w:space="0" w:color="auto"/>
        <w:right w:val="none" w:sz="0" w:space="0" w:color="auto"/>
      </w:divBdr>
    </w:div>
    <w:div w:id="1443106389">
      <w:bodyDiv w:val="1"/>
      <w:marLeft w:val="0"/>
      <w:marRight w:val="0"/>
      <w:marTop w:val="0"/>
      <w:marBottom w:val="0"/>
      <w:divBdr>
        <w:top w:val="none" w:sz="0" w:space="0" w:color="auto"/>
        <w:left w:val="none" w:sz="0" w:space="0" w:color="auto"/>
        <w:bottom w:val="none" w:sz="0" w:space="0" w:color="auto"/>
        <w:right w:val="none" w:sz="0" w:space="0" w:color="auto"/>
      </w:divBdr>
    </w:div>
    <w:div w:id="1444614831">
      <w:bodyDiv w:val="1"/>
      <w:marLeft w:val="0"/>
      <w:marRight w:val="0"/>
      <w:marTop w:val="0"/>
      <w:marBottom w:val="0"/>
      <w:divBdr>
        <w:top w:val="none" w:sz="0" w:space="0" w:color="auto"/>
        <w:left w:val="none" w:sz="0" w:space="0" w:color="auto"/>
        <w:bottom w:val="none" w:sz="0" w:space="0" w:color="auto"/>
        <w:right w:val="none" w:sz="0" w:space="0" w:color="auto"/>
      </w:divBdr>
    </w:div>
    <w:div w:id="1459255196">
      <w:bodyDiv w:val="1"/>
      <w:marLeft w:val="0"/>
      <w:marRight w:val="0"/>
      <w:marTop w:val="0"/>
      <w:marBottom w:val="0"/>
      <w:divBdr>
        <w:top w:val="none" w:sz="0" w:space="0" w:color="auto"/>
        <w:left w:val="none" w:sz="0" w:space="0" w:color="auto"/>
        <w:bottom w:val="none" w:sz="0" w:space="0" w:color="auto"/>
        <w:right w:val="none" w:sz="0" w:space="0" w:color="auto"/>
      </w:divBdr>
    </w:div>
    <w:div w:id="1462074304">
      <w:bodyDiv w:val="1"/>
      <w:marLeft w:val="0"/>
      <w:marRight w:val="0"/>
      <w:marTop w:val="0"/>
      <w:marBottom w:val="0"/>
      <w:divBdr>
        <w:top w:val="none" w:sz="0" w:space="0" w:color="auto"/>
        <w:left w:val="none" w:sz="0" w:space="0" w:color="auto"/>
        <w:bottom w:val="none" w:sz="0" w:space="0" w:color="auto"/>
        <w:right w:val="none" w:sz="0" w:space="0" w:color="auto"/>
      </w:divBdr>
    </w:div>
    <w:div w:id="1465465412">
      <w:bodyDiv w:val="1"/>
      <w:marLeft w:val="0"/>
      <w:marRight w:val="0"/>
      <w:marTop w:val="0"/>
      <w:marBottom w:val="0"/>
      <w:divBdr>
        <w:top w:val="none" w:sz="0" w:space="0" w:color="auto"/>
        <w:left w:val="none" w:sz="0" w:space="0" w:color="auto"/>
        <w:bottom w:val="none" w:sz="0" w:space="0" w:color="auto"/>
        <w:right w:val="none" w:sz="0" w:space="0" w:color="auto"/>
      </w:divBdr>
    </w:div>
    <w:div w:id="1466048622">
      <w:bodyDiv w:val="1"/>
      <w:marLeft w:val="0"/>
      <w:marRight w:val="0"/>
      <w:marTop w:val="0"/>
      <w:marBottom w:val="0"/>
      <w:divBdr>
        <w:top w:val="none" w:sz="0" w:space="0" w:color="auto"/>
        <w:left w:val="none" w:sz="0" w:space="0" w:color="auto"/>
        <w:bottom w:val="none" w:sz="0" w:space="0" w:color="auto"/>
        <w:right w:val="none" w:sz="0" w:space="0" w:color="auto"/>
      </w:divBdr>
    </w:div>
    <w:div w:id="1468164287">
      <w:bodyDiv w:val="1"/>
      <w:marLeft w:val="0"/>
      <w:marRight w:val="0"/>
      <w:marTop w:val="0"/>
      <w:marBottom w:val="0"/>
      <w:divBdr>
        <w:top w:val="none" w:sz="0" w:space="0" w:color="auto"/>
        <w:left w:val="none" w:sz="0" w:space="0" w:color="auto"/>
        <w:bottom w:val="none" w:sz="0" w:space="0" w:color="auto"/>
        <w:right w:val="none" w:sz="0" w:space="0" w:color="auto"/>
      </w:divBdr>
    </w:div>
    <w:div w:id="1494370941">
      <w:bodyDiv w:val="1"/>
      <w:marLeft w:val="0"/>
      <w:marRight w:val="0"/>
      <w:marTop w:val="0"/>
      <w:marBottom w:val="0"/>
      <w:divBdr>
        <w:top w:val="none" w:sz="0" w:space="0" w:color="auto"/>
        <w:left w:val="none" w:sz="0" w:space="0" w:color="auto"/>
        <w:bottom w:val="none" w:sz="0" w:space="0" w:color="auto"/>
        <w:right w:val="none" w:sz="0" w:space="0" w:color="auto"/>
      </w:divBdr>
    </w:div>
    <w:div w:id="1514108995">
      <w:bodyDiv w:val="1"/>
      <w:marLeft w:val="0"/>
      <w:marRight w:val="0"/>
      <w:marTop w:val="0"/>
      <w:marBottom w:val="0"/>
      <w:divBdr>
        <w:top w:val="none" w:sz="0" w:space="0" w:color="auto"/>
        <w:left w:val="none" w:sz="0" w:space="0" w:color="auto"/>
        <w:bottom w:val="none" w:sz="0" w:space="0" w:color="auto"/>
        <w:right w:val="none" w:sz="0" w:space="0" w:color="auto"/>
      </w:divBdr>
      <w:divsChild>
        <w:div w:id="1225146088">
          <w:marLeft w:val="274"/>
          <w:marRight w:val="0"/>
          <w:marTop w:val="0"/>
          <w:marBottom w:val="0"/>
          <w:divBdr>
            <w:top w:val="none" w:sz="0" w:space="0" w:color="auto"/>
            <w:left w:val="none" w:sz="0" w:space="0" w:color="auto"/>
            <w:bottom w:val="none" w:sz="0" w:space="0" w:color="auto"/>
            <w:right w:val="none" w:sz="0" w:space="0" w:color="auto"/>
          </w:divBdr>
        </w:div>
      </w:divsChild>
    </w:div>
    <w:div w:id="1522284062">
      <w:bodyDiv w:val="1"/>
      <w:marLeft w:val="0"/>
      <w:marRight w:val="0"/>
      <w:marTop w:val="0"/>
      <w:marBottom w:val="0"/>
      <w:divBdr>
        <w:top w:val="none" w:sz="0" w:space="0" w:color="auto"/>
        <w:left w:val="none" w:sz="0" w:space="0" w:color="auto"/>
        <w:bottom w:val="none" w:sz="0" w:space="0" w:color="auto"/>
        <w:right w:val="none" w:sz="0" w:space="0" w:color="auto"/>
      </w:divBdr>
    </w:div>
    <w:div w:id="1544946074">
      <w:bodyDiv w:val="1"/>
      <w:marLeft w:val="0"/>
      <w:marRight w:val="0"/>
      <w:marTop w:val="0"/>
      <w:marBottom w:val="0"/>
      <w:divBdr>
        <w:top w:val="none" w:sz="0" w:space="0" w:color="auto"/>
        <w:left w:val="none" w:sz="0" w:space="0" w:color="auto"/>
        <w:bottom w:val="none" w:sz="0" w:space="0" w:color="auto"/>
        <w:right w:val="none" w:sz="0" w:space="0" w:color="auto"/>
      </w:divBdr>
    </w:div>
    <w:div w:id="1564834838">
      <w:bodyDiv w:val="1"/>
      <w:marLeft w:val="0"/>
      <w:marRight w:val="0"/>
      <w:marTop w:val="0"/>
      <w:marBottom w:val="0"/>
      <w:divBdr>
        <w:top w:val="none" w:sz="0" w:space="0" w:color="auto"/>
        <w:left w:val="none" w:sz="0" w:space="0" w:color="auto"/>
        <w:bottom w:val="none" w:sz="0" w:space="0" w:color="auto"/>
        <w:right w:val="none" w:sz="0" w:space="0" w:color="auto"/>
      </w:divBdr>
    </w:div>
    <w:div w:id="1578321098">
      <w:bodyDiv w:val="1"/>
      <w:marLeft w:val="0"/>
      <w:marRight w:val="0"/>
      <w:marTop w:val="0"/>
      <w:marBottom w:val="0"/>
      <w:divBdr>
        <w:top w:val="none" w:sz="0" w:space="0" w:color="auto"/>
        <w:left w:val="none" w:sz="0" w:space="0" w:color="auto"/>
        <w:bottom w:val="none" w:sz="0" w:space="0" w:color="auto"/>
        <w:right w:val="none" w:sz="0" w:space="0" w:color="auto"/>
      </w:divBdr>
    </w:div>
    <w:div w:id="1582376475">
      <w:bodyDiv w:val="1"/>
      <w:marLeft w:val="0"/>
      <w:marRight w:val="0"/>
      <w:marTop w:val="0"/>
      <w:marBottom w:val="0"/>
      <w:divBdr>
        <w:top w:val="none" w:sz="0" w:space="0" w:color="auto"/>
        <w:left w:val="none" w:sz="0" w:space="0" w:color="auto"/>
        <w:bottom w:val="none" w:sz="0" w:space="0" w:color="auto"/>
        <w:right w:val="none" w:sz="0" w:space="0" w:color="auto"/>
      </w:divBdr>
      <w:divsChild>
        <w:div w:id="125780320">
          <w:marLeft w:val="446"/>
          <w:marRight w:val="0"/>
          <w:marTop w:val="0"/>
          <w:marBottom w:val="0"/>
          <w:divBdr>
            <w:top w:val="none" w:sz="0" w:space="0" w:color="auto"/>
            <w:left w:val="none" w:sz="0" w:space="0" w:color="auto"/>
            <w:bottom w:val="none" w:sz="0" w:space="0" w:color="auto"/>
            <w:right w:val="none" w:sz="0" w:space="0" w:color="auto"/>
          </w:divBdr>
        </w:div>
        <w:div w:id="299002234">
          <w:marLeft w:val="446"/>
          <w:marRight w:val="0"/>
          <w:marTop w:val="0"/>
          <w:marBottom w:val="0"/>
          <w:divBdr>
            <w:top w:val="none" w:sz="0" w:space="0" w:color="auto"/>
            <w:left w:val="none" w:sz="0" w:space="0" w:color="auto"/>
            <w:bottom w:val="none" w:sz="0" w:space="0" w:color="auto"/>
            <w:right w:val="none" w:sz="0" w:space="0" w:color="auto"/>
          </w:divBdr>
        </w:div>
        <w:div w:id="358506294">
          <w:marLeft w:val="446"/>
          <w:marRight w:val="0"/>
          <w:marTop w:val="0"/>
          <w:marBottom w:val="0"/>
          <w:divBdr>
            <w:top w:val="none" w:sz="0" w:space="0" w:color="auto"/>
            <w:left w:val="none" w:sz="0" w:space="0" w:color="auto"/>
            <w:bottom w:val="none" w:sz="0" w:space="0" w:color="auto"/>
            <w:right w:val="none" w:sz="0" w:space="0" w:color="auto"/>
          </w:divBdr>
        </w:div>
        <w:div w:id="420416475">
          <w:marLeft w:val="446"/>
          <w:marRight w:val="0"/>
          <w:marTop w:val="0"/>
          <w:marBottom w:val="0"/>
          <w:divBdr>
            <w:top w:val="none" w:sz="0" w:space="0" w:color="auto"/>
            <w:left w:val="none" w:sz="0" w:space="0" w:color="auto"/>
            <w:bottom w:val="none" w:sz="0" w:space="0" w:color="auto"/>
            <w:right w:val="none" w:sz="0" w:space="0" w:color="auto"/>
          </w:divBdr>
        </w:div>
        <w:div w:id="1090008652">
          <w:marLeft w:val="446"/>
          <w:marRight w:val="0"/>
          <w:marTop w:val="0"/>
          <w:marBottom w:val="0"/>
          <w:divBdr>
            <w:top w:val="none" w:sz="0" w:space="0" w:color="auto"/>
            <w:left w:val="none" w:sz="0" w:space="0" w:color="auto"/>
            <w:bottom w:val="none" w:sz="0" w:space="0" w:color="auto"/>
            <w:right w:val="none" w:sz="0" w:space="0" w:color="auto"/>
          </w:divBdr>
        </w:div>
        <w:div w:id="1373846898">
          <w:marLeft w:val="446"/>
          <w:marRight w:val="0"/>
          <w:marTop w:val="0"/>
          <w:marBottom w:val="0"/>
          <w:divBdr>
            <w:top w:val="none" w:sz="0" w:space="0" w:color="auto"/>
            <w:left w:val="none" w:sz="0" w:space="0" w:color="auto"/>
            <w:bottom w:val="none" w:sz="0" w:space="0" w:color="auto"/>
            <w:right w:val="none" w:sz="0" w:space="0" w:color="auto"/>
          </w:divBdr>
        </w:div>
      </w:divsChild>
    </w:div>
    <w:div w:id="1599023617">
      <w:bodyDiv w:val="1"/>
      <w:marLeft w:val="0"/>
      <w:marRight w:val="0"/>
      <w:marTop w:val="0"/>
      <w:marBottom w:val="0"/>
      <w:divBdr>
        <w:top w:val="none" w:sz="0" w:space="0" w:color="auto"/>
        <w:left w:val="none" w:sz="0" w:space="0" w:color="auto"/>
        <w:bottom w:val="none" w:sz="0" w:space="0" w:color="auto"/>
        <w:right w:val="none" w:sz="0" w:space="0" w:color="auto"/>
      </w:divBdr>
      <w:divsChild>
        <w:div w:id="111369206">
          <w:marLeft w:val="0"/>
          <w:marRight w:val="0"/>
          <w:marTop w:val="0"/>
          <w:marBottom w:val="0"/>
          <w:divBdr>
            <w:top w:val="none" w:sz="0" w:space="0" w:color="auto"/>
            <w:left w:val="none" w:sz="0" w:space="0" w:color="auto"/>
            <w:bottom w:val="none" w:sz="0" w:space="0" w:color="auto"/>
            <w:right w:val="none" w:sz="0" w:space="0" w:color="auto"/>
          </w:divBdr>
        </w:div>
        <w:div w:id="194774538">
          <w:marLeft w:val="0"/>
          <w:marRight w:val="0"/>
          <w:marTop w:val="0"/>
          <w:marBottom w:val="0"/>
          <w:divBdr>
            <w:top w:val="none" w:sz="0" w:space="0" w:color="auto"/>
            <w:left w:val="none" w:sz="0" w:space="0" w:color="auto"/>
            <w:bottom w:val="none" w:sz="0" w:space="0" w:color="auto"/>
            <w:right w:val="none" w:sz="0" w:space="0" w:color="auto"/>
          </w:divBdr>
        </w:div>
        <w:div w:id="196819562">
          <w:marLeft w:val="0"/>
          <w:marRight w:val="0"/>
          <w:marTop w:val="0"/>
          <w:marBottom w:val="0"/>
          <w:divBdr>
            <w:top w:val="none" w:sz="0" w:space="0" w:color="auto"/>
            <w:left w:val="none" w:sz="0" w:space="0" w:color="auto"/>
            <w:bottom w:val="none" w:sz="0" w:space="0" w:color="auto"/>
            <w:right w:val="none" w:sz="0" w:space="0" w:color="auto"/>
          </w:divBdr>
        </w:div>
        <w:div w:id="200871547">
          <w:marLeft w:val="0"/>
          <w:marRight w:val="0"/>
          <w:marTop w:val="0"/>
          <w:marBottom w:val="0"/>
          <w:divBdr>
            <w:top w:val="none" w:sz="0" w:space="0" w:color="auto"/>
            <w:left w:val="none" w:sz="0" w:space="0" w:color="auto"/>
            <w:bottom w:val="none" w:sz="0" w:space="0" w:color="auto"/>
            <w:right w:val="none" w:sz="0" w:space="0" w:color="auto"/>
          </w:divBdr>
        </w:div>
        <w:div w:id="209072128">
          <w:marLeft w:val="0"/>
          <w:marRight w:val="0"/>
          <w:marTop w:val="0"/>
          <w:marBottom w:val="0"/>
          <w:divBdr>
            <w:top w:val="none" w:sz="0" w:space="0" w:color="auto"/>
            <w:left w:val="none" w:sz="0" w:space="0" w:color="auto"/>
            <w:bottom w:val="none" w:sz="0" w:space="0" w:color="auto"/>
            <w:right w:val="none" w:sz="0" w:space="0" w:color="auto"/>
          </w:divBdr>
        </w:div>
        <w:div w:id="260191228">
          <w:marLeft w:val="0"/>
          <w:marRight w:val="0"/>
          <w:marTop w:val="0"/>
          <w:marBottom w:val="0"/>
          <w:divBdr>
            <w:top w:val="none" w:sz="0" w:space="0" w:color="auto"/>
            <w:left w:val="none" w:sz="0" w:space="0" w:color="auto"/>
            <w:bottom w:val="none" w:sz="0" w:space="0" w:color="auto"/>
            <w:right w:val="none" w:sz="0" w:space="0" w:color="auto"/>
          </w:divBdr>
        </w:div>
        <w:div w:id="349650342">
          <w:marLeft w:val="0"/>
          <w:marRight w:val="0"/>
          <w:marTop w:val="0"/>
          <w:marBottom w:val="0"/>
          <w:divBdr>
            <w:top w:val="none" w:sz="0" w:space="0" w:color="auto"/>
            <w:left w:val="none" w:sz="0" w:space="0" w:color="auto"/>
            <w:bottom w:val="none" w:sz="0" w:space="0" w:color="auto"/>
            <w:right w:val="none" w:sz="0" w:space="0" w:color="auto"/>
          </w:divBdr>
        </w:div>
        <w:div w:id="351878500">
          <w:marLeft w:val="0"/>
          <w:marRight w:val="0"/>
          <w:marTop w:val="0"/>
          <w:marBottom w:val="0"/>
          <w:divBdr>
            <w:top w:val="none" w:sz="0" w:space="0" w:color="auto"/>
            <w:left w:val="none" w:sz="0" w:space="0" w:color="auto"/>
            <w:bottom w:val="none" w:sz="0" w:space="0" w:color="auto"/>
            <w:right w:val="none" w:sz="0" w:space="0" w:color="auto"/>
          </w:divBdr>
        </w:div>
        <w:div w:id="373584900">
          <w:marLeft w:val="0"/>
          <w:marRight w:val="0"/>
          <w:marTop w:val="0"/>
          <w:marBottom w:val="0"/>
          <w:divBdr>
            <w:top w:val="none" w:sz="0" w:space="0" w:color="auto"/>
            <w:left w:val="none" w:sz="0" w:space="0" w:color="auto"/>
            <w:bottom w:val="none" w:sz="0" w:space="0" w:color="auto"/>
            <w:right w:val="none" w:sz="0" w:space="0" w:color="auto"/>
          </w:divBdr>
        </w:div>
        <w:div w:id="392048192">
          <w:marLeft w:val="0"/>
          <w:marRight w:val="0"/>
          <w:marTop w:val="0"/>
          <w:marBottom w:val="0"/>
          <w:divBdr>
            <w:top w:val="none" w:sz="0" w:space="0" w:color="auto"/>
            <w:left w:val="none" w:sz="0" w:space="0" w:color="auto"/>
            <w:bottom w:val="none" w:sz="0" w:space="0" w:color="auto"/>
            <w:right w:val="none" w:sz="0" w:space="0" w:color="auto"/>
          </w:divBdr>
        </w:div>
        <w:div w:id="561984033">
          <w:marLeft w:val="0"/>
          <w:marRight w:val="0"/>
          <w:marTop w:val="0"/>
          <w:marBottom w:val="0"/>
          <w:divBdr>
            <w:top w:val="none" w:sz="0" w:space="0" w:color="auto"/>
            <w:left w:val="none" w:sz="0" w:space="0" w:color="auto"/>
            <w:bottom w:val="none" w:sz="0" w:space="0" w:color="auto"/>
            <w:right w:val="none" w:sz="0" w:space="0" w:color="auto"/>
          </w:divBdr>
        </w:div>
        <w:div w:id="671614425">
          <w:marLeft w:val="0"/>
          <w:marRight w:val="0"/>
          <w:marTop w:val="0"/>
          <w:marBottom w:val="0"/>
          <w:divBdr>
            <w:top w:val="none" w:sz="0" w:space="0" w:color="auto"/>
            <w:left w:val="none" w:sz="0" w:space="0" w:color="auto"/>
            <w:bottom w:val="none" w:sz="0" w:space="0" w:color="auto"/>
            <w:right w:val="none" w:sz="0" w:space="0" w:color="auto"/>
          </w:divBdr>
        </w:div>
        <w:div w:id="794518946">
          <w:marLeft w:val="0"/>
          <w:marRight w:val="0"/>
          <w:marTop w:val="0"/>
          <w:marBottom w:val="0"/>
          <w:divBdr>
            <w:top w:val="none" w:sz="0" w:space="0" w:color="auto"/>
            <w:left w:val="none" w:sz="0" w:space="0" w:color="auto"/>
            <w:bottom w:val="none" w:sz="0" w:space="0" w:color="auto"/>
            <w:right w:val="none" w:sz="0" w:space="0" w:color="auto"/>
          </w:divBdr>
        </w:div>
        <w:div w:id="823355225">
          <w:marLeft w:val="0"/>
          <w:marRight w:val="0"/>
          <w:marTop w:val="0"/>
          <w:marBottom w:val="0"/>
          <w:divBdr>
            <w:top w:val="none" w:sz="0" w:space="0" w:color="auto"/>
            <w:left w:val="none" w:sz="0" w:space="0" w:color="auto"/>
            <w:bottom w:val="none" w:sz="0" w:space="0" w:color="auto"/>
            <w:right w:val="none" w:sz="0" w:space="0" w:color="auto"/>
          </w:divBdr>
        </w:div>
        <w:div w:id="823357297">
          <w:marLeft w:val="0"/>
          <w:marRight w:val="0"/>
          <w:marTop w:val="0"/>
          <w:marBottom w:val="0"/>
          <w:divBdr>
            <w:top w:val="none" w:sz="0" w:space="0" w:color="auto"/>
            <w:left w:val="none" w:sz="0" w:space="0" w:color="auto"/>
            <w:bottom w:val="none" w:sz="0" w:space="0" w:color="auto"/>
            <w:right w:val="none" w:sz="0" w:space="0" w:color="auto"/>
          </w:divBdr>
        </w:div>
        <w:div w:id="967316303">
          <w:marLeft w:val="0"/>
          <w:marRight w:val="0"/>
          <w:marTop w:val="0"/>
          <w:marBottom w:val="0"/>
          <w:divBdr>
            <w:top w:val="none" w:sz="0" w:space="0" w:color="auto"/>
            <w:left w:val="none" w:sz="0" w:space="0" w:color="auto"/>
            <w:bottom w:val="none" w:sz="0" w:space="0" w:color="auto"/>
            <w:right w:val="none" w:sz="0" w:space="0" w:color="auto"/>
          </w:divBdr>
        </w:div>
        <w:div w:id="1008142822">
          <w:marLeft w:val="0"/>
          <w:marRight w:val="0"/>
          <w:marTop w:val="0"/>
          <w:marBottom w:val="0"/>
          <w:divBdr>
            <w:top w:val="none" w:sz="0" w:space="0" w:color="auto"/>
            <w:left w:val="none" w:sz="0" w:space="0" w:color="auto"/>
            <w:bottom w:val="none" w:sz="0" w:space="0" w:color="auto"/>
            <w:right w:val="none" w:sz="0" w:space="0" w:color="auto"/>
          </w:divBdr>
        </w:div>
        <w:div w:id="1205485789">
          <w:marLeft w:val="0"/>
          <w:marRight w:val="0"/>
          <w:marTop w:val="0"/>
          <w:marBottom w:val="0"/>
          <w:divBdr>
            <w:top w:val="none" w:sz="0" w:space="0" w:color="auto"/>
            <w:left w:val="none" w:sz="0" w:space="0" w:color="auto"/>
            <w:bottom w:val="none" w:sz="0" w:space="0" w:color="auto"/>
            <w:right w:val="none" w:sz="0" w:space="0" w:color="auto"/>
          </w:divBdr>
        </w:div>
        <w:div w:id="1251084282">
          <w:marLeft w:val="0"/>
          <w:marRight w:val="0"/>
          <w:marTop w:val="0"/>
          <w:marBottom w:val="0"/>
          <w:divBdr>
            <w:top w:val="none" w:sz="0" w:space="0" w:color="auto"/>
            <w:left w:val="none" w:sz="0" w:space="0" w:color="auto"/>
            <w:bottom w:val="none" w:sz="0" w:space="0" w:color="auto"/>
            <w:right w:val="none" w:sz="0" w:space="0" w:color="auto"/>
          </w:divBdr>
        </w:div>
        <w:div w:id="1533304375">
          <w:marLeft w:val="0"/>
          <w:marRight w:val="0"/>
          <w:marTop w:val="0"/>
          <w:marBottom w:val="0"/>
          <w:divBdr>
            <w:top w:val="none" w:sz="0" w:space="0" w:color="auto"/>
            <w:left w:val="none" w:sz="0" w:space="0" w:color="auto"/>
            <w:bottom w:val="none" w:sz="0" w:space="0" w:color="auto"/>
            <w:right w:val="none" w:sz="0" w:space="0" w:color="auto"/>
          </w:divBdr>
        </w:div>
        <w:div w:id="1606225831">
          <w:marLeft w:val="0"/>
          <w:marRight w:val="0"/>
          <w:marTop w:val="0"/>
          <w:marBottom w:val="0"/>
          <w:divBdr>
            <w:top w:val="none" w:sz="0" w:space="0" w:color="auto"/>
            <w:left w:val="none" w:sz="0" w:space="0" w:color="auto"/>
            <w:bottom w:val="none" w:sz="0" w:space="0" w:color="auto"/>
            <w:right w:val="none" w:sz="0" w:space="0" w:color="auto"/>
          </w:divBdr>
        </w:div>
        <w:div w:id="1755130921">
          <w:marLeft w:val="0"/>
          <w:marRight w:val="0"/>
          <w:marTop w:val="0"/>
          <w:marBottom w:val="0"/>
          <w:divBdr>
            <w:top w:val="none" w:sz="0" w:space="0" w:color="auto"/>
            <w:left w:val="none" w:sz="0" w:space="0" w:color="auto"/>
            <w:bottom w:val="none" w:sz="0" w:space="0" w:color="auto"/>
            <w:right w:val="none" w:sz="0" w:space="0" w:color="auto"/>
          </w:divBdr>
        </w:div>
        <w:div w:id="1813330831">
          <w:marLeft w:val="0"/>
          <w:marRight w:val="0"/>
          <w:marTop w:val="0"/>
          <w:marBottom w:val="0"/>
          <w:divBdr>
            <w:top w:val="none" w:sz="0" w:space="0" w:color="auto"/>
            <w:left w:val="none" w:sz="0" w:space="0" w:color="auto"/>
            <w:bottom w:val="none" w:sz="0" w:space="0" w:color="auto"/>
            <w:right w:val="none" w:sz="0" w:space="0" w:color="auto"/>
          </w:divBdr>
        </w:div>
        <w:div w:id="1884436591">
          <w:marLeft w:val="0"/>
          <w:marRight w:val="0"/>
          <w:marTop w:val="0"/>
          <w:marBottom w:val="0"/>
          <w:divBdr>
            <w:top w:val="none" w:sz="0" w:space="0" w:color="auto"/>
            <w:left w:val="none" w:sz="0" w:space="0" w:color="auto"/>
            <w:bottom w:val="none" w:sz="0" w:space="0" w:color="auto"/>
            <w:right w:val="none" w:sz="0" w:space="0" w:color="auto"/>
          </w:divBdr>
        </w:div>
        <w:div w:id="1902254645">
          <w:marLeft w:val="0"/>
          <w:marRight w:val="0"/>
          <w:marTop w:val="0"/>
          <w:marBottom w:val="0"/>
          <w:divBdr>
            <w:top w:val="none" w:sz="0" w:space="0" w:color="auto"/>
            <w:left w:val="none" w:sz="0" w:space="0" w:color="auto"/>
            <w:bottom w:val="none" w:sz="0" w:space="0" w:color="auto"/>
            <w:right w:val="none" w:sz="0" w:space="0" w:color="auto"/>
          </w:divBdr>
        </w:div>
        <w:div w:id="1905140135">
          <w:marLeft w:val="0"/>
          <w:marRight w:val="0"/>
          <w:marTop w:val="0"/>
          <w:marBottom w:val="0"/>
          <w:divBdr>
            <w:top w:val="none" w:sz="0" w:space="0" w:color="auto"/>
            <w:left w:val="none" w:sz="0" w:space="0" w:color="auto"/>
            <w:bottom w:val="none" w:sz="0" w:space="0" w:color="auto"/>
            <w:right w:val="none" w:sz="0" w:space="0" w:color="auto"/>
          </w:divBdr>
        </w:div>
        <w:div w:id="2123648236">
          <w:marLeft w:val="0"/>
          <w:marRight w:val="0"/>
          <w:marTop w:val="0"/>
          <w:marBottom w:val="0"/>
          <w:divBdr>
            <w:top w:val="none" w:sz="0" w:space="0" w:color="auto"/>
            <w:left w:val="none" w:sz="0" w:space="0" w:color="auto"/>
            <w:bottom w:val="none" w:sz="0" w:space="0" w:color="auto"/>
            <w:right w:val="none" w:sz="0" w:space="0" w:color="auto"/>
          </w:divBdr>
        </w:div>
      </w:divsChild>
    </w:div>
    <w:div w:id="1599748350">
      <w:bodyDiv w:val="1"/>
      <w:marLeft w:val="0"/>
      <w:marRight w:val="0"/>
      <w:marTop w:val="0"/>
      <w:marBottom w:val="0"/>
      <w:divBdr>
        <w:top w:val="none" w:sz="0" w:space="0" w:color="auto"/>
        <w:left w:val="none" w:sz="0" w:space="0" w:color="auto"/>
        <w:bottom w:val="none" w:sz="0" w:space="0" w:color="auto"/>
        <w:right w:val="none" w:sz="0" w:space="0" w:color="auto"/>
      </w:divBdr>
      <w:divsChild>
        <w:div w:id="257834928">
          <w:marLeft w:val="0"/>
          <w:marRight w:val="0"/>
          <w:marTop w:val="0"/>
          <w:marBottom w:val="0"/>
          <w:divBdr>
            <w:top w:val="none" w:sz="0" w:space="0" w:color="auto"/>
            <w:left w:val="none" w:sz="0" w:space="0" w:color="auto"/>
            <w:bottom w:val="none" w:sz="0" w:space="0" w:color="auto"/>
            <w:right w:val="none" w:sz="0" w:space="0" w:color="auto"/>
          </w:divBdr>
        </w:div>
        <w:div w:id="750468937">
          <w:marLeft w:val="0"/>
          <w:marRight w:val="0"/>
          <w:marTop w:val="0"/>
          <w:marBottom w:val="0"/>
          <w:divBdr>
            <w:top w:val="none" w:sz="0" w:space="0" w:color="auto"/>
            <w:left w:val="none" w:sz="0" w:space="0" w:color="auto"/>
            <w:bottom w:val="none" w:sz="0" w:space="0" w:color="auto"/>
            <w:right w:val="none" w:sz="0" w:space="0" w:color="auto"/>
          </w:divBdr>
        </w:div>
        <w:div w:id="830407400">
          <w:marLeft w:val="0"/>
          <w:marRight w:val="0"/>
          <w:marTop w:val="0"/>
          <w:marBottom w:val="0"/>
          <w:divBdr>
            <w:top w:val="none" w:sz="0" w:space="0" w:color="auto"/>
            <w:left w:val="none" w:sz="0" w:space="0" w:color="auto"/>
            <w:bottom w:val="none" w:sz="0" w:space="0" w:color="auto"/>
            <w:right w:val="none" w:sz="0" w:space="0" w:color="auto"/>
          </w:divBdr>
        </w:div>
        <w:div w:id="1427459150">
          <w:marLeft w:val="0"/>
          <w:marRight w:val="0"/>
          <w:marTop w:val="0"/>
          <w:marBottom w:val="0"/>
          <w:divBdr>
            <w:top w:val="none" w:sz="0" w:space="0" w:color="auto"/>
            <w:left w:val="none" w:sz="0" w:space="0" w:color="auto"/>
            <w:bottom w:val="none" w:sz="0" w:space="0" w:color="auto"/>
            <w:right w:val="none" w:sz="0" w:space="0" w:color="auto"/>
          </w:divBdr>
        </w:div>
        <w:div w:id="1667049589">
          <w:marLeft w:val="0"/>
          <w:marRight w:val="0"/>
          <w:marTop w:val="0"/>
          <w:marBottom w:val="0"/>
          <w:divBdr>
            <w:top w:val="none" w:sz="0" w:space="0" w:color="auto"/>
            <w:left w:val="none" w:sz="0" w:space="0" w:color="auto"/>
            <w:bottom w:val="none" w:sz="0" w:space="0" w:color="auto"/>
            <w:right w:val="none" w:sz="0" w:space="0" w:color="auto"/>
          </w:divBdr>
        </w:div>
        <w:div w:id="1927304119">
          <w:marLeft w:val="0"/>
          <w:marRight w:val="0"/>
          <w:marTop w:val="0"/>
          <w:marBottom w:val="0"/>
          <w:divBdr>
            <w:top w:val="none" w:sz="0" w:space="0" w:color="auto"/>
            <w:left w:val="none" w:sz="0" w:space="0" w:color="auto"/>
            <w:bottom w:val="none" w:sz="0" w:space="0" w:color="auto"/>
            <w:right w:val="none" w:sz="0" w:space="0" w:color="auto"/>
          </w:divBdr>
        </w:div>
        <w:div w:id="2125273005">
          <w:marLeft w:val="0"/>
          <w:marRight w:val="0"/>
          <w:marTop w:val="0"/>
          <w:marBottom w:val="0"/>
          <w:divBdr>
            <w:top w:val="none" w:sz="0" w:space="0" w:color="auto"/>
            <w:left w:val="none" w:sz="0" w:space="0" w:color="auto"/>
            <w:bottom w:val="none" w:sz="0" w:space="0" w:color="auto"/>
            <w:right w:val="none" w:sz="0" w:space="0" w:color="auto"/>
          </w:divBdr>
        </w:div>
      </w:divsChild>
    </w:div>
    <w:div w:id="1607350548">
      <w:bodyDiv w:val="1"/>
      <w:marLeft w:val="0"/>
      <w:marRight w:val="0"/>
      <w:marTop w:val="0"/>
      <w:marBottom w:val="0"/>
      <w:divBdr>
        <w:top w:val="none" w:sz="0" w:space="0" w:color="auto"/>
        <w:left w:val="none" w:sz="0" w:space="0" w:color="auto"/>
        <w:bottom w:val="none" w:sz="0" w:space="0" w:color="auto"/>
        <w:right w:val="none" w:sz="0" w:space="0" w:color="auto"/>
      </w:divBdr>
    </w:div>
    <w:div w:id="1617446475">
      <w:bodyDiv w:val="1"/>
      <w:marLeft w:val="0"/>
      <w:marRight w:val="0"/>
      <w:marTop w:val="0"/>
      <w:marBottom w:val="0"/>
      <w:divBdr>
        <w:top w:val="none" w:sz="0" w:space="0" w:color="auto"/>
        <w:left w:val="none" w:sz="0" w:space="0" w:color="auto"/>
        <w:bottom w:val="none" w:sz="0" w:space="0" w:color="auto"/>
        <w:right w:val="none" w:sz="0" w:space="0" w:color="auto"/>
      </w:divBdr>
      <w:divsChild>
        <w:div w:id="211580278">
          <w:marLeft w:val="274"/>
          <w:marRight w:val="0"/>
          <w:marTop w:val="0"/>
          <w:marBottom w:val="0"/>
          <w:divBdr>
            <w:top w:val="none" w:sz="0" w:space="0" w:color="auto"/>
            <w:left w:val="none" w:sz="0" w:space="0" w:color="auto"/>
            <w:bottom w:val="none" w:sz="0" w:space="0" w:color="auto"/>
            <w:right w:val="none" w:sz="0" w:space="0" w:color="auto"/>
          </w:divBdr>
        </w:div>
        <w:div w:id="1896355986">
          <w:marLeft w:val="274"/>
          <w:marRight w:val="0"/>
          <w:marTop w:val="0"/>
          <w:marBottom w:val="0"/>
          <w:divBdr>
            <w:top w:val="none" w:sz="0" w:space="0" w:color="auto"/>
            <w:left w:val="none" w:sz="0" w:space="0" w:color="auto"/>
            <w:bottom w:val="none" w:sz="0" w:space="0" w:color="auto"/>
            <w:right w:val="none" w:sz="0" w:space="0" w:color="auto"/>
          </w:divBdr>
        </w:div>
      </w:divsChild>
    </w:div>
    <w:div w:id="1617757277">
      <w:bodyDiv w:val="1"/>
      <w:marLeft w:val="0"/>
      <w:marRight w:val="0"/>
      <w:marTop w:val="0"/>
      <w:marBottom w:val="0"/>
      <w:divBdr>
        <w:top w:val="none" w:sz="0" w:space="0" w:color="auto"/>
        <w:left w:val="none" w:sz="0" w:space="0" w:color="auto"/>
        <w:bottom w:val="none" w:sz="0" w:space="0" w:color="auto"/>
        <w:right w:val="none" w:sz="0" w:space="0" w:color="auto"/>
      </w:divBdr>
    </w:div>
    <w:div w:id="1639141230">
      <w:bodyDiv w:val="1"/>
      <w:marLeft w:val="0"/>
      <w:marRight w:val="0"/>
      <w:marTop w:val="0"/>
      <w:marBottom w:val="0"/>
      <w:divBdr>
        <w:top w:val="none" w:sz="0" w:space="0" w:color="auto"/>
        <w:left w:val="none" w:sz="0" w:space="0" w:color="auto"/>
        <w:bottom w:val="none" w:sz="0" w:space="0" w:color="auto"/>
        <w:right w:val="none" w:sz="0" w:space="0" w:color="auto"/>
      </w:divBdr>
      <w:divsChild>
        <w:div w:id="1055157655">
          <w:marLeft w:val="274"/>
          <w:marRight w:val="0"/>
          <w:marTop w:val="0"/>
          <w:marBottom w:val="0"/>
          <w:divBdr>
            <w:top w:val="none" w:sz="0" w:space="0" w:color="auto"/>
            <w:left w:val="none" w:sz="0" w:space="0" w:color="auto"/>
            <w:bottom w:val="none" w:sz="0" w:space="0" w:color="auto"/>
            <w:right w:val="none" w:sz="0" w:space="0" w:color="auto"/>
          </w:divBdr>
        </w:div>
        <w:div w:id="1978954448">
          <w:marLeft w:val="274"/>
          <w:marRight w:val="0"/>
          <w:marTop w:val="0"/>
          <w:marBottom w:val="0"/>
          <w:divBdr>
            <w:top w:val="none" w:sz="0" w:space="0" w:color="auto"/>
            <w:left w:val="none" w:sz="0" w:space="0" w:color="auto"/>
            <w:bottom w:val="none" w:sz="0" w:space="0" w:color="auto"/>
            <w:right w:val="none" w:sz="0" w:space="0" w:color="auto"/>
          </w:divBdr>
        </w:div>
      </w:divsChild>
    </w:div>
    <w:div w:id="1652951671">
      <w:bodyDiv w:val="1"/>
      <w:marLeft w:val="0"/>
      <w:marRight w:val="0"/>
      <w:marTop w:val="0"/>
      <w:marBottom w:val="0"/>
      <w:divBdr>
        <w:top w:val="none" w:sz="0" w:space="0" w:color="auto"/>
        <w:left w:val="none" w:sz="0" w:space="0" w:color="auto"/>
        <w:bottom w:val="none" w:sz="0" w:space="0" w:color="auto"/>
        <w:right w:val="none" w:sz="0" w:space="0" w:color="auto"/>
      </w:divBdr>
      <w:divsChild>
        <w:div w:id="1581253194">
          <w:marLeft w:val="547"/>
          <w:marRight w:val="0"/>
          <w:marTop w:val="0"/>
          <w:marBottom w:val="0"/>
          <w:divBdr>
            <w:top w:val="none" w:sz="0" w:space="0" w:color="auto"/>
            <w:left w:val="none" w:sz="0" w:space="0" w:color="auto"/>
            <w:bottom w:val="none" w:sz="0" w:space="0" w:color="auto"/>
            <w:right w:val="none" w:sz="0" w:space="0" w:color="auto"/>
          </w:divBdr>
        </w:div>
      </w:divsChild>
    </w:div>
    <w:div w:id="1658724298">
      <w:bodyDiv w:val="1"/>
      <w:marLeft w:val="0"/>
      <w:marRight w:val="0"/>
      <w:marTop w:val="0"/>
      <w:marBottom w:val="0"/>
      <w:divBdr>
        <w:top w:val="none" w:sz="0" w:space="0" w:color="auto"/>
        <w:left w:val="none" w:sz="0" w:space="0" w:color="auto"/>
        <w:bottom w:val="none" w:sz="0" w:space="0" w:color="auto"/>
        <w:right w:val="none" w:sz="0" w:space="0" w:color="auto"/>
      </w:divBdr>
    </w:div>
    <w:div w:id="1711878144">
      <w:bodyDiv w:val="1"/>
      <w:marLeft w:val="0"/>
      <w:marRight w:val="0"/>
      <w:marTop w:val="0"/>
      <w:marBottom w:val="0"/>
      <w:divBdr>
        <w:top w:val="none" w:sz="0" w:space="0" w:color="auto"/>
        <w:left w:val="none" w:sz="0" w:space="0" w:color="auto"/>
        <w:bottom w:val="none" w:sz="0" w:space="0" w:color="auto"/>
        <w:right w:val="none" w:sz="0" w:space="0" w:color="auto"/>
      </w:divBdr>
      <w:divsChild>
        <w:div w:id="360210623">
          <w:marLeft w:val="547"/>
          <w:marRight w:val="0"/>
          <w:marTop w:val="0"/>
          <w:marBottom w:val="0"/>
          <w:divBdr>
            <w:top w:val="none" w:sz="0" w:space="0" w:color="auto"/>
            <w:left w:val="none" w:sz="0" w:space="0" w:color="auto"/>
            <w:bottom w:val="none" w:sz="0" w:space="0" w:color="auto"/>
            <w:right w:val="none" w:sz="0" w:space="0" w:color="auto"/>
          </w:divBdr>
        </w:div>
        <w:div w:id="477571267">
          <w:marLeft w:val="547"/>
          <w:marRight w:val="0"/>
          <w:marTop w:val="0"/>
          <w:marBottom w:val="0"/>
          <w:divBdr>
            <w:top w:val="none" w:sz="0" w:space="0" w:color="auto"/>
            <w:left w:val="none" w:sz="0" w:space="0" w:color="auto"/>
            <w:bottom w:val="none" w:sz="0" w:space="0" w:color="auto"/>
            <w:right w:val="none" w:sz="0" w:space="0" w:color="auto"/>
          </w:divBdr>
        </w:div>
        <w:div w:id="1605722255">
          <w:marLeft w:val="547"/>
          <w:marRight w:val="0"/>
          <w:marTop w:val="0"/>
          <w:marBottom w:val="0"/>
          <w:divBdr>
            <w:top w:val="none" w:sz="0" w:space="0" w:color="auto"/>
            <w:left w:val="none" w:sz="0" w:space="0" w:color="auto"/>
            <w:bottom w:val="none" w:sz="0" w:space="0" w:color="auto"/>
            <w:right w:val="none" w:sz="0" w:space="0" w:color="auto"/>
          </w:divBdr>
        </w:div>
      </w:divsChild>
    </w:div>
    <w:div w:id="1724133019">
      <w:bodyDiv w:val="1"/>
      <w:marLeft w:val="0"/>
      <w:marRight w:val="0"/>
      <w:marTop w:val="0"/>
      <w:marBottom w:val="0"/>
      <w:divBdr>
        <w:top w:val="none" w:sz="0" w:space="0" w:color="auto"/>
        <w:left w:val="none" w:sz="0" w:space="0" w:color="auto"/>
        <w:bottom w:val="none" w:sz="0" w:space="0" w:color="auto"/>
        <w:right w:val="none" w:sz="0" w:space="0" w:color="auto"/>
      </w:divBdr>
    </w:div>
    <w:div w:id="1739354725">
      <w:bodyDiv w:val="1"/>
      <w:marLeft w:val="0"/>
      <w:marRight w:val="0"/>
      <w:marTop w:val="0"/>
      <w:marBottom w:val="0"/>
      <w:divBdr>
        <w:top w:val="none" w:sz="0" w:space="0" w:color="auto"/>
        <w:left w:val="none" w:sz="0" w:space="0" w:color="auto"/>
        <w:bottom w:val="none" w:sz="0" w:space="0" w:color="auto"/>
        <w:right w:val="none" w:sz="0" w:space="0" w:color="auto"/>
      </w:divBdr>
    </w:div>
    <w:div w:id="1740781751">
      <w:bodyDiv w:val="1"/>
      <w:marLeft w:val="0"/>
      <w:marRight w:val="0"/>
      <w:marTop w:val="0"/>
      <w:marBottom w:val="0"/>
      <w:divBdr>
        <w:top w:val="none" w:sz="0" w:space="0" w:color="auto"/>
        <w:left w:val="none" w:sz="0" w:space="0" w:color="auto"/>
        <w:bottom w:val="none" w:sz="0" w:space="0" w:color="auto"/>
        <w:right w:val="none" w:sz="0" w:space="0" w:color="auto"/>
      </w:divBdr>
      <w:divsChild>
        <w:div w:id="8217731">
          <w:marLeft w:val="0"/>
          <w:marRight w:val="0"/>
          <w:marTop w:val="0"/>
          <w:marBottom w:val="0"/>
          <w:divBdr>
            <w:top w:val="none" w:sz="0" w:space="0" w:color="auto"/>
            <w:left w:val="none" w:sz="0" w:space="0" w:color="auto"/>
            <w:bottom w:val="none" w:sz="0" w:space="0" w:color="auto"/>
            <w:right w:val="none" w:sz="0" w:space="0" w:color="auto"/>
          </w:divBdr>
        </w:div>
        <w:div w:id="364140476">
          <w:marLeft w:val="0"/>
          <w:marRight w:val="0"/>
          <w:marTop w:val="0"/>
          <w:marBottom w:val="0"/>
          <w:divBdr>
            <w:top w:val="none" w:sz="0" w:space="0" w:color="auto"/>
            <w:left w:val="none" w:sz="0" w:space="0" w:color="auto"/>
            <w:bottom w:val="none" w:sz="0" w:space="0" w:color="auto"/>
            <w:right w:val="none" w:sz="0" w:space="0" w:color="auto"/>
          </w:divBdr>
        </w:div>
        <w:div w:id="585114539">
          <w:marLeft w:val="0"/>
          <w:marRight w:val="0"/>
          <w:marTop w:val="0"/>
          <w:marBottom w:val="0"/>
          <w:divBdr>
            <w:top w:val="none" w:sz="0" w:space="0" w:color="auto"/>
            <w:left w:val="none" w:sz="0" w:space="0" w:color="auto"/>
            <w:bottom w:val="none" w:sz="0" w:space="0" w:color="auto"/>
            <w:right w:val="none" w:sz="0" w:space="0" w:color="auto"/>
          </w:divBdr>
        </w:div>
        <w:div w:id="599945730">
          <w:marLeft w:val="0"/>
          <w:marRight w:val="0"/>
          <w:marTop w:val="0"/>
          <w:marBottom w:val="0"/>
          <w:divBdr>
            <w:top w:val="none" w:sz="0" w:space="0" w:color="auto"/>
            <w:left w:val="none" w:sz="0" w:space="0" w:color="auto"/>
            <w:bottom w:val="none" w:sz="0" w:space="0" w:color="auto"/>
            <w:right w:val="none" w:sz="0" w:space="0" w:color="auto"/>
          </w:divBdr>
        </w:div>
        <w:div w:id="618874695">
          <w:marLeft w:val="0"/>
          <w:marRight w:val="0"/>
          <w:marTop w:val="0"/>
          <w:marBottom w:val="0"/>
          <w:divBdr>
            <w:top w:val="none" w:sz="0" w:space="0" w:color="auto"/>
            <w:left w:val="none" w:sz="0" w:space="0" w:color="auto"/>
            <w:bottom w:val="none" w:sz="0" w:space="0" w:color="auto"/>
            <w:right w:val="none" w:sz="0" w:space="0" w:color="auto"/>
          </w:divBdr>
        </w:div>
        <w:div w:id="651449950">
          <w:marLeft w:val="0"/>
          <w:marRight w:val="0"/>
          <w:marTop w:val="0"/>
          <w:marBottom w:val="0"/>
          <w:divBdr>
            <w:top w:val="none" w:sz="0" w:space="0" w:color="auto"/>
            <w:left w:val="none" w:sz="0" w:space="0" w:color="auto"/>
            <w:bottom w:val="none" w:sz="0" w:space="0" w:color="auto"/>
            <w:right w:val="none" w:sz="0" w:space="0" w:color="auto"/>
          </w:divBdr>
        </w:div>
        <w:div w:id="672799001">
          <w:marLeft w:val="0"/>
          <w:marRight w:val="0"/>
          <w:marTop w:val="0"/>
          <w:marBottom w:val="0"/>
          <w:divBdr>
            <w:top w:val="none" w:sz="0" w:space="0" w:color="auto"/>
            <w:left w:val="none" w:sz="0" w:space="0" w:color="auto"/>
            <w:bottom w:val="none" w:sz="0" w:space="0" w:color="auto"/>
            <w:right w:val="none" w:sz="0" w:space="0" w:color="auto"/>
          </w:divBdr>
        </w:div>
        <w:div w:id="740836929">
          <w:marLeft w:val="0"/>
          <w:marRight w:val="0"/>
          <w:marTop w:val="0"/>
          <w:marBottom w:val="0"/>
          <w:divBdr>
            <w:top w:val="none" w:sz="0" w:space="0" w:color="auto"/>
            <w:left w:val="none" w:sz="0" w:space="0" w:color="auto"/>
            <w:bottom w:val="none" w:sz="0" w:space="0" w:color="auto"/>
            <w:right w:val="none" w:sz="0" w:space="0" w:color="auto"/>
          </w:divBdr>
        </w:div>
        <w:div w:id="1124152701">
          <w:marLeft w:val="0"/>
          <w:marRight w:val="0"/>
          <w:marTop w:val="0"/>
          <w:marBottom w:val="0"/>
          <w:divBdr>
            <w:top w:val="none" w:sz="0" w:space="0" w:color="auto"/>
            <w:left w:val="none" w:sz="0" w:space="0" w:color="auto"/>
            <w:bottom w:val="none" w:sz="0" w:space="0" w:color="auto"/>
            <w:right w:val="none" w:sz="0" w:space="0" w:color="auto"/>
          </w:divBdr>
        </w:div>
        <w:div w:id="1455752402">
          <w:marLeft w:val="0"/>
          <w:marRight w:val="0"/>
          <w:marTop w:val="0"/>
          <w:marBottom w:val="0"/>
          <w:divBdr>
            <w:top w:val="none" w:sz="0" w:space="0" w:color="auto"/>
            <w:left w:val="none" w:sz="0" w:space="0" w:color="auto"/>
            <w:bottom w:val="none" w:sz="0" w:space="0" w:color="auto"/>
            <w:right w:val="none" w:sz="0" w:space="0" w:color="auto"/>
          </w:divBdr>
        </w:div>
        <w:div w:id="1533878849">
          <w:marLeft w:val="0"/>
          <w:marRight w:val="0"/>
          <w:marTop w:val="0"/>
          <w:marBottom w:val="0"/>
          <w:divBdr>
            <w:top w:val="none" w:sz="0" w:space="0" w:color="auto"/>
            <w:left w:val="none" w:sz="0" w:space="0" w:color="auto"/>
            <w:bottom w:val="none" w:sz="0" w:space="0" w:color="auto"/>
            <w:right w:val="none" w:sz="0" w:space="0" w:color="auto"/>
          </w:divBdr>
        </w:div>
        <w:div w:id="1597327323">
          <w:marLeft w:val="0"/>
          <w:marRight w:val="0"/>
          <w:marTop w:val="0"/>
          <w:marBottom w:val="0"/>
          <w:divBdr>
            <w:top w:val="none" w:sz="0" w:space="0" w:color="auto"/>
            <w:left w:val="none" w:sz="0" w:space="0" w:color="auto"/>
            <w:bottom w:val="none" w:sz="0" w:space="0" w:color="auto"/>
            <w:right w:val="none" w:sz="0" w:space="0" w:color="auto"/>
          </w:divBdr>
        </w:div>
        <w:div w:id="1784156769">
          <w:marLeft w:val="0"/>
          <w:marRight w:val="0"/>
          <w:marTop w:val="0"/>
          <w:marBottom w:val="0"/>
          <w:divBdr>
            <w:top w:val="none" w:sz="0" w:space="0" w:color="auto"/>
            <w:left w:val="none" w:sz="0" w:space="0" w:color="auto"/>
            <w:bottom w:val="none" w:sz="0" w:space="0" w:color="auto"/>
            <w:right w:val="none" w:sz="0" w:space="0" w:color="auto"/>
          </w:divBdr>
        </w:div>
        <w:div w:id="1831405717">
          <w:marLeft w:val="0"/>
          <w:marRight w:val="0"/>
          <w:marTop w:val="0"/>
          <w:marBottom w:val="0"/>
          <w:divBdr>
            <w:top w:val="none" w:sz="0" w:space="0" w:color="auto"/>
            <w:left w:val="none" w:sz="0" w:space="0" w:color="auto"/>
            <w:bottom w:val="none" w:sz="0" w:space="0" w:color="auto"/>
            <w:right w:val="none" w:sz="0" w:space="0" w:color="auto"/>
          </w:divBdr>
        </w:div>
        <w:div w:id="1848472944">
          <w:marLeft w:val="0"/>
          <w:marRight w:val="0"/>
          <w:marTop w:val="0"/>
          <w:marBottom w:val="0"/>
          <w:divBdr>
            <w:top w:val="none" w:sz="0" w:space="0" w:color="auto"/>
            <w:left w:val="none" w:sz="0" w:space="0" w:color="auto"/>
            <w:bottom w:val="none" w:sz="0" w:space="0" w:color="auto"/>
            <w:right w:val="none" w:sz="0" w:space="0" w:color="auto"/>
          </w:divBdr>
        </w:div>
      </w:divsChild>
    </w:div>
    <w:div w:id="1754425297">
      <w:bodyDiv w:val="1"/>
      <w:marLeft w:val="0"/>
      <w:marRight w:val="0"/>
      <w:marTop w:val="0"/>
      <w:marBottom w:val="0"/>
      <w:divBdr>
        <w:top w:val="none" w:sz="0" w:space="0" w:color="auto"/>
        <w:left w:val="none" w:sz="0" w:space="0" w:color="auto"/>
        <w:bottom w:val="none" w:sz="0" w:space="0" w:color="auto"/>
        <w:right w:val="none" w:sz="0" w:space="0" w:color="auto"/>
      </w:divBdr>
      <w:divsChild>
        <w:div w:id="184566067">
          <w:marLeft w:val="547"/>
          <w:marRight w:val="0"/>
          <w:marTop w:val="0"/>
          <w:marBottom w:val="0"/>
          <w:divBdr>
            <w:top w:val="none" w:sz="0" w:space="0" w:color="auto"/>
            <w:left w:val="none" w:sz="0" w:space="0" w:color="auto"/>
            <w:bottom w:val="none" w:sz="0" w:space="0" w:color="auto"/>
            <w:right w:val="none" w:sz="0" w:space="0" w:color="auto"/>
          </w:divBdr>
        </w:div>
        <w:div w:id="304359308">
          <w:marLeft w:val="547"/>
          <w:marRight w:val="0"/>
          <w:marTop w:val="0"/>
          <w:marBottom w:val="0"/>
          <w:divBdr>
            <w:top w:val="none" w:sz="0" w:space="0" w:color="auto"/>
            <w:left w:val="none" w:sz="0" w:space="0" w:color="auto"/>
            <w:bottom w:val="none" w:sz="0" w:space="0" w:color="auto"/>
            <w:right w:val="none" w:sz="0" w:space="0" w:color="auto"/>
          </w:divBdr>
        </w:div>
        <w:div w:id="1395008070">
          <w:marLeft w:val="547"/>
          <w:marRight w:val="0"/>
          <w:marTop w:val="0"/>
          <w:marBottom w:val="0"/>
          <w:divBdr>
            <w:top w:val="none" w:sz="0" w:space="0" w:color="auto"/>
            <w:left w:val="none" w:sz="0" w:space="0" w:color="auto"/>
            <w:bottom w:val="none" w:sz="0" w:space="0" w:color="auto"/>
            <w:right w:val="none" w:sz="0" w:space="0" w:color="auto"/>
          </w:divBdr>
        </w:div>
        <w:div w:id="1704748051">
          <w:marLeft w:val="547"/>
          <w:marRight w:val="0"/>
          <w:marTop w:val="0"/>
          <w:marBottom w:val="0"/>
          <w:divBdr>
            <w:top w:val="none" w:sz="0" w:space="0" w:color="auto"/>
            <w:left w:val="none" w:sz="0" w:space="0" w:color="auto"/>
            <w:bottom w:val="none" w:sz="0" w:space="0" w:color="auto"/>
            <w:right w:val="none" w:sz="0" w:space="0" w:color="auto"/>
          </w:divBdr>
        </w:div>
        <w:div w:id="2126729660">
          <w:marLeft w:val="547"/>
          <w:marRight w:val="0"/>
          <w:marTop w:val="0"/>
          <w:marBottom w:val="0"/>
          <w:divBdr>
            <w:top w:val="none" w:sz="0" w:space="0" w:color="auto"/>
            <w:left w:val="none" w:sz="0" w:space="0" w:color="auto"/>
            <w:bottom w:val="none" w:sz="0" w:space="0" w:color="auto"/>
            <w:right w:val="none" w:sz="0" w:space="0" w:color="auto"/>
          </w:divBdr>
        </w:div>
      </w:divsChild>
    </w:div>
    <w:div w:id="1755392924">
      <w:bodyDiv w:val="1"/>
      <w:marLeft w:val="0"/>
      <w:marRight w:val="0"/>
      <w:marTop w:val="0"/>
      <w:marBottom w:val="0"/>
      <w:divBdr>
        <w:top w:val="none" w:sz="0" w:space="0" w:color="auto"/>
        <w:left w:val="none" w:sz="0" w:space="0" w:color="auto"/>
        <w:bottom w:val="none" w:sz="0" w:space="0" w:color="auto"/>
        <w:right w:val="none" w:sz="0" w:space="0" w:color="auto"/>
      </w:divBdr>
    </w:div>
    <w:div w:id="1770421423">
      <w:bodyDiv w:val="1"/>
      <w:marLeft w:val="0"/>
      <w:marRight w:val="0"/>
      <w:marTop w:val="0"/>
      <w:marBottom w:val="0"/>
      <w:divBdr>
        <w:top w:val="none" w:sz="0" w:space="0" w:color="auto"/>
        <w:left w:val="none" w:sz="0" w:space="0" w:color="auto"/>
        <w:bottom w:val="none" w:sz="0" w:space="0" w:color="auto"/>
        <w:right w:val="none" w:sz="0" w:space="0" w:color="auto"/>
      </w:divBdr>
      <w:divsChild>
        <w:div w:id="609707542">
          <w:marLeft w:val="274"/>
          <w:marRight w:val="0"/>
          <w:marTop w:val="0"/>
          <w:marBottom w:val="0"/>
          <w:divBdr>
            <w:top w:val="none" w:sz="0" w:space="0" w:color="auto"/>
            <w:left w:val="none" w:sz="0" w:space="0" w:color="auto"/>
            <w:bottom w:val="none" w:sz="0" w:space="0" w:color="auto"/>
            <w:right w:val="none" w:sz="0" w:space="0" w:color="auto"/>
          </w:divBdr>
        </w:div>
        <w:div w:id="1476487811">
          <w:marLeft w:val="274"/>
          <w:marRight w:val="0"/>
          <w:marTop w:val="0"/>
          <w:marBottom w:val="0"/>
          <w:divBdr>
            <w:top w:val="none" w:sz="0" w:space="0" w:color="auto"/>
            <w:left w:val="none" w:sz="0" w:space="0" w:color="auto"/>
            <w:bottom w:val="none" w:sz="0" w:space="0" w:color="auto"/>
            <w:right w:val="none" w:sz="0" w:space="0" w:color="auto"/>
          </w:divBdr>
        </w:div>
        <w:div w:id="1560242903">
          <w:marLeft w:val="274"/>
          <w:marRight w:val="0"/>
          <w:marTop w:val="0"/>
          <w:marBottom w:val="0"/>
          <w:divBdr>
            <w:top w:val="none" w:sz="0" w:space="0" w:color="auto"/>
            <w:left w:val="none" w:sz="0" w:space="0" w:color="auto"/>
            <w:bottom w:val="none" w:sz="0" w:space="0" w:color="auto"/>
            <w:right w:val="none" w:sz="0" w:space="0" w:color="auto"/>
          </w:divBdr>
        </w:div>
        <w:div w:id="1879080627">
          <w:marLeft w:val="274"/>
          <w:marRight w:val="0"/>
          <w:marTop w:val="0"/>
          <w:marBottom w:val="0"/>
          <w:divBdr>
            <w:top w:val="none" w:sz="0" w:space="0" w:color="auto"/>
            <w:left w:val="none" w:sz="0" w:space="0" w:color="auto"/>
            <w:bottom w:val="none" w:sz="0" w:space="0" w:color="auto"/>
            <w:right w:val="none" w:sz="0" w:space="0" w:color="auto"/>
          </w:divBdr>
        </w:div>
      </w:divsChild>
    </w:div>
    <w:div w:id="1783839596">
      <w:bodyDiv w:val="1"/>
      <w:marLeft w:val="0"/>
      <w:marRight w:val="0"/>
      <w:marTop w:val="0"/>
      <w:marBottom w:val="0"/>
      <w:divBdr>
        <w:top w:val="none" w:sz="0" w:space="0" w:color="auto"/>
        <w:left w:val="none" w:sz="0" w:space="0" w:color="auto"/>
        <w:bottom w:val="none" w:sz="0" w:space="0" w:color="auto"/>
        <w:right w:val="none" w:sz="0" w:space="0" w:color="auto"/>
      </w:divBdr>
    </w:div>
    <w:div w:id="1786654938">
      <w:bodyDiv w:val="1"/>
      <w:marLeft w:val="0"/>
      <w:marRight w:val="0"/>
      <w:marTop w:val="0"/>
      <w:marBottom w:val="0"/>
      <w:divBdr>
        <w:top w:val="none" w:sz="0" w:space="0" w:color="auto"/>
        <w:left w:val="none" w:sz="0" w:space="0" w:color="auto"/>
        <w:bottom w:val="none" w:sz="0" w:space="0" w:color="auto"/>
        <w:right w:val="none" w:sz="0" w:space="0" w:color="auto"/>
      </w:divBdr>
    </w:div>
    <w:div w:id="1788043107">
      <w:bodyDiv w:val="1"/>
      <w:marLeft w:val="0"/>
      <w:marRight w:val="0"/>
      <w:marTop w:val="0"/>
      <w:marBottom w:val="0"/>
      <w:divBdr>
        <w:top w:val="none" w:sz="0" w:space="0" w:color="auto"/>
        <w:left w:val="none" w:sz="0" w:space="0" w:color="auto"/>
        <w:bottom w:val="none" w:sz="0" w:space="0" w:color="auto"/>
        <w:right w:val="none" w:sz="0" w:space="0" w:color="auto"/>
      </w:divBdr>
      <w:divsChild>
        <w:div w:id="296450151">
          <w:marLeft w:val="274"/>
          <w:marRight w:val="0"/>
          <w:marTop w:val="0"/>
          <w:marBottom w:val="0"/>
          <w:divBdr>
            <w:top w:val="none" w:sz="0" w:space="0" w:color="auto"/>
            <w:left w:val="none" w:sz="0" w:space="0" w:color="auto"/>
            <w:bottom w:val="none" w:sz="0" w:space="0" w:color="auto"/>
            <w:right w:val="none" w:sz="0" w:space="0" w:color="auto"/>
          </w:divBdr>
        </w:div>
        <w:div w:id="739602109">
          <w:marLeft w:val="274"/>
          <w:marRight w:val="0"/>
          <w:marTop w:val="0"/>
          <w:marBottom w:val="0"/>
          <w:divBdr>
            <w:top w:val="none" w:sz="0" w:space="0" w:color="auto"/>
            <w:left w:val="none" w:sz="0" w:space="0" w:color="auto"/>
            <w:bottom w:val="none" w:sz="0" w:space="0" w:color="auto"/>
            <w:right w:val="none" w:sz="0" w:space="0" w:color="auto"/>
          </w:divBdr>
        </w:div>
        <w:div w:id="850991562">
          <w:marLeft w:val="274"/>
          <w:marRight w:val="0"/>
          <w:marTop w:val="0"/>
          <w:marBottom w:val="0"/>
          <w:divBdr>
            <w:top w:val="none" w:sz="0" w:space="0" w:color="auto"/>
            <w:left w:val="none" w:sz="0" w:space="0" w:color="auto"/>
            <w:bottom w:val="none" w:sz="0" w:space="0" w:color="auto"/>
            <w:right w:val="none" w:sz="0" w:space="0" w:color="auto"/>
          </w:divBdr>
        </w:div>
        <w:div w:id="897322145">
          <w:marLeft w:val="274"/>
          <w:marRight w:val="0"/>
          <w:marTop w:val="0"/>
          <w:marBottom w:val="0"/>
          <w:divBdr>
            <w:top w:val="none" w:sz="0" w:space="0" w:color="auto"/>
            <w:left w:val="none" w:sz="0" w:space="0" w:color="auto"/>
            <w:bottom w:val="none" w:sz="0" w:space="0" w:color="auto"/>
            <w:right w:val="none" w:sz="0" w:space="0" w:color="auto"/>
          </w:divBdr>
        </w:div>
      </w:divsChild>
    </w:div>
    <w:div w:id="1795363307">
      <w:bodyDiv w:val="1"/>
      <w:marLeft w:val="0"/>
      <w:marRight w:val="0"/>
      <w:marTop w:val="0"/>
      <w:marBottom w:val="0"/>
      <w:divBdr>
        <w:top w:val="none" w:sz="0" w:space="0" w:color="auto"/>
        <w:left w:val="none" w:sz="0" w:space="0" w:color="auto"/>
        <w:bottom w:val="none" w:sz="0" w:space="0" w:color="auto"/>
        <w:right w:val="none" w:sz="0" w:space="0" w:color="auto"/>
      </w:divBdr>
    </w:div>
    <w:div w:id="1797485203">
      <w:bodyDiv w:val="1"/>
      <w:marLeft w:val="0"/>
      <w:marRight w:val="0"/>
      <w:marTop w:val="0"/>
      <w:marBottom w:val="0"/>
      <w:divBdr>
        <w:top w:val="none" w:sz="0" w:space="0" w:color="auto"/>
        <w:left w:val="none" w:sz="0" w:space="0" w:color="auto"/>
        <w:bottom w:val="none" w:sz="0" w:space="0" w:color="auto"/>
        <w:right w:val="none" w:sz="0" w:space="0" w:color="auto"/>
      </w:divBdr>
    </w:div>
    <w:div w:id="1802921188">
      <w:bodyDiv w:val="1"/>
      <w:marLeft w:val="0"/>
      <w:marRight w:val="0"/>
      <w:marTop w:val="0"/>
      <w:marBottom w:val="0"/>
      <w:divBdr>
        <w:top w:val="none" w:sz="0" w:space="0" w:color="auto"/>
        <w:left w:val="none" w:sz="0" w:space="0" w:color="auto"/>
        <w:bottom w:val="none" w:sz="0" w:space="0" w:color="auto"/>
        <w:right w:val="none" w:sz="0" w:space="0" w:color="auto"/>
      </w:divBdr>
    </w:div>
    <w:div w:id="1803307116">
      <w:bodyDiv w:val="1"/>
      <w:marLeft w:val="0"/>
      <w:marRight w:val="0"/>
      <w:marTop w:val="0"/>
      <w:marBottom w:val="0"/>
      <w:divBdr>
        <w:top w:val="none" w:sz="0" w:space="0" w:color="auto"/>
        <w:left w:val="none" w:sz="0" w:space="0" w:color="auto"/>
        <w:bottom w:val="none" w:sz="0" w:space="0" w:color="auto"/>
        <w:right w:val="none" w:sz="0" w:space="0" w:color="auto"/>
      </w:divBdr>
    </w:div>
    <w:div w:id="1827042838">
      <w:bodyDiv w:val="1"/>
      <w:marLeft w:val="0"/>
      <w:marRight w:val="0"/>
      <w:marTop w:val="0"/>
      <w:marBottom w:val="0"/>
      <w:divBdr>
        <w:top w:val="none" w:sz="0" w:space="0" w:color="auto"/>
        <w:left w:val="none" w:sz="0" w:space="0" w:color="auto"/>
        <w:bottom w:val="none" w:sz="0" w:space="0" w:color="auto"/>
        <w:right w:val="none" w:sz="0" w:space="0" w:color="auto"/>
      </w:divBdr>
    </w:div>
    <w:div w:id="1832285600">
      <w:bodyDiv w:val="1"/>
      <w:marLeft w:val="0"/>
      <w:marRight w:val="0"/>
      <w:marTop w:val="0"/>
      <w:marBottom w:val="0"/>
      <w:divBdr>
        <w:top w:val="none" w:sz="0" w:space="0" w:color="auto"/>
        <w:left w:val="none" w:sz="0" w:space="0" w:color="auto"/>
        <w:bottom w:val="none" w:sz="0" w:space="0" w:color="auto"/>
        <w:right w:val="none" w:sz="0" w:space="0" w:color="auto"/>
      </w:divBdr>
      <w:divsChild>
        <w:div w:id="1801417535">
          <w:marLeft w:val="547"/>
          <w:marRight w:val="0"/>
          <w:marTop w:val="0"/>
          <w:marBottom w:val="0"/>
          <w:divBdr>
            <w:top w:val="none" w:sz="0" w:space="0" w:color="auto"/>
            <w:left w:val="none" w:sz="0" w:space="0" w:color="auto"/>
            <w:bottom w:val="none" w:sz="0" w:space="0" w:color="auto"/>
            <w:right w:val="none" w:sz="0" w:space="0" w:color="auto"/>
          </w:divBdr>
        </w:div>
      </w:divsChild>
    </w:div>
    <w:div w:id="1855604588">
      <w:bodyDiv w:val="1"/>
      <w:marLeft w:val="0"/>
      <w:marRight w:val="0"/>
      <w:marTop w:val="0"/>
      <w:marBottom w:val="0"/>
      <w:divBdr>
        <w:top w:val="none" w:sz="0" w:space="0" w:color="auto"/>
        <w:left w:val="none" w:sz="0" w:space="0" w:color="auto"/>
        <w:bottom w:val="none" w:sz="0" w:space="0" w:color="auto"/>
        <w:right w:val="none" w:sz="0" w:space="0" w:color="auto"/>
      </w:divBdr>
      <w:divsChild>
        <w:div w:id="327514564">
          <w:marLeft w:val="547"/>
          <w:marRight w:val="0"/>
          <w:marTop w:val="0"/>
          <w:marBottom w:val="0"/>
          <w:divBdr>
            <w:top w:val="none" w:sz="0" w:space="0" w:color="auto"/>
            <w:left w:val="none" w:sz="0" w:space="0" w:color="auto"/>
            <w:bottom w:val="none" w:sz="0" w:space="0" w:color="auto"/>
            <w:right w:val="none" w:sz="0" w:space="0" w:color="auto"/>
          </w:divBdr>
        </w:div>
      </w:divsChild>
    </w:div>
    <w:div w:id="1884057414">
      <w:bodyDiv w:val="1"/>
      <w:marLeft w:val="0"/>
      <w:marRight w:val="0"/>
      <w:marTop w:val="0"/>
      <w:marBottom w:val="0"/>
      <w:divBdr>
        <w:top w:val="none" w:sz="0" w:space="0" w:color="auto"/>
        <w:left w:val="none" w:sz="0" w:space="0" w:color="auto"/>
        <w:bottom w:val="none" w:sz="0" w:space="0" w:color="auto"/>
        <w:right w:val="none" w:sz="0" w:space="0" w:color="auto"/>
      </w:divBdr>
    </w:div>
    <w:div w:id="1890877291">
      <w:bodyDiv w:val="1"/>
      <w:marLeft w:val="0"/>
      <w:marRight w:val="0"/>
      <w:marTop w:val="0"/>
      <w:marBottom w:val="0"/>
      <w:divBdr>
        <w:top w:val="none" w:sz="0" w:space="0" w:color="auto"/>
        <w:left w:val="none" w:sz="0" w:space="0" w:color="auto"/>
        <w:bottom w:val="none" w:sz="0" w:space="0" w:color="auto"/>
        <w:right w:val="none" w:sz="0" w:space="0" w:color="auto"/>
      </w:divBdr>
    </w:div>
    <w:div w:id="1899320237">
      <w:bodyDiv w:val="1"/>
      <w:marLeft w:val="0"/>
      <w:marRight w:val="0"/>
      <w:marTop w:val="0"/>
      <w:marBottom w:val="0"/>
      <w:divBdr>
        <w:top w:val="none" w:sz="0" w:space="0" w:color="auto"/>
        <w:left w:val="none" w:sz="0" w:space="0" w:color="auto"/>
        <w:bottom w:val="none" w:sz="0" w:space="0" w:color="auto"/>
        <w:right w:val="none" w:sz="0" w:space="0" w:color="auto"/>
      </w:divBdr>
      <w:divsChild>
        <w:div w:id="14118913">
          <w:marLeft w:val="446"/>
          <w:marRight w:val="0"/>
          <w:marTop w:val="0"/>
          <w:marBottom w:val="0"/>
          <w:divBdr>
            <w:top w:val="none" w:sz="0" w:space="0" w:color="auto"/>
            <w:left w:val="none" w:sz="0" w:space="0" w:color="auto"/>
            <w:bottom w:val="none" w:sz="0" w:space="0" w:color="auto"/>
            <w:right w:val="none" w:sz="0" w:space="0" w:color="auto"/>
          </w:divBdr>
        </w:div>
        <w:div w:id="616450457">
          <w:marLeft w:val="446"/>
          <w:marRight w:val="0"/>
          <w:marTop w:val="0"/>
          <w:marBottom w:val="0"/>
          <w:divBdr>
            <w:top w:val="none" w:sz="0" w:space="0" w:color="auto"/>
            <w:left w:val="none" w:sz="0" w:space="0" w:color="auto"/>
            <w:bottom w:val="none" w:sz="0" w:space="0" w:color="auto"/>
            <w:right w:val="none" w:sz="0" w:space="0" w:color="auto"/>
          </w:divBdr>
        </w:div>
        <w:div w:id="930505566">
          <w:marLeft w:val="446"/>
          <w:marRight w:val="0"/>
          <w:marTop w:val="0"/>
          <w:marBottom w:val="0"/>
          <w:divBdr>
            <w:top w:val="none" w:sz="0" w:space="0" w:color="auto"/>
            <w:left w:val="none" w:sz="0" w:space="0" w:color="auto"/>
            <w:bottom w:val="none" w:sz="0" w:space="0" w:color="auto"/>
            <w:right w:val="none" w:sz="0" w:space="0" w:color="auto"/>
          </w:divBdr>
        </w:div>
        <w:div w:id="1094473189">
          <w:marLeft w:val="446"/>
          <w:marRight w:val="0"/>
          <w:marTop w:val="0"/>
          <w:marBottom w:val="0"/>
          <w:divBdr>
            <w:top w:val="none" w:sz="0" w:space="0" w:color="auto"/>
            <w:left w:val="none" w:sz="0" w:space="0" w:color="auto"/>
            <w:bottom w:val="none" w:sz="0" w:space="0" w:color="auto"/>
            <w:right w:val="none" w:sz="0" w:space="0" w:color="auto"/>
          </w:divBdr>
        </w:div>
        <w:div w:id="1720130300">
          <w:marLeft w:val="446"/>
          <w:marRight w:val="0"/>
          <w:marTop w:val="0"/>
          <w:marBottom w:val="0"/>
          <w:divBdr>
            <w:top w:val="none" w:sz="0" w:space="0" w:color="auto"/>
            <w:left w:val="none" w:sz="0" w:space="0" w:color="auto"/>
            <w:bottom w:val="none" w:sz="0" w:space="0" w:color="auto"/>
            <w:right w:val="none" w:sz="0" w:space="0" w:color="auto"/>
          </w:divBdr>
        </w:div>
      </w:divsChild>
    </w:div>
    <w:div w:id="1937790734">
      <w:bodyDiv w:val="1"/>
      <w:marLeft w:val="0"/>
      <w:marRight w:val="0"/>
      <w:marTop w:val="0"/>
      <w:marBottom w:val="0"/>
      <w:divBdr>
        <w:top w:val="none" w:sz="0" w:space="0" w:color="auto"/>
        <w:left w:val="none" w:sz="0" w:space="0" w:color="auto"/>
        <w:bottom w:val="none" w:sz="0" w:space="0" w:color="auto"/>
        <w:right w:val="none" w:sz="0" w:space="0" w:color="auto"/>
      </w:divBdr>
      <w:divsChild>
        <w:div w:id="600917957">
          <w:marLeft w:val="446"/>
          <w:marRight w:val="0"/>
          <w:marTop w:val="0"/>
          <w:marBottom w:val="0"/>
          <w:divBdr>
            <w:top w:val="none" w:sz="0" w:space="0" w:color="auto"/>
            <w:left w:val="none" w:sz="0" w:space="0" w:color="auto"/>
            <w:bottom w:val="none" w:sz="0" w:space="0" w:color="auto"/>
            <w:right w:val="none" w:sz="0" w:space="0" w:color="auto"/>
          </w:divBdr>
        </w:div>
        <w:div w:id="618875152">
          <w:marLeft w:val="446"/>
          <w:marRight w:val="0"/>
          <w:marTop w:val="0"/>
          <w:marBottom w:val="0"/>
          <w:divBdr>
            <w:top w:val="none" w:sz="0" w:space="0" w:color="auto"/>
            <w:left w:val="none" w:sz="0" w:space="0" w:color="auto"/>
            <w:bottom w:val="none" w:sz="0" w:space="0" w:color="auto"/>
            <w:right w:val="none" w:sz="0" w:space="0" w:color="auto"/>
          </w:divBdr>
        </w:div>
        <w:div w:id="768962153">
          <w:marLeft w:val="446"/>
          <w:marRight w:val="0"/>
          <w:marTop w:val="0"/>
          <w:marBottom w:val="0"/>
          <w:divBdr>
            <w:top w:val="none" w:sz="0" w:space="0" w:color="auto"/>
            <w:left w:val="none" w:sz="0" w:space="0" w:color="auto"/>
            <w:bottom w:val="none" w:sz="0" w:space="0" w:color="auto"/>
            <w:right w:val="none" w:sz="0" w:space="0" w:color="auto"/>
          </w:divBdr>
        </w:div>
        <w:div w:id="1349480495">
          <w:marLeft w:val="446"/>
          <w:marRight w:val="0"/>
          <w:marTop w:val="0"/>
          <w:marBottom w:val="0"/>
          <w:divBdr>
            <w:top w:val="none" w:sz="0" w:space="0" w:color="auto"/>
            <w:left w:val="none" w:sz="0" w:space="0" w:color="auto"/>
            <w:bottom w:val="none" w:sz="0" w:space="0" w:color="auto"/>
            <w:right w:val="none" w:sz="0" w:space="0" w:color="auto"/>
          </w:divBdr>
        </w:div>
      </w:divsChild>
    </w:div>
    <w:div w:id="1943149118">
      <w:bodyDiv w:val="1"/>
      <w:marLeft w:val="0"/>
      <w:marRight w:val="0"/>
      <w:marTop w:val="0"/>
      <w:marBottom w:val="0"/>
      <w:divBdr>
        <w:top w:val="none" w:sz="0" w:space="0" w:color="auto"/>
        <w:left w:val="none" w:sz="0" w:space="0" w:color="auto"/>
        <w:bottom w:val="none" w:sz="0" w:space="0" w:color="auto"/>
        <w:right w:val="none" w:sz="0" w:space="0" w:color="auto"/>
      </w:divBdr>
      <w:divsChild>
        <w:div w:id="1425607844">
          <w:marLeft w:val="547"/>
          <w:marRight w:val="0"/>
          <w:marTop w:val="0"/>
          <w:marBottom w:val="0"/>
          <w:divBdr>
            <w:top w:val="none" w:sz="0" w:space="0" w:color="auto"/>
            <w:left w:val="none" w:sz="0" w:space="0" w:color="auto"/>
            <w:bottom w:val="none" w:sz="0" w:space="0" w:color="auto"/>
            <w:right w:val="none" w:sz="0" w:space="0" w:color="auto"/>
          </w:divBdr>
        </w:div>
      </w:divsChild>
    </w:div>
    <w:div w:id="1948464986">
      <w:bodyDiv w:val="1"/>
      <w:marLeft w:val="0"/>
      <w:marRight w:val="0"/>
      <w:marTop w:val="0"/>
      <w:marBottom w:val="0"/>
      <w:divBdr>
        <w:top w:val="none" w:sz="0" w:space="0" w:color="auto"/>
        <w:left w:val="none" w:sz="0" w:space="0" w:color="auto"/>
        <w:bottom w:val="none" w:sz="0" w:space="0" w:color="auto"/>
        <w:right w:val="none" w:sz="0" w:space="0" w:color="auto"/>
      </w:divBdr>
      <w:divsChild>
        <w:div w:id="102967695">
          <w:marLeft w:val="446"/>
          <w:marRight w:val="0"/>
          <w:marTop w:val="0"/>
          <w:marBottom w:val="0"/>
          <w:divBdr>
            <w:top w:val="none" w:sz="0" w:space="0" w:color="auto"/>
            <w:left w:val="none" w:sz="0" w:space="0" w:color="auto"/>
            <w:bottom w:val="none" w:sz="0" w:space="0" w:color="auto"/>
            <w:right w:val="none" w:sz="0" w:space="0" w:color="auto"/>
          </w:divBdr>
        </w:div>
        <w:div w:id="268467062">
          <w:marLeft w:val="274"/>
          <w:marRight w:val="0"/>
          <w:marTop w:val="0"/>
          <w:marBottom w:val="0"/>
          <w:divBdr>
            <w:top w:val="none" w:sz="0" w:space="0" w:color="auto"/>
            <w:left w:val="none" w:sz="0" w:space="0" w:color="auto"/>
            <w:bottom w:val="none" w:sz="0" w:space="0" w:color="auto"/>
            <w:right w:val="none" w:sz="0" w:space="0" w:color="auto"/>
          </w:divBdr>
        </w:div>
        <w:div w:id="491406311">
          <w:marLeft w:val="274"/>
          <w:marRight w:val="0"/>
          <w:marTop w:val="0"/>
          <w:marBottom w:val="0"/>
          <w:divBdr>
            <w:top w:val="none" w:sz="0" w:space="0" w:color="auto"/>
            <w:left w:val="none" w:sz="0" w:space="0" w:color="auto"/>
            <w:bottom w:val="none" w:sz="0" w:space="0" w:color="auto"/>
            <w:right w:val="none" w:sz="0" w:space="0" w:color="auto"/>
          </w:divBdr>
        </w:div>
      </w:divsChild>
    </w:div>
    <w:div w:id="1950501175">
      <w:bodyDiv w:val="1"/>
      <w:marLeft w:val="0"/>
      <w:marRight w:val="0"/>
      <w:marTop w:val="0"/>
      <w:marBottom w:val="0"/>
      <w:divBdr>
        <w:top w:val="none" w:sz="0" w:space="0" w:color="auto"/>
        <w:left w:val="none" w:sz="0" w:space="0" w:color="auto"/>
        <w:bottom w:val="none" w:sz="0" w:space="0" w:color="auto"/>
        <w:right w:val="none" w:sz="0" w:space="0" w:color="auto"/>
      </w:divBdr>
      <w:divsChild>
        <w:div w:id="135731091">
          <w:marLeft w:val="0"/>
          <w:marRight w:val="0"/>
          <w:marTop w:val="0"/>
          <w:marBottom w:val="0"/>
          <w:divBdr>
            <w:top w:val="none" w:sz="0" w:space="0" w:color="auto"/>
            <w:left w:val="none" w:sz="0" w:space="0" w:color="auto"/>
            <w:bottom w:val="none" w:sz="0" w:space="0" w:color="auto"/>
            <w:right w:val="none" w:sz="0" w:space="0" w:color="auto"/>
          </w:divBdr>
          <w:divsChild>
            <w:div w:id="85276408">
              <w:marLeft w:val="0"/>
              <w:marRight w:val="0"/>
              <w:marTop w:val="0"/>
              <w:marBottom w:val="0"/>
              <w:divBdr>
                <w:top w:val="none" w:sz="0" w:space="0" w:color="auto"/>
                <w:left w:val="none" w:sz="0" w:space="0" w:color="auto"/>
                <w:bottom w:val="none" w:sz="0" w:space="0" w:color="auto"/>
                <w:right w:val="none" w:sz="0" w:space="0" w:color="auto"/>
              </w:divBdr>
            </w:div>
            <w:div w:id="131095203">
              <w:marLeft w:val="0"/>
              <w:marRight w:val="0"/>
              <w:marTop w:val="0"/>
              <w:marBottom w:val="0"/>
              <w:divBdr>
                <w:top w:val="none" w:sz="0" w:space="0" w:color="auto"/>
                <w:left w:val="none" w:sz="0" w:space="0" w:color="auto"/>
                <w:bottom w:val="none" w:sz="0" w:space="0" w:color="auto"/>
                <w:right w:val="none" w:sz="0" w:space="0" w:color="auto"/>
              </w:divBdr>
            </w:div>
            <w:div w:id="134104885">
              <w:marLeft w:val="0"/>
              <w:marRight w:val="0"/>
              <w:marTop w:val="0"/>
              <w:marBottom w:val="0"/>
              <w:divBdr>
                <w:top w:val="none" w:sz="0" w:space="0" w:color="auto"/>
                <w:left w:val="none" w:sz="0" w:space="0" w:color="auto"/>
                <w:bottom w:val="none" w:sz="0" w:space="0" w:color="auto"/>
                <w:right w:val="none" w:sz="0" w:space="0" w:color="auto"/>
              </w:divBdr>
            </w:div>
            <w:div w:id="155414541">
              <w:marLeft w:val="0"/>
              <w:marRight w:val="0"/>
              <w:marTop w:val="0"/>
              <w:marBottom w:val="0"/>
              <w:divBdr>
                <w:top w:val="none" w:sz="0" w:space="0" w:color="auto"/>
                <w:left w:val="none" w:sz="0" w:space="0" w:color="auto"/>
                <w:bottom w:val="none" w:sz="0" w:space="0" w:color="auto"/>
                <w:right w:val="none" w:sz="0" w:space="0" w:color="auto"/>
              </w:divBdr>
            </w:div>
            <w:div w:id="169687377">
              <w:marLeft w:val="0"/>
              <w:marRight w:val="0"/>
              <w:marTop w:val="0"/>
              <w:marBottom w:val="0"/>
              <w:divBdr>
                <w:top w:val="none" w:sz="0" w:space="0" w:color="auto"/>
                <w:left w:val="none" w:sz="0" w:space="0" w:color="auto"/>
                <w:bottom w:val="none" w:sz="0" w:space="0" w:color="auto"/>
                <w:right w:val="none" w:sz="0" w:space="0" w:color="auto"/>
              </w:divBdr>
            </w:div>
            <w:div w:id="200679712">
              <w:marLeft w:val="0"/>
              <w:marRight w:val="0"/>
              <w:marTop w:val="0"/>
              <w:marBottom w:val="0"/>
              <w:divBdr>
                <w:top w:val="none" w:sz="0" w:space="0" w:color="auto"/>
                <w:left w:val="none" w:sz="0" w:space="0" w:color="auto"/>
                <w:bottom w:val="none" w:sz="0" w:space="0" w:color="auto"/>
                <w:right w:val="none" w:sz="0" w:space="0" w:color="auto"/>
              </w:divBdr>
            </w:div>
            <w:div w:id="213321332">
              <w:marLeft w:val="0"/>
              <w:marRight w:val="0"/>
              <w:marTop w:val="0"/>
              <w:marBottom w:val="0"/>
              <w:divBdr>
                <w:top w:val="none" w:sz="0" w:space="0" w:color="auto"/>
                <w:left w:val="none" w:sz="0" w:space="0" w:color="auto"/>
                <w:bottom w:val="none" w:sz="0" w:space="0" w:color="auto"/>
                <w:right w:val="none" w:sz="0" w:space="0" w:color="auto"/>
              </w:divBdr>
            </w:div>
            <w:div w:id="235828199">
              <w:marLeft w:val="0"/>
              <w:marRight w:val="0"/>
              <w:marTop w:val="0"/>
              <w:marBottom w:val="0"/>
              <w:divBdr>
                <w:top w:val="none" w:sz="0" w:space="0" w:color="auto"/>
                <w:left w:val="none" w:sz="0" w:space="0" w:color="auto"/>
                <w:bottom w:val="none" w:sz="0" w:space="0" w:color="auto"/>
                <w:right w:val="none" w:sz="0" w:space="0" w:color="auto"/>
              </w:divBdr>
            </w:div>
            <w:div w:id="266894190">
              <w:marLeft w:val="0"/>
              <w:marRight w:val="0"/>
              <w:marTop w:val="0"/>
              <w:marBottom w:val="0"/>
              <w:divBdr>
                <w:top w:val="none" w:sz="0" w:space="0" w:color="auto"/>
                <w:left w:val="none" w:sz="0" w:space="0" w:color="auto"/>
                <w:bottom w:val="none" w:sz="0" w:space="0" w:color="auto"/>
                <w:right w:val="none" w:sz="0" w:space="0" w:color="auto"/>
              </w:divBdr>
            </w:div>
            <w:div w:id="272712331">
              <w:marLeft w:val="0"/>
              <w:marRight w:val="0"/>
              <w:marTop w:val="0"/>
              <w:marBottom w:val="0"/>
              <w:divBdr>
                <w:top w:val="none" w:sz="0" w:space="0" w:color="auto"/>
                <w:left w:val="none" w:sz="0" w:space="0" w:color="auto"/>
                <w:bottom w:val="none" w:sz="0" w:space="0" w:color="auto"/>
                <w:right w:val="none" w:sz="0" w:space="0" w:color="auto"/>
              </w:divBdr>
            </w:div>
            <w:div w:id="284507858">
              <w:marLeft w:val="0"/>
              <w:marRight w:val="0"/>
              <w:marTop w:val="0"/>
              <w:marBottom w:val="0"/>
              <w:divBdr>
                <w:top w:val="none" w:sz="0" w:space="0" w:color="auto"/>
                <w:left w:val="none" w:sz="0" w:space="0" w:color="auto"/>
                <w:bottom w:val="none" w:sz="0" w:space="0" w:color="auto"/>
                <w:right w:val="none" w:sz="0" w:space="0" w:color="auto"/>
              </w:divBdr>
            </w:div>
            <w:div w:id="307322498">
              <w:marLeft w:val="0"/>
              <w:marRight w:val="0"/>
              <w:marTop w:val="0"/>
              <w:marBottom w:val="0"/>
              <w:divBdr>
                <w:top w:val="none" w:sz="0" w:space="0" w:color="auto"/>
                <w:left w:val="none" w:sz="0" w:space="0" w:color="auto"/>
                <w:bottom w:val="none" w:sz="0" w:space="0" w:color="auto"/>
                <w:right w:val="none" w:sz="0" w:space="0" w:color="auto"/>
              </w:divBdr>
            </w:div>
            <w:div w:id="344792624">
              <w:marLeft w:val="0"/>
              <w:marRight w:val="0"/>
              <w:marTop w:val="0"/>
              <w:marBottom w:val="0"/>
              <w:divBdr>
                <w:top w:val="none" w:sz="0" w:space="0" w:color="auto"/>
                <w:left w:val="none" w:sz="0" w:space="0" w:color="auto"/>
                <w:bottom w:val="none" w:sz="0" w:space="0" w:color="auto"/>
                <w:right w:val="none" w:sz="0" w:space="0" w:color="auto"/>
              </w:divBdr>
            </w:div>
            <w:div w:id="360057701">
              <w:marLeft w:val="0"/>
              <w:marRight w:val="0"/>
              <w:marTop w:val="0"/>
              <w:marBottom w:val="0"/>
              <w:divBdr>
                <w:top w:val="none" w:sz="0" w:space="0" w:color="auto"/>
                <w:left w:val="none" w:sz="0" w:space="0" w:color="auto"/>
                <w:bottom w:val="none" w:sz="0" w:space="0" w:color="auto"/>
                <w:right w:val="none" w:sz="0" w:space="0" w:color="auto"/>
              </w:divBdr>
            </w:div>
            <w:div w:id="384522773">
              <w:marLeft w:val="0"/>
              <w:marRight w:val="0"/>
              <w:marTop w:val="0"/>
              <w:marBottom w:val="0"/>
              <w:divBdr>
                <w:top w:val="none" w:sz="0" w:space="0" w:color="auto"/>
                <w:left w:val="none" w:sz="0" w:space="0" w:color="auto"/>
                <w:bottom w:val="none" w:sz="0" w:space="0" w:color="auto"/>
                <w:right w:val="none" w:sz="0" w:space="0" w:color="auto"/>
              </w:divBdr>
            </w:div>
            <w:div w:id="407924048">
              <w:marLeft w:val="0"/>
              <w:marRight w:val="0"/>
              <w:marTop w:val="0"/>
              <w:marBottom w:val="0"/>
              <w:divBdr>
                <w:top w:val="none" w:sz="0" w:space="0" w:color="auto"/>
                <w:left w:val="none" w:sz="0" w:space="0" w:color="auto"/>
                <w:bottom w:val="none" w:sz="0" w:space="0" w:color="auto"/>
                <w:right w:val="none" w:sz="0" w:space="0" w:color="auto"/>
              </w:divBdr>
            </w:div>
            <w:div w:id="435098828">
              <w:marLeft w:val="0"/>
              <w:marRight w:val="0"/>
              <w:marTop w:val="0"/>
              <w:marBottom w:val="0"/>
              <w:divBdr>
                <w:top w:val="none" w:sz="0" w:space="0" w:color="auto"/>
                <w:left w:val="none" w:sz="0" w:space="0" w:color="auto"/>
                <w:bottom w:val="none" w:sz="0" w:space="0" w:color="auto"/>
                <w:right w:val="none" w:sz="0" w:space="0" w:color="auto"/>
              </w:divBdr>
            </w:div>
            <w:div w:id="464349118">
              <w:marLeft w:val="0"/>
              <w:marRight w:val="0"/>
              <w:marTop w:val="0"/>
              <w:marBottom w:val="0"/>
              <w:divBdr>
                <w:top w:val="none" w:sz="0" w:space="0" w:color="auto"/>
                <w:left w:val="none" w:sz="0" w:space="0" w:color="auto"/>
                <w:bottom w:val="none" w:sz="0" w:space="0" w:color="auto"/>
                <w:right w:val="none" w:sz="0" w:space="0" w:color="auto"/>
              </w:divBdr>
            </w:div>
            <w:div w:id="489371032">
              <w:marLeft w:val="0"/>
              <w:marRight w:val="0"/>
              <w:marTop w:val="0"/>
              <w:marBottom w:val="0"/>
              <w:divBdr>
                <w:top w:val="none" w:sz="0" w:space="0" w:color="auto"/>
                <w:left w:val="none" w:sz="0" w:space="0" w:color="auto"/>
                <w:bottom w:val="none" w:sz="0" w:space="0" w:color="auto"/>
                <w:right w:val="none" w:sz="0" w:space="0" w:color="auto"/>
              </w:divBdr>
            </w:div>
            <w:div w:id="521869164">
              <w:marLeft w:val="0"/>
              <w:marRight w:val="0"/>
              <w:marTop w:val="0"/>
              <w:marBottom w:val="0"/>
              <w:divBdr>
                <w:top w:val="none" w:sz="0" w:space="0" w:color="auto"/>
                <w:left w:val="none" w:sz="0" w:space="0" w:color="auto"/>
                <w:bottom w:val="none" w:sz="0" w:space="0" w:color="auto"/>
                <w:right w:val="none" w:sz="0" w:space="0" w:color="auto"/>
              </w:divBdr>
            </w:div>
            <w:div w:id="605238322">
              <w:marLeft w:val="0"/>
              <w:marRight w:val="0"/>
              <w:marTop w:val="0"/>
              <w:marBottom w:val="0"/>
              <w:divBdr>
                <w:top w:val="none" w:sz="0" w:space="0" w:color="auto"/>
                <w:left w:val="none" w:sz="0" w:space="0" w:color="auto"/>
                <w:bottom w:val="none" w:sz="0" w:space="0" w:color="auto"/>
                <w:right w:val="none" w:sz="0" w:space="0" w:color="auto"/>
              </w:divBdr>
            </w:div>
            <w:div w:id="636573079">
              <w:marLeft w:val="0"/>
              <w:marRight w:val="0"/>
              <w:marTop w:val="0"/>
              <w:marBottom w:val="0"/>
              <w:divBdr>
                <w:top w:val="none" w:sz="0" w:space="0" w:color="auto"/>
                <w:left w:val="none" w:sz="0" w:space="0" w:color="auto"/>
                <w:bottom w:val="none" w:sz="0" w:space="0" w:color="auto"/>
                <w:right w:val="none" w:sz="0" w:space="0" w:color="auto"/>
              </w:divBdr>
            </w:div>
            <w:div w:id="720328859">
              <w:marLeft w:val="0"/>
              <w:marRight w:val="0"/>
              <w:marTop w:val="0"/>
              <w:marBottom w:val="0"/>
              <w:divBdr>
                <w:top w:val="none" w:sz="0" w:space="0" w:color="auto"/>
                <w:left w:val="none" w:sz="0" w:space="0" w:color="auto"/>
                <w:bottom w:val="none" w:sz="0" w:space="0" w:color="auto"/>
                <w:right w:val="none" w:sz="0" w:space="0" w:color="auto"/>
              </w:divBdr>
            </w:div>
            <w:div w:id="796224113">
              <w:marLeft w:val="0"/>
              <w:marRight w:val="0"/>
              <w:marTop w:val="0"/>
              <w:marBottom w:val="0"/>
              <w:divBdr>
                <w:top w:val="none" w:sz="0" w:space="0" w:color="auto"/>
                <w:left w:val="none" w:sz="0" w:space="0" w:color="auto"/>
                <w:bottom w:val="none" w:sz="0" w:space="0" w:color="auto"/>
                <w:right w:val="none" w:sz="0" w:space="0" w:color="auto"/>
              </w:divBdr>
            </w:div>
            <w:div w:id="824662355">
              <w:marLeft w:val="0"/>
              <w:marRight w:val="0"/>
              <w:marTop w:val="0"/>
              <w:marBottom w:val="0"/>
              <w:divBdr>
                <w:top w:val="none" w:sz="0" w:space="0" w:color="auto"/>
                <w:left w:val="none" w:sz="0" w:space="0" w:color="auto"/>
                <w:bottom w:val="none" w:sz="0" w:space="0" w:color="auto"/>
                <w:right w:val="none" w:sz="0" w:space="0" w:color="auto"/>
              </w:divBdr>
            </w:div>
            <w:div w:id="841747963">
              <w:marLeft w:val="0"/>
              <w:marRight w:val="0"/>
              <w:marTop w:val="0"/>
              <w:marBottom w:val="0"/>
              <w:divBdr>
                <w:top w:val="none" w:sz="0" w:space="0" w:color="auto"/>
                <w:left w:val="none" w:sz="0" w:space="0" w:color="auto"/>
                <w:bottom w:val="none" w:sz="0" w:space="0" w:color="auto"/>
                <w:right w:val="none" w:sz="0" w:space="0" w:color="auto"/>
              </w:divBdr>
            </w:div>
            <w:div w:id="861864472">
              <w:marLeft w:val="0"/>
              <w:marRight w:val="0"/>
              <w:marTop w:val="0"/>
              <w:marBottom w:val="0"/>
              <w:divBdr>
                <w:top w:val="none" w:sz="0" w:space="0" w:color="auto"/>
                <w:left w:val="none" w:sz="0" w:space="0" w:color="auto"/>
                <w:bottom w:val="none" w:sz="0" w:space="0" w:color="auto"/>
                <w:right w:val="none" w:sz="0" w:space="0" w:color="auto"/>
              </w:divBdr>
            </w:div>
            <w:div w:id="911743261">
              <w:marLeft w:val="0"/>
              <w:marRight w:val="0"/>
              <w:marTop w:val="0"/>
              <w:marBottom w:val="0"/>
              <w:divBdr>
                <w:top w:val="none" w:sz="0" w:space="0" w:color="auto"/>
                <w:left w:val="none" w:sz="0" w:space="0" w:color="auto"/>
                <w:bottom w:val="none" w:sz="0" w:space="0" w:color="auto"/>
                <w:right w:val="none" w:sz="0" w:space="0" w:color="auto"/>
              </w:divBdr>
            </w:div>
            <w:div w:id="958611691">
              <w:marLeft w:val="0"/>
              <w:marRight w:val="0"/>
              <w:marTop w:val="0"/>
              <w:marBottom w:val="0"/>
              <w:divBdr>
                <w:top w:val="none" w:sz="0" w:space="0" w:color="auto"/>
                <w:left w:val="none" w:sz="0" w:space="0" w:color="auto"/>
                <w:bottom w:val="none" w:sz="0" w:space="0" w:color="auto"/>
                <w:right w:val="none" w:sz="0" w:space="0" w:color="auto"/>
              </w:divBdr>
            </w:div>
            <w:div w:id="986320115">
              <w:marLeft w:val="0"/>
              <w:marRight w:val="0"/>
              <w:marTop w:val="0"/>
              <w:marBottom w:val="0"/>
              <w:divBdr>
                <w:top w:val="none" w:sz="0" w:space="0" w:color="auto"/>
                <w:left w:val="none" w:sz="0" w:space="0" w:color="auto"/>
                <w:bottom w:val="none" w:sz="0" w:space="0" w:color="auto"/>
                <w:right w:val="none" w:sz="0" w:space="0" w:color="auto"/>
              </w:divBdr>
            </w:div>
            <w:div w:id="1032655433">
              <w:marLeft w:val="0"/>
              <w:marRight w:val="0"/>
              <w:marTop w:val="0"/>
              <w:marBottom w:val="0"/>
              <w:divBdr>
                <w:top w:val="none" w:sz="0" w:space="0" w:color="auto"/>
                <w:left w:val="none" w:sz="0" w:space="0" w:color="auto"/>
                <w:bottom w:val="none" w:sz="0" w:space="0" w:color="auto"/>
                <w:right w:val="none" w:sz="0" w:space="0" w:color="auto"/>
              </w:divBdr>
            </w:div>
            <w:div w:id="1057317131">
              <w:marLeft w:val="0"/>
              <w:marRight w:val="0"/>
              <w:marTop w:val="0"/>
              <w:marBottom w:val="0"/>
              <w:divBdr>
                <w:top w:val="none" w:sz="0" w:space="0" w:color="auto"/>
                <w:left w:val="none" w:sz="0" w:space="0" w:color="auto"/>
                <w:bottom w:val="none" w:sz="0" w:space="0" w:color="auto"/>
                <w:right w:val="none" w:sz="0" w:space="0" w:color="auto"/>
              </w:divBdr>
            </w:div>
            <w:div w:id="1114249866">
              <w:marLeft w:val="0"/>
              <w:marRight w:val="0"/>
              <w:marTop w:val="0"/>
              <w:marBottom w:val="0"/>
              <w:divBdr>
                <w:top w:val="none" w:sz="0" w:space="0" w:color="auto"/>
                <w:left w:val="none" w:sz="0" w:space="0" w:color="auto"/>
                <w:bottom w:val="none" w:sz="0" w:space="0" w:color="auto"/>
                <w:right w:val="none" w:sz="0" w:space="0" w:color="auto"/>
              </w:divBdr>
            </w:div>
            <w:div w:id="1151215855">
              <w:marLeft w:val="0"/>
              <w:marRight w:val="0"/>
              <w:marTop w:val="0"/>
              <w:marBottom w:val="0"/>
              <w:divBdr>
                <w:top w:val="none" w:sz="0" w:space="0" w:color="auto"/>
                <w:left w:val="none" w:sz="0" w:space="0" w:color="auto"/>
                <w:bottom w:val="none" w:sz="0" w:space="0" w:color="auto"/>
                <w:right w:val="none" w:sz="0" w:space="0" w:color="auto"/>
              </w:divBdr>
            </w:div>
            <w:div w:id="1155100946">
              <w:marLeft w:val="0"/>
              <w:marRight w:val="0"/>
              <w:marTop w:val="0"/>
              <w:marBottom w:val="0"/>
              <w:divBdr>
                <w:top w:val="none" w:sz="0" w:space="0" w:color="auto"/>
                <w:left w:val="none" w:sz="0" w:space="0" w:color="auto"/>
                <w:bottom w:val="none" w:sz="0" w:space="0" w:color="auto"/>
                <w:right w:val="none" w:sz="0" w:space="0" w:color="auto"/>
              </w:divBdr>
            </w:div>
            <w:div w:id="1186603423">
              <w:marLeft w:val="0"/>
              <w:marRight w:val="0"/>
              <w:marTop w:val="0"/>
              <w:marBottom w:val="0"/>
              <w:divBdr>
                <w:top w:val="none" w:sz="0" w:space="0" w:color="auto"/>
                <w:left w:val="none" w:sz="0" w:space="0" w:color="auto"/>
                <w:bottom w:val="none" w:sz="0" w:space="0" w:color="auto"/>
                <w:right w:val="none" w:sz="0" w:space="0" w:color="auto"/>
              </w:divBdr>
            </w:div>
            <w:div w:id="1190529657">
              <w:marLeft w:val="0"/>
              <w:marRight w:val="0"/>
              <w:marTop w:val="0"/>
              <w:marBottom w:val="0"/>
              <w:divBdr>
                <w:top w:val="none" w:sz="0" w:space="0" w:color="auto"/>
                <w:left w:val="none" w:sz="0" w:space="0" w:color="auto"/>
                <w:bottom w:val="none" w:sz="0" w:space="0" w:color="auto"/>
                <w:right w:val="none" w:sz="0" w:space="0" w:color="auto"/>
              </w:divBdr>
            </w:div>
            <w:div w:id="1216624693">
              <w:marLeft w:val="0"/>
              <w:marRight w:val="0"/>
              <w:marTop w:val="0"/>
              <w:marBottom w:val="0"/>
              <w:divBdr>
                <w:top w:val="none" w:sz="0" w:space="0" w:color="auto"/>
                <w:left w:val="none" w:sz="0" w:space="0" w:color="auto"/>
                <w:bottom w:val="none" w:sz="0" w:space="0" w:color="auto"/>
                <w:right w:val="none" w:sz="0" w:space="0" w:color="auto"/>
              </w:divBdr>
            </w:div>
            <w:div w:id="1237863368">
              <w:marLeft w:val="0"/>
              <w:marRight w:val="0"/>
              <w:marTop w:val="0"/>
              <w:marBottom w:val="0"/>
              <w:divBdr>
                <w:top w:val="none" w:sz="0" w:space="0" w:color="auto"/>
                <w:left w:val="none" w:sz="0" w:space="0" w:color="auto"/>
                <w:bottom w:val="none" w:sz="0" w:space="0" w:color="auto"/>
                <w:right w:val="none" w:sz="0" w:space="0" w:color="auto"/>
              </w:divBdr>
            </w:div>
            <w:div w:id="1239636988">
              <w:marLeft w:val="0"/>
              <w:marRight w:val="0"/>
              <w:marTop w:val="0"/>
              <w:marBottom w:val="0"/>
              <w:divBdr>
                <w:top w:val="none" w:sz="0" w:space="0" w:color="auto"/>
                <w:left w:val="none" w:sz="0" w:space="0" w:color="auto"/>
                <w:bottom w:val="none" w:sz="0" w:space="0" w:color="auto"/>
                <w:right w:val="none" w:sz="0" w:space="0" w:color="auto"/>
              </w:divBdr>
            </w:div>
            <w:div w:id="1327055842">
              <w:marLeft w:val="0"/>
              <w:marRight w:val="0"/>
              <w:marTop w:val="0"/>
              <w:marBottom w:val="0"/>
              <w:divBdr>
                <w:top w:val="none" w:sz="0" w:space="0" w:color="auto"/>
                <w:left w:val="none" w:sz="0" w:space="0" w:color="auto"/>
                <w:bottom w:val="none" w:sz="0" w:space="0" w:color="auto"/>
                <w:right w:val="none" w:sz="0" w:space="0" w:color="auto"/>
              </w:divBdr>
            </w:div>
            <w:div w:id="1338459334">
              <w:marLeft w:val="0"/>
              <w:marRight w:val="0"/>
              <w:marTop w:val="0"/>
              <w:marBottom w:val="0"/>
              <w:divBdr>
                <w:top w:val="none" w:sz="0" w:space="0" w:color="auto"/>
                <w:left w:val="none" w:sz="0" w:space="0" w:color="auto"/>
                <w:bottom w:val="none" w:sz="0" w:space="0" w:color="auto"/>
                <w:right w:val="none" w:sz="0" w:space="0" w:color="auto"/>
              </w:divBdr>
            </w:div>
            <w:div w:id="1396854783">
              <w:marLeft w:val="0"/>
              <w:marRight w:val="0"/>
              <w:marTop w:val="0"/>
              <w:marBottom w:val="0"/>
              <w:divBdr>
                <w:top w:val="none" w:sz="0" w:space="0" w:color="auto"/>
                <w:left w:val="none" w:sz="0" w:space="0" w:color="auto"/>
                <w:bottom w:val="none" w:sz="0" w:space="0" w:color="auto"/>
                <w:right w:val="none" w:sz="0" w:space="0" w:color="auto"/>
              </w:divBdr>
            </w:div>
            <w:div w:id="1409377355">
              <w:marLeft w:val="0"/>
              <w:marRight w:val="0"/>
              <w:marTop w:val="0"/>
              <w:marBottom w:val="0"/>
              <w:divBdr>
                <w:top w:val="none" w:sz="0" w:space="0" w:color="auto"/>
                <w:left w:val="none" w:sz="0" w:space="0" w:color="auto"/>
                <w:bottom w:val="none" w:sz="0" w:space="0" w:color="auto"/>
                <w:right w:val="none" w:sz="0" w:space="0" w:color="auto"/>
              </w:divBdr>
            </w:div>
            <w:div w:id="1411274871">
              <w:marLeft w:val="0"/>
              <w:marRight w:val="0"/>
              <w:marTop w:val="0"/>
              <w:marBottom w:val="0"/>
              <w:divBdr>
                <w:top w:val="none" w:sz="0" w:space="0" w:color="auto"/>
                <w:left w:val="none" w:sz="0" w:space="0" w:color="auto"/>
                <w:bottom w:val="none" w:sz="0" w:space="0" w:color="auto"/>
                <w:right w:val="none" w:sz="0" w:space="0" w:color="auto"/>
              </w:divBdr>
            </w:div>
            <w:div w:id="1432580854">
              <w:marLeft w:val="0"/>
              <w:marRight w:val="0"/>
              <w:marTop w:val="0"/>
              <w:marBottom w:val="0"/>
              <w:divBdr>
                <w:top w:val="none" w:sz="0" w:space="0" w:color="auto"/>
                <w:left w:val="none" w:sz="0" w:space="0" w:color="auto"/>
                <w:bottom w:val="none" w:sz="0" w:space="0" w:color="auto"/>
                <w:right w:val="none" w:sz="0" w:space="0" w:color="auto"/>
              </w:divBdr>
            </w:div>
            <w:div w:id="1433211124">
              <w:marLeft w:val="0"/>
              <w:marRight w:val="0"/>
              <w:marTop w:val="0"/>
              <w:marBottom w:val="0"/>
              <w:divBdr>
                <w:top w:val="none" w:sz="0" w:space="0" w:color="auto"/>
                <w:left w:val="none" w:sz="0" w:space="0" w:color="auto"/>
                <w:bottom w:val="none" w:sz="0" w:space="0" w:color="auto"/>
                <w:right w:val="none" w:sz="0" w:space="0" w:color="auto"/>
              </w:divBdr>
            </w:div>
            <w:div w:id="1460682226">
              <w:marLeft w:val="0"/>
              <w:marRight w:val="0"/>
              <w:marTop w:val="0"/>
              <w:marBottom w:val="0"/>
              <w:divBdr>
                <w:top w:val="none" w:sz="0" w:space="0" w:color="auto"/>
                <w:left w:val="none" w:sz="0" w:space="0" w:color="auto"/>
                <w:bottom w:val="none" w:sz="0" w:space="0" w:color="auto"/>
                <w:right w:val="none" w:sz="0" w:space="0" w:color="auto"/>
              </w:divBdr>
            </w:div>
            <w:div w:id="1487477028">
              <w:marLeft w:val="0"/>
              <w:marRight w:val="0"/>
              <w:marTop w:val="0"/>
              <w:marBottom w:val="0"/>
              <w:divBdr>
                <w:top w:val="none" w:sz="0" w:space="0" w:color="auto"/>
                <w:left w:val="none" w:sz="0" w:space="0" w:color="auto"/>
                <w:bottom w:val="none" w:sz="0" w:space="0" w:color="auto"/>
                <w:right w:val="none" w:sz="0" w:space="0" w:color="auto"/>
              </w:divBdr>
            </w:div>
            <w:div w:id="1499341847">
              <w:marLeft w:val="0"/>
              <w:marRight w:val="0"/>
              <w:marTop w:val="0"/>
              <w:marBottom w:val="0"/>
              <w:divBdr>
                <w:top w:val="none" w:sz="0" w:space="0" w:color="auto"/>
                <w:left w:val="none" w:sz="0" w:space="0" w:color="auto"/>
                <w:bottom w:val="none" w:sz="0" w:space="0" w:color="auto"/>
                <w:right w:val="none" w:sz="0" w:space="0" w:color="auto"/>
              </w:divBdr>
            </w:div>
            <w:div w:id="1504052606">
              <w:marLeft w:val="0"/>
              <w:marRight w:val="0"/>
              <w:marTop w:val="0"/>
              <w:marBottom w:val="0"/>
              <w:divBdr>
                <w:top w:val="none" w:sz="0" w:space="0" w:color="auto"/>
                <w:left w:val="none" w:sz="0" w:space="0" w:color="auto"/>
                <w:bottom w:val="none" w:sz="0" w:space="0" w:color="auto"/>
                <w:right w:val="none" w:sz="0" w:space="0" w:color="auto"/>
              </w:divBdr>
            </w:div>
            <w:div w:id="1586261565">
              <w:marLeft w:val="0"/>
              <w:marRight w:val="0"/>
              <w:marTop w:val="0"/>
              <w:marBottom w:val="0"/>
              <w:divBdr>
                <w:top w:val="none" w:sz="0" w:space="0" w:color="auto"/>
                <w:left w:val="none" w:sz="0" w:space="0" w:color="auto"/>
                <w:bottom w:val="none" w:sz="0" w:space="0" w:color="auto"/>
                <w:right w:val="none" w:sz="0" w:space="0" w:color="auto"/>
              </w:divBdr>
            </w:div>
            <w:div w:id="1591498120">
              <w:marLeft w:val="0"/>
              <w:marRight w:val="0"/>
              <w:marTop w:val="0"/>
              <w:marBottom w:val="0"/>
              <w:divBdr>
                <w:top w:val="none" w:sz="0" w:space="0" w:color="auto"/>
                <w:left w:val="none" w:sz="0" w:space="0" w:color="auto"/>
                <w:bottom w:val="none" w:sz="0" w:space="0" w:color="auto"/>
                <w:right w:val="none" w:sz="0" w:space="0" w:color="auto"/>
              </w:divBdr>
            </w:div>
            <w:div w:id="1674869020">
              <w:marLeft w:val="0"/>
              <w:marRight w:val="0"/>
              <w:marTop w:val="0"/>
              <w:marBottom w:val="0"/>
              <w:divBdr>
                <w:top w:val="none" w:sz="0" w:space="0" w:color="auto"/>
                <w:left w:val="none" w:sz="0" w:space="0" w:color="auto"/>
                <w:bottom w:val="none" w:sz="0" w:space="0" w:color="auto"/>
                <w:right w:val="none" w:sz="0" w:space="0" w:color="auto"/>
              </w:divBdr>
            </w:div>
            <w:div w:id="1676221714">
              <w:marLeft w:val="0"/>
              <w:marRight w:val="0"/>
              <w:marTop w:val="0"/>
              <w:marBottom w:val="0"/>
              <w:divBdr>
                <w:top w:val="none" w:sz="0" w:space="0" w:color="auto"/>
                <w:left w:val="none" w:sz="0" w:space="0" w:color="auto"/>
                <w:bottom w:val="none" w:sz="0" w:space="0" w:color="auto"/>
                <w:right w:val="none" w:sz="0" w:space="0" w:color="auto"/>
              </w:divBdr>
            </w:div>
            <w:div w:id="1681002759">
              <w:marLeft w:val="0"/>
              <w:marRight w:val="0"/>
              <w:marTop w:val="0"/>
              <w:marBottom w:val="0"/>
              <w:divBdr>
                <w:top w:val="none" w:sz="0" w:space="0" w:color="auto"/>
                <w:left w:val="none" w:sz="0" w:space="0" w:color="auto"/>
                <w:bottom w:val="none" w:sz="0" w:space="0" w:color="auto"/>
                <w:right w:val="none" w:sz="0" w:space="0" w:color="auto"/>
              </w:divBdr>
            </w:div>
            <w:div w:id="1682510073">
              <w:marLeft w:val="0"/>
              <w:marRight w:val="0"/>
              <w:marTop w:val="0"/>
              <w:marBottom w:val="0"/>
              <w:divBdr>
                <w:top w:val="none" w:sz="0" w:space="0" w:color="auto"/>
                <w:left w:val="none" w:sz="0" w:space="0" w:color="auto"/>
                <w:bottom w:val="none" w:sz="0" w:space="0" w:color="auto"/>
                <w:right w:val="none" w:sz="0" w:space="0" w:color="auto"/>
              </w:divBdr>
            </w:div>
            <w:div w:id="1692803997">
              <w:marLeft w:val="0"/>
              <w:marRight w:val="0"/>
              <w:marTop w:val="0"/>
              <w:marBottom w:val="0"/>
              <w:divBdr>
                <w:top w:val="none" w:sz="0" w:space="0" w:color="auto"/>
                <w:left w:val="none" w:sz="0" w:space="0" w:color="auto"/>
                <w:bottom w:val="none" w:sz="0" w:space="0" w:color="auto"/>
                <w:right w:val="none" w:sz="0" w:space="0" w:color="auto"/>
              </w:divBdr>
            </w:div>
            <w:div w:id="1710497846">
              <w:marLeft w:val="0"/>
              <w:marRight w:val="0"/>
              <w:marTop w:val="0"/>
              <w:marBottom w:val="0"/>
              <w:divBdr>
                <w:top w:val="none" w:sz="0" w:space="0" w:color="auto"/>
                <w:left w:val="none" w:sz="0" w:space="0" w:color="auto"/>
                <w:bottom w:val="none" w:sz="0" w:space="0" w:color="auto"/>
                <w:right w:val="none" w:sz="0" w:space="0" w:color="auto"/>
              </w:divBdr>
            </w:div>
            <w:div w:id="1718704573">
              <w:marLeft w:val="0"/>
              <w:marRight w:val="0"/>
              <w:marTop w:val="0"/>
              <w:marBottom w:val="0"/>
              <w:divBdr>
                <w:top w:val="none" w:sz="0" w:space="0" w:color="auto"/>
                <w:left w:val="none" w:sz="0" w:space="0" w:color="auto"/>
                <w:bottom w:val="none" w:sz="0" w:space="0" w:color="auto"/>
                <w:right w:val="none" w:sz="0" w:space="0" w:color="auto"/>
              </w:divBdr>
            </w:div>
            <w:div w:id="1764299188">
              <w:marLeft w:val="0"/>
              <w:marRight w:val="0"/>
              <w:marTop w:val="0"/>
              <w:marBottom w:val="0"/>
              <w:divBdr>
                <w:top w:val="none" w:sz="0" w:space="0" w:color="auto"/>
                <w:left w:val="none" w:sz="0" w:space="0" w:color="auto"/>
                <w:bottom w:val="none" w:sz="0" w:space="0" w:color="auto"/>
                <w:right w:val="none" w:sz="0" w:space="0" w:color="auto"/>
              </w:divBdr>
            </w:div>
            <w:div w:id="1822041438">
              <w:marLeft w:val="0"/>
              <w:marRight w:val="0"/>
              <w:marTop w:val="0"/>
              <w:marBottom w:val="0"/>
              <w:divBdr>
                <w:top w:val="none" w:sz="0" w:space="0" w:color="auto"/>
                <w:left w:val="none" w:sz="0" w:space="0" w:color="auto"/>
                <w:bottom w:val="none" w:sz="0" w:space="0" w:color="auto"/>
                <w:right w:val="none" w:sz="0" w:space="0" w:color="auto"/>
              </w:divBdr>
            </w:div>
            <w:div w:id="1884900878">
              <w:marLeft w:val="0"/>
              <w:marRight w:val="0"/>
              <w:marTop w:val="0"/>
              <w:marBottom w:val="0"/>
              <w:divBdr>
                <w:top w:val="none" w:sz="0" w:space="0" w:color="auto"/>
                <w:left w:val="none" w:sz="0" w:space="0" w:color="auto"/>
                <w:bottom w:val="none" w:sz="0" w:space="0" w:color="auto"/>
                <w:right w:val="none" w:sz="0" w:space="0" w:color="auto"/>
              </w:divBdr>
            </w:div>
            <w:div w:id="1906647226">
              <w:marLeft w:val="0"/>
              <w:marRight w:val="0"/>
              <w:marTop w:val="0"/>
              <w:marBottom w:val="0"/>
              <w:divBdr>
                <w:top w:val="none" w:sz="0" w:space="0" w:color="auto"/>
                <w:left w:val="none" w:sz="0" w:space="0" w:color="auto"/>
                <w:bottom w:val="none" w:sz="0" w:space="0" w:color="auto"/>
                <w:right w:val="none" w:sz="0" w:space="0" w:color="auto"/>
              </w:divBdr>
            </w:div>
            <w:div w:id="1916011054">
              <w:marLeft w:val="0"/>
              <w:marRight w:val="0"/>
              <w:marTop w:val="0"/>
              <w:marBottom w:val="0"/>
              <w:divBdr>
                <w:top w:val="none" w:sz="0" w:space="0" w:color="auto"/>
                <w:left w:val="none" w:sz="0" w:space="0" w:color="auto"/>
                <w:bottom w:val="none" w:sz="0" w:space="0" w:color="auto"/>
                <w:right w:val="none" w:sz="0" w:space="0" w:color="auto"/>
              </w:divBdr>
            </w:div>
            <w:div w:id="1925719215">
              <w:marLeft w:val="0"/>
              <w:marRight w:val="0"/>
              <w:marTop w:val="0"/>
              <w:marBottom w:val="0"/>
              <w:divBdr>
                <w:top w:val="none" w:sz="0" w:space="0" w:color="auto"/>
                <w:left w:val="none" w:sz="0" w:space="0" w:color="auto"/>
                <w:bottom w:val="none" w:sz="0" w:space="0" w:color="auto"/>
                <w:right w:val="none" w:sz="0" w:space="0" w:color="auto"/>
              </w:divBdr>
            </w:div>
            <w:div w:id="1954241959">
              <w:marLeft w:val="0"/>
              <w:marRight w:val="0"/>
              <w:marTop w:val="0"/>
              <w:marBottom w:val="0"/>
              <w:divBdr>
                <w:top w:val="none" w:sz="0" w:space="0" w:color="auto"/>
                <w:left w:val="none" w:sz="0" w:space="0" w:color="auto"/>
                <w:bottom w:val="none" w:sz="0" w:space="0" w:color="auto"/>
                <w:right w:val="none" w:sz="0" w:space="0" w:color="auto"/>
              </w:divBdr>
            </w:div>
            <w:div w:id="1979800126">
              <w:marLeft w:val="0"/>
              <w:marRight w:val="0"/>
              <w:marTop w:val="0"/>
              <w:marBottom w:val="0"/>
              <w:divBdr>
                <w:top w:val="none" w:sz="0" w:space="0" w:color="auto"/>
                <w:left w:val="none" w:sz="0" w:space="0" w:color="auto"/>
                <w:bottom w:val="none" w:sz="0" w:space="0" w:color="auto"/>
                <w:right w:val="none" w:sz="0" w:space="0" w:color="auto"/>
              </w:divBdr>
            </w:div>
            <w:div w:id="1982954360">
              <w:marLeft w:val="0"/>
              <w:marRight w:val="0"/>
              <w:marTop w:val="0"/>
              <w:marBottom w:val="0"/>
              <w:divBdr>
                <w:top w:val="none" w:sz="0" w:space="0" w:color="auto"/>
                <w:left w:val="none" w:sz="0" w:space="0" w:color="auto"/>
                <w:bottom w:val="none" w:sz="0" w:space="0" w:color="auto"/>
                <w:right w:val="none" w:sz="0" w:space="0" w:color="auto"/>
              </w:divBdr>
            </w:div>
            <w:div w:id="2006349381">
              <w:marLeft w:val="0"/>
              <w:marRight w:val="0"/>
              <w:marTop w:val="0"/>
              <w:marBottom w:val="0"/>
              <w:divBdr>
                <w:top w:val="none" w:sz="0" w:space="0" w:color="auto"/>
                <w:left w:val="none" w:sz="0" w:space="0" w:color="auto"/>
                <w:bottom w:val="none" w:sz="0" w:space="0" w:color="auto"/>
                <w:right w:val="none" w:sz="0" w:space="0" w:color="auto"/>
              </w:divBdr>
            </w:div>
            <w:div w:id="2006737820">
              <w:marLeft w:val="0"/>
              <w:marRight w:val="0"/>
              <w:marTop w:val="0"/>
              <w:marBottom w:val="0"/>
              <w:divBdr>
                <w:top w:val="none" w:sz="0" w:space="0" w:color="auto"/>
                <w:left w:val="none" w:sz="0" w:space="0" w:color="auto"/>
                <w:bottom w:val="none" w:sz="0" w:space="0" w:color="auto"/>
                <w:right w:val="none" w:sz="0" w:space="0" w:color="auto"/>
              </w:divBdr>
            </w:div>
            <w:div w:id="2057922034">
              <w:marLeft w:val="0"/>
              <w:marRight w:val="0"/>
              <w:marTop w:val="0"/>
              <w:marBottom w:val="0"/>
              <w:divBdr>
                <w:top w:val="none" w:sz="0" w:space="0" w:color="auto"/>
                <w:left w:val="none" w:sz="0" w:space="0" w:color="auto"/>
                <w:bottom w:val="none" w:sz="0" w:space="0" w:color="auto"/>
                <w:right w:val="none" w:sz="0" w:space="0" w:color="auto"/>
              </w:divBdr>
            </w:div>
            <w:div w:id="2065054624">
              <w:marLeft w:val="0"/>
              <w:marRight w:val="0"/>
              <w:marTop w:val="0"/>
              <w:marBottom w:val="0"/>
              <w:divBdr>
                <w:top w:val="none" w:sz="0" w:space="0" w:color="auto"/>
                <w:left w:val="none" w:sz="0" w:space="0" w:color="auto"/>
                <w:bottom w:val="none" w:sz="0" w:space="0" w:color="auto"/>
                <w:right w:val="none" w:sz="0" w:space="0" w:color="auto"/>
              </w:divBdr>
            </w:div>
            <w:div w:id="2088575762">
              <w:marLeft w:val="0"/>
              <w:marRight w:val="0"/>
              <w:marTop w:val="0"/>
              <w:marBottom w:val="0"/>
              <w:divBdr>
                <w:top w:val="none" w:sz="0" w:space="0" w:color="auto"/>
                <w:left w:val="none" w:sz="0" w:space="0" w:color="auto"/>
                <w:bottom w:val="none" w:sz="0" w:space="0" w:color="auto"/>
                <w:right w:val="none" w:sz="0" w:space="0" w:color="auto"/>
              </w:divBdr>
            </w:div>
            <w:div w:id="2117558175">
              <w:marLeft w:val="0"/>
              <w:marRight w:val="0"/>
              <w:marTop w:val="0"/>
              <w:marBottom w:val="0"/>
              <w:divBdr>
                <w:top w:val="none" w:sz="0" w:space="0" w:color="auto"/>
                <w:left w:val="none" w:sz="0" w:space="0" w:color="auto"/>
                <w:bottom w:val="none" w:sz="0" w:space="0" w:color="auto"/>
                <w:right w:val="none" w:sz="0" w:space="0" w:color="auto"/>
              </w:divBdr>
            </w:div>
            <w:div w:id="2120878617">
              <w:marLeft w:val="0"/>
              <w:marRight w:val="0"/>
              <w:marTop w:val="0"/>
              <w:marBottom w:val="0"/>
              <w:divBdr>
                <w:top w:val="none" w:sz="0" w:space="0" w:color="auto"/>
                <w:left w:val="none" w:sz="0" w:space="0" w:color="auto"/>
                <w:bottom w:val="none" w:sz="0" w:space="0" w:color="auto"/>
                <w:right w:val="none" w:sz="0" w:space="0" w:color="auto"/>
              </w:divBdr>
            </w:div>
            <w:div w:id="2121953009">
              <w:marLeft w:val="0"/>
              <w:marRight w:val="0"/>
              <w:marTop w:val="0"/>
              <w:marBottom w:val="0"/>
              <w:divBdr>
                <w:top w:val="none" w:sz="0" w:space="0" w:color="auto"/>
                <w:left w:val="none" w:sz="0" w:space="0" w:color="auto"/>
                <w:bottom w:val="none" w:sz="0" w:space="0" w:color="auto"/>
                <w:right w:val="none" w:sz="0" w:space="0" w:color="auto"/>
              </w:divBdr>
            </w:div>
            <w:div w:id="2131237224">
              <w:marLeft w:val="0"/>
              <w:marRight w:val="0"/>
              <w:marTop w:val="0"/>
              <w:marBottom w:val="0"/>
              <w:divBdr>
                <w:top w:val="none" w:sz="0" w:space="0" w:color="auto"/>
                <w:left w:val="none" w:sz="0" w:space="0" w:color="auto"/>
                <w:bottom w:val="none" w:sz="0" w:space="0" w:color="auto"/>
                <w:right w:val="none" w:sz="0" w:space="0" w:color="auto"/>
              </w:divBdr>
            </w:div>
            <w:div w:id="21452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68129">
      <w:bodyDiv w:val="1"/>
      <w:marLeft w:val="0"/>
      <w:marRight w:val="0"/>
      <w:marTop w:val="0"/>
      <w:marBottom w:val="0"/>
      <w:divBdr>
        <w:top w:val="none" w:sz="0" w:space="0" w:color="auto"/>
        <w:left w:val="none" w:sz="0" w:space="0" w:color="auto"/>
        <w:bottom w:val="none" w:sz="0" w:space="0" w:color="auto"/>
        <w:right w:val="none" w:sz="0" w:space="0" w:color="auto"/>
      </w:divBdr>
      <w:divsChild>
        <w:div w:id="1194000967">
          <w:marLeft w:val="274"/>
          <w:marRight w:val="0"/>
          <w:marTop w:val="0"/>
          <w:marBottom w:val="0"/>
          <w:divBdr>
            <w:top w:val="none" w:sz="0" w:space="0" w:color="auto"/>
            <w:left w:val="none" w:sz="0" w:space="0" w:color="auto"/>
            <w:bottom w:val="none" w:sz="0" w:space="0" w:color="auto"/>
            <w:right w:val="none" w:sz="0" w:space="0" w:color="auto"/>
          </w:divBdr>
        </w:div>
        <w:div w:id="1332634312">
          <w:marLeft w:val="274"/>
          <w:marRight w:val="0"/>
          <w:marTop w:val="0"/>
          <w:marBottom w:val="0"/>
          <w:divBdr>
            <w:top w:val="none" w:sz="0" w:space="0" w:color="auto"/>
            <w:left w:val="none" w:sz="0" w:space="0" w:color="auto"/>
            <w:bottom w:val="none" w:sz="0" w:space="0" w:color="auto"/>
            <w:right w:val="none" w:sz="0" w:space="0" w:color="auto"/>
          </w:divBdr>
        </w:div>
        <w:div w:id="2072535122">
          <w:marLeft w:val="274"/>
          <w:marRight w:val="0"/>
          <w:marTop w:val="0"/>
          <w:marBottom w:val="0"/>
          <w:divBdr>
            <w:top w:val="none" w:sz="0" w:space="0" w:color="auto"/>
            <w:left w:val="none" w:sz="0" w:space="0" w:color="auto"/>
            <w:bottom w:val="none" w:sz="0" w:space="0" w:color="auto"/>
            <w:right w:val="none" w:sz="0" w:space="0" w:color="auto"/>
          </w:divBdr>
        </w:div>
      </w:divsChild>
    </w:div>
    <w:div w:id="1966110527">
      <w:bodyDiv w:val="1"/>
      <w:marLeft w:val="0"/>
      <w:marRight w:val="0"/>
      <w:marTop w:val="0"/>
      <w:marBottom w:val="0"/>
      <w:divBdr>
        <w:top w:val="none" w:sz="0" w:space="0" w:color="auto"/>
        <w:left w:val="none" w:sz="0" w:space="0" w:color="auto"/>
        <w:bottom w:val="none" w:sz="0" w:space="0" w:color="auto"/>
        <w:right w:val="none" w:sz="0" w:space="0" w:color="auto"/>
      </w:divBdr>
      <w:divsChild>
        <w:div w:id="551575139">
          <w:marLeft w:val="274"/>
          <w:marRight w:val="0"/>
          <w:marTop w:val="0"/>
          <w:marBottom w:val="0"/>
          <w:divBdr>
            <w:top w:val="none" w:sz="0" w:space="0" w:color="auto"/>
            <w:left w:val="none" w:sz="0" w:space="0" w:color="auto"/>
            <w:bottom w:val="none" w:sz="0" w:space="0" w:color="auto"/>
            <w:right w:val="none" w:sz="0" w:space="0" w:color="auto"/>
          </w:divBdr>
        </w:div>
        <w:div w:id="762141444">
          <w:marLeft w:val="274"/>
          <w:marRight w:val="0"/>
          <w:marTop w:val="0"/>
          <w:marBottom w:val="0"/>
          <w:divBdr>
            <w:top w:val="none" w:sz="0" w:space="0" w:color="auto"/>
            <w:left w:val="none" w:sz="0" w:space="0" w:color="auto"/>
            <w:bottom w:val="none" w:sz="0" w:space="0" w:color="auto"/>
            <w:right w:val="none" w:sz="0" w:space="0" w:color="auto"/>
          </w:divBdr>
        </w:div>
        <w:div w:id="958727732">
          <w:marLeft w:val="274"/>
          <w:marRight w:val="0"/>
          <w:marTop w:val="0"/>
          <w:marBottom w:val="0"/>
          <w:divBdr>
            <w:top w:val="none" w:sz="0" w:space="0" w:color="auto"/>
            <w:left w:val="none" w:sz="0" w:space="0" w:color="auto"/>
            <w:bottom w:val="none" w:sz="0" w:space="0" w:color="auto"/>
            <w:right w:val="none" w:sz="0" w:space="0" w:color="auto"/>
          </w:divBdr>
        </w:div>
        <w:div w:id="1503009420">
          <w:marLeft w:val="274"/>
          <w:marRight w:val="0"/>
          <w:marTop w:val="0"/>
          <w:marBottom w:val="0"/>
          <w:divBdr>
            <w:top w:val="none" w:sz="0" w:space="0" w:color="auto"/>
            <w:left w:val="none" w:sz="0" w:space="0" w:color="auto"/>
            <w:bottom w:val="none" w:sz="0" w:space="0" w:color="auto"/>
            <w:right w:val="none" w:sz="0" w:space="0" w:color="auto"/>
          </w:divBdr>
        </w:div>
        <w:div w:id="1523586415">
          <w:marLeft w:val="274"/>
          <w:marRight w:val="0"/>
          <w:marTop w:val="0"/>
          <w:marBottom w:val="0"/>
          <w:divBdr>
            <w:top w:val="none" w:sz="0" w:space="0" w:color="auto"/>
            <w:left w:val="none" w:sz="0" w:space="0" w:color="auto"/>
            <w:bottom w:val="none" w:sz="0" w:space="0" w:color="auto"/>
            <w:right w:val="none" w:sz="0" w:space="0" w:color="auto"/>
          </w:divBdr>
        </w:div>
      </w:divsChild>
    </w:div>
    <w:div w:id="1969621249">
      <w:bodyDiv w:val="1"/>
      <w:marLeft w:val="0"/>
      <w:marRight w:val="0"/>
      <w:marTop w:val="0"/>
      <w:marBottom w:val="0"/>
      <w:divBdr>
        <w:top w:val="none" w:sz="0" w:space="0" w:color="auto"/>
        <w:left w:val="none" w:sz="0" w:space="0" w:color="auto"/>
        <w:bottom w:val="none" w:sz="0" w:space="0" w:color="auto"/>
        <w:right w:val="none" w:sz="0" w:space="0" w:color="auto"/>
      </w:divBdr>
    </w:div>
    <w:div w:id="1994989568">
      <w:bodyDiv w:val="1"/>
      <w:marLeft w:val="0"/>
      <w:marRight w:val="0"/>
      <w:marTop w:val="0"/>
      <w:marBottom w:val="0"/>
      <w:divBdr>
        <w:top w:val="none" w:sz="0" w:space="0" w:color="auto"/>
        <w:left w:val="none" w:sz="0" w:space="0" w:color="auto"/>
        <w:bottom w:val="none" w:sz="0" w:space="0" w:color="auto"/>
        <w:right w:val="none" w:sz="0" w:space="0" w:color="auto"/>
      </w:divBdr>
    </w:div>
    <w:div w:id="2020428124">
      <w:bodyDiv w:val="1"/>
      <w:marLeft w:val="0"/>
      <w:marRight w:val="0"/>
      <w:marTop w:val="0"/>
      <w:marBottom w:val="0"/>
      <w:divBdr>
        <w:top w:val="none" w:sz="0" w:space="0" w:color="auto"/>
        <w:left w:val="none" w:sz="0" w:space="0" w:color="auto"/>
        <w:bottom w:val="none" w:sz="0" w:space="0" w:color="auto"/>
        <w:right w:val="none" w:sz="0" w:space="0" w:color="auto"/>
      </w:divBdr>
      <w:divsChild>
        <w:div w:id="1005784520">
          <w:marLeft w:val="274"/>
          <w:marRight w:val="0"/>
          <w:marTop w:val="0"/>
          <w:marBottom w:val="0"/>
          <w:divBdr>
            <w:top w:val="none" w:sz="0" w:space="0" w:color="auto"/>
            <w:left w:val="none" w:sz="0" w:space="0" w:color="auto"/>
            <w:bottom w:val="none" w:sz="0" w:space="0" w:color="auto"/>
            <w:right w:val="none" w:sz="0" w:space="0" w:color="auto"/>
          </w:divBdr>
        </w:div>
        <w:div w:id="1488715792">
          <w:marLeft w:val="274"/>
          <w:marRight w:val="0"/>
          <w:marTop w:val="0"/>
          <w:marBottom w:val="0"/>
          <w:divBdr>
            <w:top w:val="none" w:sz="0" w:space="0" w:color="auto"/>
            <w:left w:val="none" w:sz="0" w:space="0" w:color="auto"/>
            <w:bottom w:val="none" w:sz="0" w:space="0" w:color="auto"/>
            <w:right w:val="none" w:sz="0" w:space="0" w:color="auto"/>
          </w:divBdr>
        </w:div>
        <w:div w:id="1590387518">
          <w:marLeft w:val="274"/>
          <w:marRight w:val="0"/>
          <w:marTop w:val="0"/>
          <w:marBottom w:val="0"/>
          <w:divBdr>
            <w:top w:val="none" w:sz="0" w:space="0" w:color="auto"/>
            <w:left w:val="none" w:sz="0" w:space="0" w:color="auto"/>
            <w:bottom w:val="none" w:sz="0" w:space="0" w:color="auto"/>
            <w:right w:val="none" w:sz="0" w:space="0" w:color="auto"/>
          </w:divBdr>
        </w:div>
        <w:div w:id="1617981051">
          <w:marLeft w:val="274"/>
          <w:marRight w:val="0"/>
          <w:marTop w:val="0"/>
          <w:marBottom w:val="0"/>
          <w:divBdr>
            <w:top w:val="none" w:sz="0" w:space="0" w:color="auto"/>
            <w:left w:val="none" w:sz="0" w:space="0" w:color="auto"/>
            <w:bottom w:val="none" w:sz="0" w:space="0" w:color="auto"/>
            <w:right w:val="none" w:sz="0" w:space="0" w:color="auto"/>
          </w:divBdr>
        </w:div>
        <w:div w:id="1899511194">
          <w:marLeft w:val="274"/>
          <w:marRight w:val="0"/>
          <w:marTop w:val="0"/>
          <w:marBottom w:val="0"/>
          <w:divBdr>
            <w:top w:val="none" w:sz="0" w:space="0" w:color="auto"/>
            <w:left w:val="none" w:sz="0" w:space="0" w:color="auto"/>
            <w:bottom w:val="none" w:sz="0" w:space="0" w:color="auto"/>
            <w:right w:val="none" w:sz="0" w:space="0" w:color="auto"/>
          </w:divBdr>
        </w:div>
      </w:divsChild>
    </w:div>
    <w:div w:id="2034575315">
      <w:bodyDiv w:val="1"/>
      <w:marLeft w:val="0"/>
      <w:marRight w:val="0"/>
      <w:marTop w:val="0"/>
      <w:marBottom w:val="0"/>
      <w:divBdr>
        <w:top w:val="none" w:sz="0" w:space="0" w:color="auto"/>
        <w:left w:val="none" w:sz="0" w:space="0" w:color="auto"/>
        <w:bottom w:val="none" w:sz="0" w:space="0" w:color="auto"/>
        <w:right w:val="none" w:sz="0" w:space="0" w:color="auto"/>
      </w:divBdr>
      <w:divsChild>
        <w:div w:id="133301398">
          <w:marLeft w:val="547"/>
          <w:marRight w:val="0"/>
          <w:marTop w:val="0"/>
          <w:marBottom w:val="0"/>
          <w:divBdr>
            <w:top w:val="none" w:sz="0" w:space="0" w:color="auto"/>
            <w:left w:val="none" w:sz="0" w:space="0" w:color="auto"/>
            <w:bottom w:val="none" w:sz="0" w:space="0" w:color="auto"/>
            <w:right w:val="none" w:sz="0" w:space="0" w:color="auto"/>
          </w:divBdr>
        </w:div>
      </w:divsChild>
    </w:div>
    <w:div w:id="2035643700">
      <w:bodyDiv w:val="1"/>
      <w:marLeft w:val="0"/>
      <w:marRight w:val="0"/>
      <w:marTop w:val="0"/>
      <w:marBottom w:val="0"/>
      <w:divBdr>
        <w:top w:val="none" w:sz="0" w:space="0" w:color="auto"/>
        <w:left w:val="none" w:sz="0" w:space="0" w:color="auto"/>
        <w:bottom w:val="none" w:sz="0" w:space="0" w:color="auto"/>
        <w:right w:val="none" w:sz="0" w:space="0" w:color="auto"/>
      </w:divBdr>
      <w:divsChild>
        <w:div w:id="369888118">
          <w:marLeft w:val="274"/>
          <w:marRight w:val="0"/>
          <w:marTop w:val="0"/>
          <w:marBottom w:val="0"/>
          <w:divBdr>
            <w:top w:val="none" w:sz="0" w:space="0" w:color="auto"/>
            <w:left w:val="none" w:sz="0" w:space="0" w:color="auto"/>
            <w:bottom w:val="none" w:sz="0" w:space="0" w:color="auto"/>
            <w:right w:val="none" w:sz="0" w:space="0" w:color="auto"/>
          </w:divBdr>
        </w:div>
        <w:div w:id="1067996616">
          <w:marLeft w:val="274"/>
          <w:marRight w:val="0"/>
          <w:marTop w:val="0"/>
          <w:marBottom w:val="0"/>
          <w:divBdr>
            <w:top w:val="none" w:sz="0" w:space="0" w:color="auto"/>
            <w:left w:val="none" w:sz="0" w:space="0" w:color="auto"/>
            <w:bottom w:val="none" w:sz="0" w:space="0" w:color="auto"/>
            <w:right w:val="none" w:sz="0" w:space="0" w:color="auto"/>
          </w:divBdr>
        </w:div>
        <w:div w:id="1674723140">
          <w:marLeft w:val="274"/>
          <w:marRight w:val="0"/>
          <w:marTop w:val="0"/>
          <w:marBottom w:val="0"/>
          <w:divBdr>
            <w:top w:val="none" w:sz="0" w:space="0" w:color="auto"/>
            <w:left w:val="none" w:sz="0" w:space="0" w:color="auto"/>
            <w:bottom w:val="none" w:sz="0" w:space="0" w:color="auto"/>
            <w:right w:val="none" w:sz="0" w:space="0" w:color="auto"/>
          </w:divBdr>
        </w:div>
        <w:div w:id="1866625954">
          <w:marLeft w:val="274"/>
          <w:marRight w:val="0"/>
          <w:marTop w:val="0"/>
          <w:marBottom w:val="0"/>
          <w:divBdr>
            <w:top w:val="none" w:sz="0" w:space="0" w:color="auto"/>
            <w:left w:val="none" w:sz="0" w:space="0" w:color="auto"/>
            <w:bottom w:val="none" w:sz="0" w:space="0" w:color="auto"/>
            <w:right w:val="none" w:sz="0" w:space="0" w:color="auto"/>
          </w:divBdr>
        </w:div>
      </w:divsChild>
    </w:div>
    <w:div w:id="2048988873">
      <w:bodyDiv w:val="1"/>
      <w:marLeft w:val="0"/>
      <w:marRight w:val="0"/>
      <w:marTop w:val="0"/>
      <w:marBottom w:val="0"/>
      <w:divBdr>
        <w:top w:val="none" w:sz="0" w:space="0" w:color="auto"/>
        <w:left w:val="none" w:sz="0" w:space="0" w:color="auto"/>
        <w:bottom w:val="none" w:sz="0" w:space="0" w:color="auto"/>
        <w:right w:val="none" w:sz="0" w:space="0" w:color="auto"/>
      </w:divBdr>
    </w:div>
    <w:div w:id="2051370872">
      <w:bodyDiv w:val="1"/>
      <w:marLeft w:val="0"/>
      <w:marRight w:val="0"/>
      <w:marTop w:val="0"/>
      <w:marBottom w:val="0"/>
      <w:divBdr>
        <w:top w:val="none" w:sz="0" w:space="0" w:color="auto"/>
        <w:left w:val="none" w:sz="0" w:space="0" w:color="auto"/>
        <w:bottom w:val="none" w:sz="0" w:space="0" w:color="auto"/>
        <w:right w:val="none" w:sz="0" w:space="0" w:color="auto"/>
      </w:divBdr>
    </w:div>
    <w:div w:id="2066563197">
      <w:bodyDiv w:val="1"/>
      <w:marLeft w:val="0"/>
      <w:marRight w:val="0"/>
      <w:marTop w:val="0"/>
      <w:marBottom w:val="0"/>
      <w:divBdr>
        <w:top w:val="none" w:sz="0" w:space="0" w:color="auto"/>
        <w:left w:val="none" w:sz="0" w:space="0" w:color="auto"/>
        <w:bottom w:val="none" w:sz="0" w:space="0" w:color="auto"/>
        <w:right w:val="none" w:sz="0" w:space="0" w:color="auto"/>
      </w:divBdr>
    </w:div>
    <w:div w:id="2071535656">
      <w:bodyDiv w:val="1"/>
      <w:marLeft w:val="0"/>
      <w:marRight w:val="0"/>
      <w:marTop w:val="0"/>
      <w:marBottom w:val="0"/>
      <w:divBdr>
        <w:top w:val="none" w:sz="0" w:space="0" w:color="auto"/>
        <w:left w:val="none" w:sz="0" w:space="0" w:color="auto"/>
        <w:bottom w:val="none" w:sz="0" w:space="0" w:color="auto"/>
        <w:right w:val="none" w:sz="0" w:space="0" w:color="auto"/>
      </w:divBdr>
    </w:div>
    <w:div w:id="2073843290">
      <w:bodyDiv w:val="1"/>
      <w:marLeft w:val="0"/>
      <w:marRight w:val="0"/>
      <w:marTop w:val="0"/>
      <w:marBottom w:val="0"/>
      <w:divBdr>
        <w:top w:val="none" w:sz="0" w:space="0" w:color="auto"/>
        <w:left w:val="none" w:sz="0" w:space="0" w:color="auto"/>
        <w:bottom w:val="none" w:sz="0" w:space="0" w:color="auto"/>
        <w:right w:val="none" w:sz="0" w:space="0" w:color="auto"/>
      </w:divBdr>
    </w:div>
    <w:div w:id="2087993963">
      <w:bodyDiv w:val="1"/>
      <w:marLeft w:val="0"/>
      <w:marRight w:val="0"/>
      <w:marTop w:val="0"/>
      <w:marBottom w:val="0"/>
      <w:divBdr>
        <w:top w:val="none" w:sz="0" w:space="0" w:color="auto"/>
        <w:left w:val="none" w:sz="0" w:space="0" w:color="auto"/>
        <w:bottom w:val="none" w:sz="0" w:space="0" w:color="auto"/>
        <w:right w:val="none" w:sz="0" w:space="0" w:color="auto"/>
      </w:divBdr>
    </w:div>
    <w:div w:id="2103068178">
      <w:bodyDiv w:val="1"/>
      <w:marLeft w:val="0"/>
      <w:marRight w:val="0"/>
      <w:marTop w:val="0"/>
      <w:marBottom w:val="0"/>
      <w:divBdr>
        <w:top w:val="none" w:sz="0" w:space="0" w:color="auto"/>
        <w:left w:val="none" w:sz="0" w:space="0" w:color="auto"/>
        <w:bottom w:val="none" w:sz="0" w:space="0" w:color="auto"/>
        <w:right w:val="none" w:sz="0" w:space="0" w:color="auto"/>
      </w:divBdr>
    </w:div>
    <w:div w:id="210360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diagramQuickStyle" Target="diagrams/quickStyle9.xml"/><Relationship Id="rId21" Type="http://schemas.openxmlformats.org/officeDocument/2006/relationships/header" Target="header1.xml"/><Relationship Id="rId42" Type="http://schemas.openxmlformats.org/officeDocument/2006/relationships/chart" Target="charts/chart15.xml"/><Relationship Id="rId47" Type="http://schemas.openxmlformats.org/officeDocument/2006/relationships/image" Target="media/image9.jpeg"/><Relationship Id="rId63" Type="http://schemas.openxmlformats.org/officeDocument/2006/relationships/image" Target="media/image13.png"/><Relationship Id="rId68" Type="http://schemas.openxmlformats.org/officeDocument/2006/relationships/image" Target="media/image17.png"/><Relationship Id="rId84" Type="http://schemas.microsoft.com/office/2007/relationships/diagramDrawing" Target="diagrams/drawing2.xml"/><Relationship Id="rId89" Type="http://schemas.microsoft.com/office/2007/relationships/diagramDrawing" Target="diagrams/drawing3.xml"/><Relationship Id="rId112" Type="http://schemas.openxmlformats.org/officeDocument/2006/relationships/diagramQuickStyle" Target="diagrams/quickStyle8.xml"/><Relationship Id="rId16" Type="http://schemas.openxmlformats.org/officeDocument/2006/relationships/image" Target="media/image3.png"/><Relationship Id="rId107" Type="http://schemas.openxmlformats.org/officeDocument/2006/relationships/diagramQuickStyle" Target="diagrams/quickStyle7.xml"/><Relationship Id="rId11" Type="http://schemas.openxmlformats.org/officeDocument/2006/relationships/image" Target="media/image2.jpeg"/><Relationship Id="rId32" Type="http://schemas.openxmlformats.org/officeDocument/2006/relationships/image" Target="media/image7.png"/><Relationship Id="rId37" Type="http://schemas.openxmlformats.org/officeDocument/2006/relationships/chart" Target="charts/chart10.xml"/><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image" Target="media/image18.jpeg"/><Relationship Id="rId79" Type="http://schemas.microsoft.com/office/2007/relationships/diagramDrawing" Target="diagrams/drawing1.xml"/><Relationship Id="rId102" Type="http://schemas.openxmlformats.org/officeDocument/2006/relationships/diagramQuickStyle" Target="diagrams/quickStyle6.xml"/><Relationship Id="rId123" Type="http://schemas.openxmlformats.org/officeDocument/2006/relationships/diagramColors" Target="diagrams/colors10.xml"/><Relationship Id="rId5" Type="http://schemas.microsoft.com/office/2007/relationships/stylesWithEffects" Target="stylesWithEffects.xml"/><Relationship Id="rId61" Type="http://schemas.openxmlformats.org/officeDocument/2006/relationships/chart" Target="charts/chart29.xml"/><Relationship Id="rId82" Type="http://schemas.openxmlformats.org/officeDocument/2006/relationships/diagramQuickStyle" Target="diagrams/quickStyle2.xml"/><Relationship Id="rId90" Type="http://schemas.openxmlformats.org/officeDocument/2006/relationships/diagramData" Target="diagrams/data4.xml"/><Relationship Id="rId95" Type="http://schemas.openxmlformats.org/officeDocument/2006/relationships/diagramData" Target="diagrams/data5.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yperlink" Target="http://pl.wikipedia.org/wiki/Rada_Ministr%C3%B3w_w_Polsce" TargetMode="External"/><Relationship Id="rId56" Type="http://schemas.openxmlformats.org/officeDocument/2006/relationships/chart" Target="charts/chart25.xml"/><Relationship Id="rId64" Type="http://schemas.openxmlformats.org/officeDocument/2006/relationships/image" Target="media/image14.jpeg"/><Relationship Id="rId69" Type="http://schemas.microsoft.com/office/2007/relationships/hdphoto" Target="media/hdphoto1.wdp"/><Relationship Id="rId77" Type="http://schemas.openxmlformats.org/officeDocument/2006/relationships/diagramQuickStyle" Target="diagrams/quickStyle1.xml"/><Relationship Id="rId100" Type="http://schemas.openxmlformats.org/officeDocument/2006/relationships/diagramData" Target="diagrams/data6.xml"/><Relationship Id="rId105" Type="http://schemas.openxmlformats.org/officeDocument/2006/relationships/diagramData" Target="diagrams/data7.xml"/><Relationship Id="rId113" Type="http://schemas.openxmlformats.org/officeDocument/2006/relationships/diagramColors" Target="diagrams/colors8.xml"/><Relationship Id="rId118" Type="http://schemas.openxmlformats.org/officeDocument/2006/relationships/diagramColors" Target="diagrams/colors9.xml"/><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chart" Target="charts/chart21.xml"/><Relationship Id="rId72" Type="http://schemas.openxmlformats.org/officeDocument/2006/relationships/footer" Target="footer11.xml"/><Relationship Id="rId80" Type="http://schemas.openxmlformats.org/officeDocument/2006/relationships/diagramData" Target="diagrams/data2.xml"/><Relationship Id="rId85" Type="http://schemas.openxmlformats.org/officeDocument/2006/relationships/diagramData" Target="diagrams/data3.xml"/><Relationship Id="rId93" Type="http://schemas.openxmlformats.org/officeDocument/2006/relationships/diagramColors" Target="diagrams/colors4.xml"/><Relationship Id="rId98" Type="http://schemas.openxmlformats.org/officeDocument/2006/relationships/diagramColors" Target="diagrams/colors5.xml"/><Relationship Id="rId121" Type="http://schemas.openxmlformats.org/officeDocument/2006/relationships/diagramLayout" Target="diagrams/layout1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9.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8.jpeg"/><Relationship Id="rId59" Type="http://schemas.openxmlformats.org/officeDocument/2006/relationships/chart" Target="charts/chart28.xml"/><Relationship Id="rId67" Type="http://schemas.openxmlformats.org/officeDocument/2006/relationships/image" Target="media/image16.png"/><Relationship Id="rId103" Type="http://schemas.openxmlformats.org/officeDocument/2006/relationships/diagramColors" Target="diagrams/colors6.xml"/><Relationship Id="rId108" Type="http://schemas.openxmlformats.org/officeDocument/2006/relationships/diagramColors" Target="diagrams/colors7.xml"/><Relationship Id="rId116" Type="http://schemas.openxmlformats.org/officeDocument/2006/relationships/diagramLayout" Target="diagrams/layout9.xml"/><Relationship Id="rId124" Type="http://schemas.microsoft.com/office/2007/relationships/diagramDrawing" Target="diagrams/drawing10.xml"/><Relationship Id="rId20" Type="http://schemas.openxmlformats.org/officeDocument/2006/relationships/footer" Target="footer6.xml"/><Relationship Id="rId41" Type="http://schemas.openxmlformats.org/officeDocument/2006/relationships/chart" Target="charts/chart14.xml"/><Relationship Id="rId54" Type="http://schemas.openxmlformats.org/officeDocument/2006/relationships/chart" Target="charts/chart24.xml"/><Relationship Id="rId62" Type="http://schemas.openxmlformats.org/officeDocument/2006/relationships/image" Target="media/image12.png"/><Relationship Id="rId70" Type="http://schemas.openxmlformats.org/officeDocument/2006/relationships/footer" Target="footer10.xml"/><Relationship Id="rId75" Type="http://schemas.openxmlformats.org/officeDocument/2006/relationships/diagramData" Target="diagrams/data1.xml"/><Relationship Id="rId83" Type="http://schemas.openxmlformats.org/officeDocument/2006/relationships/diagramColors" Target="diagrams/colors2.xml"/><Relationship Id="rId88" Type="http://schemas.openxmlformats.org/officeDocument/2006/relationships/diagramColors" Target="diagrams/colors3.xml"/><Relationship Id="rId91" Type="http://schemas.openxmlformats.org/officeDocument/2006/relationships/diagramLayout" Target="diagrams/layout4.xml"/><Relationship Id="rId96" Type="http://schemas.openxmlformats.org/officeDocument/2006/relationships/diagramLayout" Target="diagrams/layout5.xml"/><Relationship Id="rId111" Type="http://schemas.openxmlformats.org/officeDocument/2006/relationships/diagramLayout" Target="diagrams/layout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chart" Target="charts/chart19.xml"/><Relationship Id="rId57" Type="http://schemas.openxmlformats.org/officeDocument/2006/relationships/chart" Target="charts/chart26.xml"/><Relationship Id="rId106" Type="http://schemas.openxmlformats.org/officeDocument/2006/relationships/diagramLayout" Target="diagrams/layout7.xml"/><Relationship Id="rId114" Type="http://schemas.microsoft.com/office/2007/relationships/diagramDrawing" Target="diagrams/drawing8.xml"/><Relationship Id="rId119" Type="http://schemas.microsoft.com/office/2007/relationships/diagramDrawing" Target="diagrams/drawing9.xml"/><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chart" Target="charts/chart17.xml"/><Relationship Id="rId52" Type="http://schemas.openxmlformats.org/officeDocument/2006/relationships/chart" Target="charts/chart22.xml"/><Relationship Id="rId60" Type="http://schemas.openxmlformats.org/officeDocument/2006/relationships/image" Target="media/image11.png"/><Relationship Id="rId65" Type="http://schemas.openxmlformats.org/officeDocument/2006/relationships/image" Target="media/image15.jpeg"/><Relationship Id="rId73" Type="http://schemas.openxmlformats.org/officeDocument/2006/relationships/footer" Target="footer12.xml"/><Relationship Id="rId78" Type="http://schemas.openxmlformats.org/officeDocument/2006/relationships/diagramColors" Target="diagrams/colors1.xml"/><Relationship Id="rId81" Type="http://schemas.openxmlformats.org/officeDocument/2006/relationships/diagramLayout" Target="diagrams/layout2.xml"/><Relationship Id="rId86" Type="http://schemas.openxmlformats.org/officeDocument/2006/relationships/diagramLayout" Target="diagrams/layout3.xml"/><Relationship Id="rId94" Type="http://schemas.microsoft.com/office/2007/relationships/diagramDrawing" Target="diagrams/drawing4.xml"/><Relationship Id="rId99" Type="http://schemas.microsoft.com/office/2007/relationships/diagramDrawing" Target="diagrams/drawing5.xml"/><Relationship Id="rId101" Type="http://schemas.openxmlformats.org/officeDocument/2006/relationships/diagramLayout" Target="diagrams/layout6.xml"/><Relationship Id="rId122" Type="http://schemas.openxmlformats.org/officeDocument/2006/relationships/diagramQuickStyle" Target="diagrams/quickStyle10.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chart" Target="charts/chart12.xml"/><Relationship Id="rId109" Type="http://schemas.microsoft.com/office/2007/relationships/diagramDrawing" Target="diagrams/drawing7.xml"/><Relationship Id="rId34" Type="http://schemas.openxmlformats.org/officeDocument/2006/relationships/chart" Target="charts/chart7.xml"/><Relationship Id="rId50" Type="http://schemas.openxmlformats.org/officeDocument/2006/relationships/chart" Target="charts/chart20.xml"/><Relationship Id="rId55" Type="http://schemas.openxmlformats.org/officeDocument/2006/relationships/image" Target="media/image10.jpeg"/><Relationship Id="rId76" Type="http://schemas.openxmlformats.org/officeDocument/2006/relationships/diagramLayout" Target="diagrams/layout1.xml"/><Relationship Id="rId97" Type="http://schemas.openxmlformats.org/officeDocument/2006/relationships/diagramQuickStyle" Target="diagrams/quickStyle5.xml"/><Relationship Id="rId104" Type="http://schemas.microsoft.com/office/2007/relationships/diagramDrawing" Target="diagrams/drawing6.xml"/><Relationship Id="rId120" Type="http://schemas.openxmlformats.org/officeDocument/2006/relationships/diagramData" Target="diagrams/data10.xml"/><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3.xml"/><Relationship Id="rId92" Type="http://schemas.openxmlformats.org/officeDocument/2006/relationships/diagramQuickStyle" Target="diagrams/quickStyle4.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eader" Target="header2.xml"/><Relationship Id="rId40" Type="http://schemas.openxmlformats.org/officeDocument/2006/relationships/chart" Target="charts/chart13.xml"/><Relationship Id="rId45" Type="http://schemas.openxmlformats.org/officeDocument/2006/relationships/chart" Target="charts/chart18.xml"/><Relationship Id="rId66" Type="http://schemas.openxmlformats.org/officeDocument/2006/relationships/chart" Target="charts/chart30.xml"/><Relationship Id="rId87" Type="http://schemas.openxmlformats.org/officeDocument/2006/relationships/diagramQuickStyle" Target="diagrams/quickStyle3.xml"/><Relationship Id="rId110" Type="http://schemas.openxmlformats.org/officeDocument/2006/relationships/diagramData" Target="diagrams/data8.xml"/><Relationship Id="rId115" Type="http://schemas.openxmlformats.org/officeDocument/2006/relationships/diagramData" Target="diagrams/data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AppData\Local\Temp\DP_20140228_131506.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Legnica\powierzchnia%20mieszkaniow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p\Desktop\Legnica\powierzchnia%20mieszkaniow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4\AppData\Local\Microsoft\Windows\Temporary%20Internet%20Files\Content.Outlook\8KG4YXJE\Wykonanie%20inwestycj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p\AppData\Local\Temp\DP_20140227_200704.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AppData\Local\Temp\DP_20140202_145214.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p\AppData\Local\Temp\DP_20140202_150453.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p\AppData\Local\Temp\DP_20140202_150453.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Legnica\Legnica%20-%20portr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4\Documents\Legnica\Legnica%20-%20portr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v>Miasto Legnica</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DATA!$C$1:$M$1</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DATA!$C$8:$M$8</c:f>
              <c:numCache>
                <c:formatCode>0</c:formatCode>
                <c:ptCount val="11"/>
                <c:pt idx="0">
                  <c:v>106895</c:v>
                </c:pt>
                <c:pt idx="1">
                  <c:v>106525</c:v>
                </c:pt>
                <c:pt idx="2">
                  <c:v>106143</c:v>
                </c:pt>
                <c:pt idx="3">
                  <c:v>105750</c:v>
                </c:pt>
                <c:pt idx="4">
                  <c:v>105186</c:v>
                </c:pt>
                <c:pt idx="5">
                  <c:v>104754</c:v>
                </c:pt>
                <c:pt idx="6">
                  <c:v>104489</c:v>
                </c:pt>
                <c:pt idx="7">
                  <c:v>104178</c:v>
                </c:pt>
                <c:pt idx="8">
                  <c:v>103417</c:v>
                </c:pt>
                <c:pt idx="9">
                  <c:v>102979</c:v>
                </c:pt>
                <c:pt idx="10">
                  <c:v>102422</c:v>
                </c:pt>
              </c:numCache>
            </c:numRef>
          </c:val>
          <c:smooth val="0"/>
        </c:ser>
        <c:ser>
          <c:idx val="1"/>
          <c:order val="1"/>
          <c:tx>
            <c:strRef>
              <c:f>DATA!$P$2</c:f>
              <c:strCache>
                <c:ptCount val="1"/>
                <c:pt idx="0">
                  <c:v>Powiat legnicki</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DATA!$Q$2:$AA$2</c:f>
              <c:numCache>
                <c:formatCode>General</c:formatCode>
                <c:ptCount val="11"/>
                <c:pt idx="0">
                  <c:v>53043</c:v>
                </c:pt>
                <c:pt idx="1">
                  <c:v>53002</c:v>
                </c:pt>
                <c:pt idx="2">
                  <c:v>53068</c:v>
                </c:pt>
                <c:pt idx="3">
                  <c:v>53007</c:v>
                </c:pt>
                <c:pt idx="4">
                  <c:v>53101</c:v>
                </c:pt>
                <c:pt idx="5">
                  <c:v>53251</c:v>
                </c:pt>
                <c:pt idx="6">
                  <c:v>53440</c:v>
                </c:pt>
                <c:pt idx="7">
                  <c:v>53618</c:v>
                </c:pt>
                <c:pt idx="8">
                  <c:v>54582</c:v>
                </c:pt>
                <c:pt idx="9">
                  <c:v>54744</c:v>
                </c:pt>
                <c:pt idx="10">
                  <c:v>54825</c:v>
                </c:pt>
              </c:numCache>
            </c:numRef>
          </c:val>
          <c:smooth val="0"/>
        </c:ser>
        <c:dLbls>
          <c:showLegendKey val="0"/>
          <c:showVal val="0"/>
          <c:showCatName val="0"/>
          <c:showSerName val="0"/>
          <c:showPercent val="0"/>
          <c:showBubbleSize val="0"/>
        </c:dLbls>
        <c:marker val="1"/>
        <c:smooth val="0"/>
        <c:axId val="172994944"/>
        <c:axId val="184999936"/>
      </c:lineChart>
      <c:catAx>
        <c:axId val="172994944"/>
        <c:scaling>
          <c:orientation val="minMax"/>
        </c:scaling>
        <c:delete val="0"/>
        <c:axPos val="b"/>
        <c:numFmt formatCode="General" sourceLinked="0"/>
        <c:majorTickMark val="out"/>
        <c:minorTickMark val="none"/>
        <c:tickLblPos val="nextTo"/>
        <c:crossAx val="184999936"/>
        <c:crosses val="autoZero"/>
        <c:auto val="1"/>
        <c:lblAlgn val="ctr"/>
        <c:lblOffset val="100"/>
        <c:noMultiLvlLbl val="0"/>
      </c:catAx>
      <c:valAx>
        <c:axId val="184999936"/>
        <c:scaling>
          <c:orientation val="minMax"/>
        </c:scaling>
        <c:delete val="0"/>
        <c:axPos val="l"/>
        <c:majorGridlines/>
        <c:numFmt formatCode="0" sourceLinked="1"/>
        <c:majorTickMark val="out"/>
        <c:minorTickMark val="none"/>
        <c:tickLblPos val="nextTo"/>
        <c:crossAx val="1729949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'Powiat legnicki'!$E$48</c:f>
              <c:strCache>
                <c:ptCount val="1"/>
                <c:pt idx="0">
                  <c:v>Jelenia Góra</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 legnicki'!$F$47:$J$47</c:f>
              <c:strCache>
                <c:ptCount val="5"/>
                <c:pt idx="0">
                  <c:v>2008</c:v>
                </c:pt>
                <c:pt idx="1">
                  <c:v>2009</c:v>
                </c:pt>
                <c:pt idx="2">
                  <c:v>2010</c:v>
                </c:pt>
                <c:pt idx="3">
                  <c:v>2011</c:v>
                </c:pt>
                <c:pt idx="4">
                  <c:v>2012</c:v>
                </c:pt>
              </c:strCache>
            </c:strRef>
          </c:cat>
          <c:val>
            <c:numRef>
              <c:f>'Powiat legnicki'!$F$48:$J$48</c:f>
              <c:numCache>
                <c:formatCode>0.0</c:formatCode>
                <c:ptCount val="5"/>
                <c:pt idx="0">
                  <c:v>5</c:v>
                </c:pt>
                <c:pt idx="1">
                  <c:v>5.4</c:v>
                </c:pt>
                <c:pt idx="2">
                  <c:v>5.8</c:v>
                </c:pt>
                <c:pt idx="3">
                  <c:v>5.0999999999999996</c:v>
                </c:pt>
                <c:pt idx="4">
                  <c:v>5.0999999999999996</c:v>
                </c:pt>
              </c:numCache>
            </c:numRef>
          </c:val>
          <c:smooth val="0"/>
        </c:ser>
        <c:ser>
          <c:idx val="1"/>
          <c:order val="1"/>
          <c:tx>
            <c:strRef>
              <c:f>'Powiat legnicki'!$E$49</c:f>
              <c:strCache>
                <c:ptCount val="1"/>
                <c:pt idx="0">
                  <c:v>Powiat legnicki</c:v>
                </c:pt>
              </c:strCache>
            </c:strRef>
          </c:tx>
          <c:dLbls>
            <c:dLbl>
              <c:idx val="1"/>
              <c:layout>
                <c:manualLayout>
                  <c:x val="-3.8672876498861981E-2"/>
                  <c:y val="-3.57142857142857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23309683793509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023309683793425E-2"/>
                  <c:y val="-2.97619047619047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 legnicki'!$F$47:$J$47</c:f>
              <c:strCache>
                <c:ptCount val="5"/>
                <c:pt idx="0">
                  <c:v>2008</c:v>
                </c:pt>
                <c:pt idx="1">
                  <c:v>2009</c:v>
                </c:pt>
                <c:pt idx="2">
                  <c:v>2010</c:v>
                </c:pt>
                <c:pt idx="3">
                  <c:v>2011</c:v>
                </c:pt>
                <c:pt idx="4">
                  <c:v>2012</c:v>
                </c:pt>
              </c:strCache>
            </c:strRef>
          </c:cat>
          <c:val>
            <c:numRef>
              <c:f>'Powiat legnicki'!$F$49:$J$49</c:f>
              <c:numCache>
                <c:formatCode>0.0</c:formatCode>
                <c:ptCount val="5"/>
                <c:pt idx="0">
                  <c:v>11.2</c:v>
                </c:pt>
                <c:pt idx="1">
                  <c:v>11.3</c:v>
                </c:pt>
                <c:pt idx="2">
                  <c:v>9.9</c:v>
                </c:pt>
                <c:pt idx="3">
                  <c:v>9.1</c:v>
                </c:pt>
                <c:pt idx="4">
                  <c:v>9</c:v>
                </c:pt>
              </c:numCache>
            </c:numRef>
          </c:val>
          <c:smooth val="0"/>
        </c:ser>
        <c:ser>
          <c:idx val="2"/>
          <c:order val="2"/>
          <c:tx>
            <c:strRef>
              <c:f>'Powiat legnicki'!$E$50</c:f>
              <c:strCache>
                <c:ptCount val="1"/>
                <c:pt idx="0">
                  <c:v>Legnica</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 legnicki'!$F$47:$J$47</c:f>
              <c:strCache>
                <c:ptCount val="5"/>
                <c:pt idx="0">
                  <c:v>2008</c:v>
                </c:pt>
                <c:pt idx="1">
                  <c:v>2009</c:v>
                </c:pt>
                <c:pt idx="2">
                  <c:v>2010</c:v>
                </c:pt>
                <c:pt idx="3">
                  <c:v>2011</c:v>
                </c:pt>
                <c:pt idx="4">
                  <c:v>2012</c:v>
                </c:pt>
              </c:strCache>
            </c:strRef>
          </c:cat>
          <c:val>
            <c:numRef>
              <c:f>'Powiat legnicki'!$F$50:$J$50</c:f>
              <c:numCache>
                <c:formatCode>0.0</c:formatCode>
                <c:ptCount val="5"/>
                <c:pt idx="0">
                  <c:v>7.3</c:v>
                </c:pt>
                <c:pt idx="1">
                  <c:v>7.4</c:v>
                </c:pt>
                <c:pt idx="2">
                  <c:v>7.4</c:v>
                </c:pt>
                <c:pt idx="3">
                  <c:v>7.3</c:v>
                </c:pt>
                <c:pt idx="4">
                  <c:v>7</c:v>
                </c:pt>
              </c:numCache>
            </c:numRef>
          </c:val>
          <c:smooth val="0"/>
        </c:ser>
        <c:ser>
          <c:idx val="3"/>
          <c:order val="3"/>
          <c:tx>
            <c:strRef>
              <c:f>'Powiat legnicki'!$E$52</c:f>
              <c:strCache>
                <c:ptCount val="1"/>
                <c:pt idx="0">
                  <c:v>Wałbrzych </c:v>
                </c:pt>
              </c:strCache>
            </c:strRef>
          </c:tx>
          <c:dLbls>
            <c:dLbl>
              <c:idx val="2"/>
              <c:layout>
                <c:manualLayout>
                  <c:x val="-3.8672876498861981E-2"/>
                  <c:y val="-2.9761904761904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5251970258787853E-2"/>
                  <c:y val="3.57142857142856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'Powiat legnicki'!$F$52:$J$52</c:f>
              <c:numCache>
                <c:formatCode>0.0</c:formatCode>
                <c:ptCount val="5"/>
                <c:pt idx="0">
                  <c:v>9.3000000000000007</c:v>
                </c:pt>
                <c:pt idx="1">
                  <c:v>10.5</c:v>
                </c:pt>
                <c:pt idx="2">
                  <c:v>10.3</c:v>
                </c:pt>
                <c:pt idx="3">
                  <c:v>8.8000000000000007</c:v>
                </c:pt>
                <c:pt idx="4">
                  <c:v>9</c:v>
                </c:pt>
              </c:numCache>
            </c:numRef>
          </c:val>
          <c:smooth val="0"/>
        </c:ser>
        <c:ser>
          <c:idx val="4"/>
          <c:order val="4"/>
          <c:tx>
            <c:strRef>
              <c:f>'Powiat legnicki'!$E$53</c:f>
              <c:strCache>
                <c:ptCount val="1"/>
                <c:pt idx="0">
                  <c:v>Wrocław</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'Powiat legnicki'!$F$53:$J$53</c:f>
              <c:numCache>
                <c:formatCode>0.0</c:formatCode>
                <c:ptCount val="5"/>
                <c:pt idx="0">
                  <c:v>3</c:v>
                </c:pt>
                <c:pt idx="1">
                  <c:v>2.6</c:v>
                </c:pt>
                <c:pt idx="2">
                  <c:v>2.5</c:v>
                </c:pt>
                <c:pt idx="3">
                  <c:v>2.2000000000000002</c:v>
                </c:pt>
                <c:pt idx="4">
                  <c:v>2.1</c:v>
                </c:pt>
              </c:numCache>
            </c:numRef>
          </c:val>
          <c:smooth val="0"/>
        </c:ser>
        <c:dLbls>
          <c:showLegendKey val="0"/>
          <c:showVal val="1"/>
          <c:showCatName val="0"/>
          <c:showSerName val="0"/>
          <c:showPercent val="0"/>
          <c:showBubbleSize val="0"/>
        </c:dLbls>
        <c:marker val="1"/>
        <c:smooth val="0"/>
        <c:axId val="153838720"/>
        <c:axId val="153840256"/>
      </c:lineChart>
      <c:catAx>
        <c:axId val="153838720"/>
        <c:scaling>
          <c:orientation val="minMax"/>
        </c:scaling>
        <c:delete val="0"/>
        <c:axPos val="b"/>
        <c:numFmt formatCode="General" sourceLinked="0"/>
        <c:majorTickMark val="out"/>
        <c:minorTickMark val="none"/>
        <c:tickLblPos val="nextTo"/>
        <c:crossAx val="153840256"/>
        <c:crosses val="autoZero"/>
        <c:auto val="1"/>
        <c:lblAlgn val="ctr"/>
        <c:lblOffset val="100"/>
        <c:noMultiLvlLbl val="0"/>
      </c:catAx>
      <c:valAx>
        <c:axId val="153840256"/>
        <c:scaling>
          <c:orientation val="minMax"/>
        </c:scaling>
        <c:delete val="0"/>
        <c:axPos val="l"/>
        <c:majorGridlines/>
        <c:numFmt formatCode="0.0" sourceLinked="1"/>
        <c:majorTickMark val="out"/>
        <c:minorTickMark val="none"/>
        <c:tickLblPos val="nextTo"/>
        <c:crossAx val="153838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'Powiat legnicki'!$G$60</c:f>
              <c:strCache>
                <c:ptCount val="1"/>
                <c:pt idx="0">
                  <c:v>Legnica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 legnicki'!$H$59:$L$59</c:f>
              <c:strCache>
                <c:ptCount val="5"/>
                <c:pt idx="0">
                  <c:v>2008</c:v>
                </c:pt>
                <c:pt idx="1">
                  <c:v>2009</c:v>
                </c:pt>
                <c:pt idx="2">
                  <c:v>2010</c:v>
                </c:pt>
                <c:pt idx="3">
                  <c:v>2011</c:v>
                </c:pt>
                <c:pt idx="4">
                  <c:v>2012</c:v>
                </c:pt>
              </c:strCache>
            </c:strRef>
          </c:cat>
          <c:val>
            <c:numRef>
              <c:f>'Powiat legnicki'!$H$60:$L$60</c:f>
              <c:numCache>
                <c:formatCode>General</c:formatCode>
                <c:ptCount val="5"/>
                <c:pt idx="0">
                  <c:v>3767</c:v>
                </c:pt>
                <c:pt idx="1">
                  <c:v>3188</c:v>
                </c:pt>
                <c:pt idx="2">
                  <c:v>2774</c:v>
                </c:pt>
                <c:pt idx="3">
                  <c:v>2539</c:v>
                </c:pt>
                <c:pt idx="4">
                  <c:v>2265</c:v>
                </c:pt>
              </c:numCache>
            </c:numRef>
          </c:val>
          <c:smooth val="0"/>
        </c:ser>
        <c:dLbls>
          <c:showLegendKey val="0"/>
          <c:showVal val="0"/>
          <c:showCatName val="0"/>
          <c:showSerName val="0"/>
          <c:showPercent val="0"/>
          <c:showBubbleSize val="0"/>
        </c:dLbls>
        <c:marker val="1"/>
        <c:smooth val="0"/>
        <c:axId val="153852928"/>
        <c:axId val="153854720"/>
      </c:lineChart>
      <c:catAx>
        <c:axId val="153852928"/>
        <c:scaling>
          <c:orientation val="minMax"/>
        </c:scaling>
        <c:delete val="0"/>
        <c:axPos val="b"/>
        <c:numFmt formatCode="General" sourceLinked="0"/>
        <c:majorTickMark val="out"/>
        <c:minorTickMark val="none"/>
        <c:tickLblPos val="nextTo"/>
        <c:crossAx val="153854720"/>
        <c:crosses val="autoZero"/>
        <c:auto val="1"/>
        <c:lblAlgn val="ctr"/>
        <c:lblOffset val="100"/>
        <c:noMultiLvlLbl val="0"/>
      </c:catAx>
      <c:valAx>
        <c:axId val="153854720"/>
        <c:scaling>
          <c:orientation val="minMax"/>
        </c:scaling>
        <c:delete val="0"/>
        <c:axPos val="l"/>
        <c:majorGridlines/>
        <c:numFmt formatCode="General" sourceLinked="1"/>
        <c:majorTickMark val="out"/>
        <c:minorTickMark val="none"/>
        <c:tickLblPos val="nextTo"/>
        <c:crossAx val="153852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DATA!$H$22</c:f>
              <c:strCache>
                <c:ptCount val="1"/>
                <c:pt idx="0">
                  <c:v>turyści korzystający z noclegów w Legnicy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DATA!$I$21:$M$21</c:f>
              <c:numCache>
                <c:formatCode>0</c:formatCode>
                <c:ptCount val="5"/>
                <c:pt idx="0">
                  <c:v>2008</c:v>
                </c:pt>
                <c:pt idx="1">
                  <c:v>2009</c:v>
                </c:pt>
                <c:pt idx="2">
                  <c:v>2010</c:v>
                </c:pt>
                <c:pt idx="3">
                  <c:v>2011</c:v>
                </c:pt>
                <c:pt idx="4">
                  <c:v>2012</c:v>
                </c:pt>
              </c:numCache>
            </c:numRef>
          </c:cat>
          <c:val>
            <c:numRef>
              <c:f>DATA!$I$22:$M$22</c:f>
              <c:numCache>
                <c:formatCode>0</c:formatCode>
                <c:ptCount val="5"/>
                <c:pt idx="0">
                  <c:v>51639</c:v>
                </c:pt>
                <c:pt idx="1">
                  <c:v>43418</c:v>
                </c:pt>
                <c:pt idx="2">
                  <c:v>47982</c:v>
                </c:pt>
                <c:pt idx="3">
                  <c:v>51372</c:v>
                </c:pt>
                <c:pt idx="4">
                  <c:v>51381</c:v>
                </c:pt>
              </c:numCache>
            </c:numRef>
          </c:val>
          <c:smooth val="0"/>
        </c:ser>
        <c:dLbls>
          <c:showLegendKey val="0"/>
          <c:showVal val="1"/>
          <c:showCatName val="0"/>
          <c:showSerName val="0"/>
          <c:showPercent val="0"/>
          <c:showBubbleSize val="0"/>
        </c:dLbls>
        <c:marker val="1"/>
        <c:smooth val="0"/>
        <c:axId val="153862528"/>
        <c:axId val="153865216"/>
      </c:lineChart>
      <c:catAx>
        <c:axId val="153862528"/>
        <c:scaling>
          <c:orientation val="minMax"/>
        </c:scaling>
        <c:delete val="0"/>
        <c:axPos val="b"/>
        <c:numFmt formatCode="0" sourceLinked="1"/>
        <c:majorTickMark val="none"/>
        <c:minorTickMark val="none"/>
        <c:tickLblPos val="nextTo"/>
        <c:crossAx val="153865216"/>
        <c:crosses val="autoZero"/>
        <c:auto val="1"/>
        <c:lblAlgn val="ctr"/>
        <c:lblOffset val="100"/>
        <c:noMultiLvlLbl val="0"/>
      </c:catAx>
      <c:valAx>
        <c:axId val="153865216"/>
        <c:scaling>
          <c:orientation val="minMax"/>
        </c:scaling>
        <c:delete val="0"/>
        <c:axPos val="l"/>
        <c:majorGridlines/>
        <c:numFmt formatCode="0" sourceLinked="1"/>
        <c:majorTickMark val="none"/>
        <c:minorTickMark val="none"/>
        <c:tickLblPos val="nextTo"/>
        <c:crossAx val="15386252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DATA!$AP$6:$AP$37</c:f>
              <c:strCache>
                <c:ptCount val="32"/>
                <c:pt idx="0">
                  <c:v>Austria</c:v>
                </c:pt>
                <c:pt idx="1">
                  <c:v>Belgia</c:v>
                </c:pt>
                <c:pt idx="2">
                  <c:v>Białoruś</c:v>
                </c:pt>
                <c:pt idx="3">
                  <c:v>Cypr</c:v>
                </c:pt>
                <c:pt idx="4">
                  <c:v>Czechy </c:v>
                </c:pt>
                <c:pt idx="5">
                  <c:v>Dania </c:v>
                </c:pt>
                <c:pt idx="6">
                  <c:v>Estonia</c:v>
                </c:pt>
                <c:pt idx="7">
                  <c:v>Finlandia</c:v>
                </c:pt>
                <c:pt idx="8">
                  <c:v>Francja</c:v>
                </c:pt>
                <c:pt idx="9">
                  <c:v>Grecja </c:v>
                </c:pt>
                <c:pt idx="10">
                  <c:v>Hiszpania</c:v>
                </c:pt>
                <c:pt idx="11">
                  <c:v>Irlandia</c:v>
                </c:pt>
                <c:pt idx="12">
                  <c:v>Japonia</c:v>
                </c:pt>
                <c:pt idx="13">
                  <c:v>Kanada </c:v>
                </c:pt>
                <c:pt idx="14">
                  <c:v>Litwa</c:v>
                </c:pt>
                <c:pt idx="15">
                  <c:v>Luxemburg</c:v>
                </c:pt>
                <c:pt idx="16">
                  <c:v>Łotwa</c:v>
                </c:pt>
                <c:pt idx="17">
                  <c:v>Holandia</c:v>
                </c:pt>
                <c:pt idx="18">
                  <c:v>Niemcy</c:v>
                </c:pt>
                <c:pt idx="19">
                  <c:v>Norwegia</c:v>
                </c:pt>
                <c:pt idx="20">
                  <c:v>Portugalia</c:v>
                </c:pt>
                <c:pt idx="21">
                  <c:v>Rosja</c:v>
                </c:pt>
                <c:pt idx="22">
                  <c:v>Słowacja </c:v>
                </c:pt>
                <c:pt idx="23">
                  <c:v>Słowenia</c:v>
                </c:pt>
                <c:pt idx="24">
                  <c:v>Stany Zjednoczone (USA)</c:v>
                </c:pt>
                <c:pt idx="25">
                  <c:v>Szwajcaria</c:v>
                </c:pt>
                <c:pt idx="26">
                  <c:v>Szwecja</c:v>
                </c:pt>
                <c:pt idx="27">
                  <c:v>Ukraina</c:v>
                </c:pt>
                <c:pt idx="28">
                  <c:v>Węgry </c:v>
                </c:pt>
                <c:pt idx="29">
                  <c:v>Wielka Brytania</c:v>
                </c:pt>
                <c:pt idx="30">
                  <c:v>Włochy </c:v>
                </c:pt>
                <c:pt idx="31">
                  <c:v>pozostałe kraje</c:v>
                </c:pt>
              </c:strCache>
            </c:strRef>
          </c:cat>
          <c:val>
            <c:numRef>
              <c:f>DATA!$AQ$6:$AQ$37</c:f>
              <c:numCache>
                <c:formatCode>0.00%</c:formatCode>
                <c:ptCount val="32"/>
                <c:pt idx="0">
                  <c:v>6.1000000000000004E-3</c:v>
                </c:pt>
                <c:pt idx="1">
                  <c:v>9.4000000000000004E-3</c:v>
                </c:pt>
                <c:pt idx="2">
                  <c:v>1.7600000000000001E-2</c:v>
                </c:pt>
                <c:pt idx="3">
                  <c:v>0</c:v>
                </c:pt>
                <c:pt idx="4">
                  <c:v>3.4099999999999998E-2</c:v>
                </c:pt>
                <c:pt idx="5">
                  <c:v>8.8999999999999999E-3</c:v>
                </c:pt>
                <c:pt idx="6">
                  <c:v>1.1999999999999999E-3</c:v>
                </c:pt>
                <c:pt idx="7">
                  <c:v>2.5000000000000001E-3</c:v>
                </c:pt>
                <c:pt idx="8">
                  <c:v>3.2199999999999999E-2</c:v>
                </c:pt>
                <c:pt idx="9">
                  <c:v>1.1599999999999999E-2</c:v>
                </c:pt>
                <c:pt idx="10">
                  <c:v>5.5999999999999999E-3</c:v>
                </c:pt>
                <c:pt idx="11">
                  <c:v>2.5000000000000001E-3</c:v>
                </c:pt>
                <c:pt idx="12">
                  <c:v>3.5000000000000001E-3</c:v>
                </c:pt>
                <c:pt idx="13">
                  <c:v>2.0999999999999999E-3</c:v>
                </c:pt>
                <c:pt idx="14">
                  <c:v>2.52E-2</c:v>
                </c:pt>
                <c:pt idx="15">
                  <c:v>1E-4</c:v>
                </c:pt>
                <c:pt idx="16">
                  <c:v>3.0999999999999999E-3</c:v>
                </c:pt>
                <c:pt idx="17">
                  <c:v>1.9400000000000001E-2</c:v>
                </c:pt>
                <c:pt idx="18">
                  <c:v>0.28149999999999997</c:v>
                </c:pt>
                <c:pt idx="19">
                  <c:v>4.3E-3</c:v>
                </c:pt>
                <c:pt idx="20">
                  <c:v>5.9999999999999995E-4</c:v>
                </c:pt>
                <c:pt idx="21">
                  <c:v>0.32900000000000001</c:v>
                </c:pt>
                <c:pt idx="22">
                  <c:v>6.7999999999999996E-3</c:v>
                </c:pt>
                <c:pt idx="23">
                  <c:v>1.6999999999999999E-3</c:v>
                </c:pt>
                <c:pt idx="24">
                  <c:v>8.0999999999999996E-3</c:v>
                </c:pt>
                <c:pt idx="25">
                  <c:v>2.8999999999999998E-3</c:v>
                </c:pt>
                <c:pt idx="26">
                  <c:v>2.7099999999999999E-2</c:v>
                </c:pt>
                <c:pt idx="27">
                  <c:v>9.0399999999999994E-2</c:v>
                </c:pt>
                <c:pt idx="28">
                  <c:v>9.1999999999999998E-3</c:v>
                </c:pt>
                <c:pt idx="29">
                  <c:v>1.5599999999999999E-2</c:v>
                </c:pt>
                <c:pt idx="30">
                  <c:v>1.49E-2</c:v>
                </c:pt>
                <c:pt idx="31">
                  <c:v>2.2800000000000001E-2</c:v>
                </c:pt>
              </c:numCache>
            </c:numRef>
          </c:val>
        </c:ser>
        <c:dLbls>
          <c:showLegendKey val="0"/>
          <c:showVal val="0"/>
          <c:showCatName val="0"/>
          <c:showSerName val="0"/>
          <c:showPercent val="0"/>
          <c:showBubbleSize val="0"/>
        </c:dLbls>
        <c:gapWidth val="219"/>
        <c:overlap val="-27"/>
        <c:axId val="154225280"/>
        <c:axId val="154235264"/>
      </c:barChart>
      <c:catAx>
        <c:axId val="1542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4235264"/>
        <c:crosses val="autoZero"/>
        <c:auto val="1"/>
        <c:lblAlgn val="ctr"/>
        <c:lblOffset val="100"/>
        <c:noMultiLvlLbl val="0"/>
      </c:catAx>
      <c:valAx>
        <c:axId val="154235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422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5647766251440794E-2"/>
          <c:y val="5.6429579085333519E-2"/>
          <c:w val="0.55891277479203993"/>
          <c:h val="0.81624308397282619"/>
        </c:manualLayout>
      </c:layout>
      <c:barChart>
        <c:barDir val="col"/>
        <c:grouping val="clustered"/>
        <c:varyColors val="0"/>
        <c:ser>
          <c:idx val="1"/>
          <c:order val="1"/>
          <c:tx>
            <c:strRef>
              <c:f>Przestępstwa!$C$8</c:f>
              <c:strCache>
                <c:ptCount val="1"/>
                <c:pt idx="0">
                  <c:v>Wykrywalność przestępstw ogółem</c:v>
                </c:pt>
              </c:strCache>
            </c:strRef>
          </c:tx>
          <c:spPr>
            <a:solidFill>
              <a:schemeClr val="accent1">
                <a:lumMod val="75000"/>
              </a:schemeClr>
            </a:solidFill>
          </c:spPr>
          <c:invertIfNegative val="0"/>
          <c:cat>
            <c:numRef>
              <c:f>Przestępstwa!$D$6:$I$6</c:f>
              <c:numCache>
                <c:formatCode>General</c:formatCode>
                <c:ptCount val="6"/>
                <c:pt idx="0">
                  <c:v>2008</c:v>
                </c:pt>
                <c:pt idx="1">
                  <c:v>2009</c:v>
                </c:pt>
                <c:pt idx="2">
                  <c:v>2010</c:v>
                </c:pt>
                <c:pt idx="3">
                  <c:v>2011</c:v>
                </c:pt>
                <c:pt idx="4">
                  <c:v>2012</c:v>
                </c:pt>
                <c:pt idx="5">
                  <c:v>2013</c:v>
                </c:pt>
              </c:numCache>
            </c:numRef>
          </c:cat>
          <c:val>
            <c:numRef>
              <c:f>Przestępstwa!$D$8:$I$8</c:f>
              <c:numCache>
                <c:formatCode>General</c:formatCode>
                <c:ptCount val="6"/>
                <c:pt idx="0">
                  <c:v>67.5</c:v>
                </c:pt>
                <c:pt idx="1">
                  <c:v>70.5</c:v>
                </c:pt>
                <c:pt idx="2">
                  <c:v>71.900000000000006</c:v>
                </c:pt>
                <c:pt idx="3">
                  <c:v>72.7</c:v>
                </c:pt>
                <c:pt idx="4">
                  <c:v>69.400000000000006</c:v>
                </c:pt>
                <c:pt idx="5">
                  <c:v>72.2</c:v>
                </c:pt>
              </c:numCache>
            </c:numRef>
          </c:val>
        </c:ser>
        <c:ser>
          <c:idx val="3"/>
          <c:order val="3"/>
          <c:tx>
            <c:strRef>
              <c:f>Przestępstwa!$C$10</c:f>
              <c:strCache>
                <c:ptCount val="1"/>
                <c:pt idx="0">
                  <c:v>Wykrywalność przestępstw kryminalnych</c:v>
                </c:pt>
              </c:strCache>
            </c:strRef>
          </c:tx>
          <c:spPr>
            <a:solidFill>
              <a:schemeClr val="tx2">
                <a:lumMod val="60000"/>
                <a:lumOff val="40000"/>
              </a:schemeClr>
            </a:solidFill>
          </c:spPr>
          <c:invertIfNegative val="0"/>
          <c:cat>
            <c:numRef>
              <c:f>Przestępstwa!$D$6:$I$6</c:f>
              <c:numCache>
                <c:formatCode>General</c:formatCode>
                <c:ptCount val="6"/>
                <c:pt idx="0">
                  <c:v>2008</c:v>
                </c:pt>
                <c:pt idx="1">
                  <c:v>2009</c:v>
                </c:pt>
                <c:pt idx="2">
                  <c:v>2010</c:v>
                </c:pt>
                <c:pt idx="3">
                  <c:v>2011</c:v>
                </c:pt>
                <c:pt idx="4">
                  <c:v>2012</c:v>
                </c:pt>
                <c:pt idx="5">
                  <c:v>2013</c:v>
                </c:pt>
              </c:numCache>
            </c:numRef>
          </c:cat>
          <c:val>
            <c:numRef>
              <c:f>Przestępstwa!$D$10:$I$10</c:f>
              <c:numCache>
                <c:formatCode>General</c:formatCode>
                <c:ptCount val="6"/>
                <c:pt idx="0">
                  <c:v>55</c:v>
                </c:pt>
                <c:pt idx="1">
                  <c:v>59.4</c:v>
                </c:pt>
                <c:pt idx="2">
                  <c:v>61.8</c:v>
                </c:pt>
                <c:pt idx="3">
                  <c:v>62.3</c:v>
                </c:pt>
                <c:pt idx="4">
                  <c:v>61.6</c:v>
                </c:pt>
                <c:pt idx="5">
                  <c:v>62.6</c:v>
                </c:pt>
              </c:numCache>
            </c:numRef>
          </c:val>
        </c:ser>
        <c:ser>
          <c:idx val="5"/>
          <c:order val="5"/>
          <c:tx>
            <c:strRef>
              <c:f>Przestępstwa!$C$12</c:f>
              <c:strCache>
                <c:ptCount val="1"/>
                <c:pt idx="0">
                  <c:v>Wykrywalność przestępstw gospodarczych</c:v>
                </c:pt>
              </c:strCache>
            </c:strRef>
          </c:tx>
          <c:spPr>
            <a:solidFill>
              <a:schemeClr val="tx2">
                <a:lumMod val="40000"/>
                <a:lumOff val="60000"/>
              </a:schemeClr>
            </a:solidFill>
          </c:spPr>
          <c:invertIfNegative val="0"/>
          <c:cat>
            <c:numRef>
              <c:f>Przestępstwa!$D$6:$I$6</c:f>
              <c:numCache>
                <c:formatCode>General</c:formatCode>
                <c:ptCount val="6"/>
                <c:pt idx="0">
                  <c:v>2008</c:v>
                </c:pt>
                <c:pt idx="1">
                  <c:v>2009</c:v>
                </c:pt>
                <c:pt idx="2">
                  <c:v>2010</c:v>
                </c:pt>
                <c:pt idx="3">
                  <c:v>2011</c:v>
                </c:pt>
                <c:pt idx="4">
                  <c:v>2012</c:v>
                </c:pt>
                <c:pt idx="5">
                  <c:v>2013</c:v>
                </c:pt>
              </c:numCache>
            </c:numRef>
          </c:cat>
          <c:val>
            <c:numRef>
              <c:f>Przestępstwa!$D$12:$I$12</c:f>
              <c:numCache>
                <c:formatCode>General</c:formatCode>
                <c:ptCount val="6"/>
                <c:pt idx="0">
                  <c:v>95.1</c:v>
                </c:pt>
                <c:pt idx="1">
                  <c:v>95.8</c:v>
                </c:pt>
                <c:pt idx="2">
                  <c:v>95.9</c:v>
                </c:pt>
                <c:pt idx="3">
                  <c:v>96.6</c:v>
                </c:pt>
                <c:pt idx="4">
                  <c:v>93.1</c:v>
                </c:pt>
                <c:pt idx="5">
                  <c:v>95.2</c:v>
                </c:pt>
              </c:numCache>
            </c:numRef>
          </c:val>
        </c:ser>
        <c:dLbls>
          <c:showLegendKey val="0"/>
          <c:showVal val="0"/>
          <c:showCatName val="0"/>
          <c:showSerName val="0"/>
          <c:showPercent val="0"/>
          <c:showBubbleSize val="0"/>
        </c:dLbls>
        <c:gapWidth val="150"/>
        <c:axId val="154262144"/>
        <c:axId val="154260608"/>
      </c:barChart>
      <c:lineChart>
        <c:grouping val="standard"/>
        <c:varyColors val="0"/>
        <c:ser>
          <c:idx val="0"/>
          <c:order val="0"/>
          <c:tx>
            <c:strRef>
              <c:f>Przestępstwa!$C$7</c:f>
              <c:strCache>
                <c:ptCount val="1"/>
                <c:pt idx="0">
                  <c:v>Ogółem</c:v>
                </c:pt>
              </c:strCache>
            </c:strRef>
          </c:tx>
          <c:spPr>
            <a:ln>
              <a:solidFill>
                <a:srgbClr val="FF0000"/>
              </a:solidFill>
            </a:ln>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Przestępstwa!$D$6:$I$6</c:f>
              <c:numCache>
                <c:formatCode>General</c:formatCode>
                <c:ptCount val="6"/>
                <c:pt idx="0">
                  <c:v>2008</c:v>
                </c:pt>
                <c:pt idx="1">
                  <c:v>2009</c:v>
                </c:pt>
                <c:pt idx="2">
                  <c:v>2010</c:v>
                </c:pt>
                <c:pt idx="3">
                  <c:v>2011</c:v>
                </c:pt>
                <c:pt idx="4">
                  <c:v>2012</c:v>
                </c:pt>
                <c:pt idx="5">
                  <c:v>2013</c:v>
                </c:pt>
              </c:numCache>
            </c:numRef>
          </c:cat>
          <c:val>
            <c:numRef>
              <c:f>Przestępstwa!$D$7:$I$7</c:f>
              <c:numCache>
                <c:formatCode>#,##0</c:formatCode>
                <c:ptCount val="6"/>
                <c:pt idx="0">
                  <c:v>6975</c:v>
                </c:pt>
                <c:pt idx="1">
                  <c:v>7947</c:v>
                </c:pt>
                <c:pt idx="2">
                  <c:v>7971</c:v>
                </c:pt>
                <c:pt idx="3">
                  <c:v>8103</c:v>
                </c:pt>
                <c:pt idx="4">
                  <c:v>8499</c:v>
                </c:pt>
                <c:pt idx="5">
                  <c:v>8810</c:v>
                </c:pt>
              </c:numCache>
            </c:numRef>
          </c:val>
          <c:smooth val="0"/>
        </c:ser>
        <c:ser>
          <c:idx val="2"/>
          <c:order val="2"/>
          <c:tx>
            <c:strRef>
              <c:f>Przestępstwa!$C$9</c:f>
              <c:strCache>
                <c:ptCount val="1"/>
                <c:pt idx="0">
                  <c:v>Kryminalne</c:v>
                </c:pt>
              </c:strCache>
            </c:strRef>
          </c:tx>
          <c:spPr>
            <a:ln>
              <a:solidFill>
                <a:srgbClr val="FFC000"/>
              </a:solidFill>
            </a:ln>
          </c:spPr>
          <c:marker>
            <c:spPr>
              <a:solidFill>
                <a:srgbClr val="FFC000"/>
              </a:solidFill>
              <a:ln>
                <a:solidFill>
                  <a:srgbClr val="FFC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Przestępstwa!$D$6:$I$6</c:f>
              <c:numCache>
                <c:formatCode>General</c:formatCode>
                <c:ptCount val="6"/>
                <c:pt idx="0">
                  <c:v>2008</c:v>
                </c:pt>
                <c:pt idx="1">
                  <c:v>2009</c:v>
                </c:pt>
                <c:pt idx="2">
                  <c:v>2010</c:v>
                </c:pt>
                <c:pt idx="3">
                  <c:v>2011</c:v>
                </c:pt>
                <c:pt idx="4">
                  <c:v>2012</c:v>
                </c:pt>
                <c:pt idx="5">
                  <c:v>2013</c:v>
                </c:pt>
              </c:numCache>
            </c:numRef>
          </c:cat>
          <c:val>
            <c:numRef>
              <c:f>Przestępstwa!$D$9:$I$9</c:f>
              <c:numCache>
                <c:formatCode>#,##0</c:formatCode>
                <c:ptCount val="6"/>
                <c:pt idx="0">
                  <c:v>4853</c:v>
                </c:pt>
                <c:pt idx="1">
                  <c:v>5516</c:v>
                </c:pt>
                <c:pt idx="2">
                  <c:v>5673</c:v>
                </c:pt>
                <c:pt idx="3">
                  <c:v>5681</c:v>
                </c:pt>
                <c:pt idx="4">
                  <c:v>6360</c:v>
                </c:pt>
                <c:pt idx="5">
                  <c:v>6119</c:v>
                </c:pt>
              </c:numCache>
            </c:numRef>
          </c:val>
          <c:smooth val="0"/>
        </c:ser>
        <c:ser>
          <c:idx val="4"/>
          <c:order val="4"/>
          <c:tx>
            <c:strRef>
              <c:f>Przestępstwa!$C$11</c:f>
              <c:strCache>
                <c:ptCount val="1"/>
                <c:pt idx="0">
                  <c:v>Gospodarcze</c:v>
                </c:pt>
              </c:strCache>
            </c:strRef>
          </c:tx>
          <c:spPr>
            <a:ln>
              <a:solidFill>
                <a:schemeClr val="accent3">
                  <a:lumMod val="50000"/>
                </a:schemeClr>
              </a:solidFill>
            </a:ln>
          </c:spPr>
          <c:marker>
            <c:spPr>
              <a:ln>
                <a:solidFill>
                  <a:srgbClr val="00B05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Przestępstwa!$D$6:$I$6</c:f>
              <c:numCache>
                <c:formatCode>General</c:formatCode>
                <c:ptCount val="6"/>
                <c:pt idx="0">
                  <c:v>2008</c:v>
                </c:pt>
                <c:pt idx="1">
                  <c:v>2009</c:v>
                </c:pt>
                <c:pt idx="2">
                  <c:v>2010</c:v>
                </c:pt>
                <c:pt idx="3">
                  <c:v>2011</c:v>
                </c:pt>
                <c:pt idx="4">
                  <c:v>2012</c:v>
                </c:pt>
                <c:pt idx="5">
                  <c:v>2013</c:v>
                </c:pt>
              </c:numCache>
            </c:numRef>
          </c:cat>
          <c:val>
            <c:numRef>
              <c:f>Przestępstwa!$D$11:$I$11</c:f>
              <c:numCache>
                <c:formatCode>#,##0</c:formatCode>
                <c:ptCount val="6"/>
                <c:pt idx="0">
                  <c:v>835</c:v>
                </c:pt>
                <c:pt idx="1">
                  <c:v>1206</c:v>
                </c:pt>
                <c:pt idx="2">
                  <c:v>1107</c:v>
                </c:pt>
                <c:pt idx="3">
                  <c:v>1341</c:v>
                </c:pt>
                <c:pt idx="4">
                  <c:v>1104</c:v>
                </c:pt>
                <c:pt idx="5">
                  <c:v>1587</c:v>
                </c:pt>
              </c:numCache>
            </c:numRef>
          </c:val>
          <c:smooth val="0"/>
        </c:ser>
        <c:dLbls>
          <c:showLegendKey val="0"/>
          <c:showVal val="0"/>
          <c:showCatName val="0"/>
          <c:showSerName val="0"/>
          <c:showPercent val="0"/>
          <c:showBubbleSize val="0"/>
        </c:dLbls>
        <c:marker val="1"/>
        <c:smooth val="0"/>
        <c:axId val="154249088"/>
        <c:axId val="154250624"/>
      </c:lineChart>
      <c:catAx>
        <c:axId val="154249088"/>
        <c:scaling>
          <c:orientation val="minMax"/>
        </c:scaling>
        <c:delete val="0"/>
        <c:axPos val="b"/>
        <c:numFmt formatCode="General" sourceLinked="1"/>
        <c:majorTickMark val="out"/>
        <c:minorTickMark val="none"/>
        <c:tickLblPos val="nextTo"/>
        <c:crossAx val="154250624"/>
        <c:crosses val="autoZero"/>
        <c:auto val="1"/>
        <c:lblAlgn val="ctr"/>
        <c:lblOffset val="100"/>
        <c:noMultiLvlLbl val="0"/>
      </c:catAx>
      <c:valAx>
        <c:axId val="154250624"/>
        <c:scaling>
          <c:orientation val="minMax"/>
        </c:scaling>
        <c:delete val="0"/>
        <c:axPos val="l"/>
        <c:majorGridlines/>
        <c:numFmt formatCode="#,##0" sourceLinked="1"/>
        <c:majorTickMark val="out"/>
        <c:minorTickMark val="none"/>
        <c:tickLblPos val="nextTo"/>
        <c:crossAx val="154249088"/>
        <c:crosses val="autoZero"/>
        <c:crossBetween val="between"/>
      </c:valAx>
      <c:valAx>
        <c:axId val="154260608"/>
        <c:scaling>
          <c:orientation val="minMax"/>
          <c:max val="100"/>
          <c:min val="0"/>
        </c:scaling>
        <c:delete val="0"/>
        <c:axPos val="r"/>
        <c:numFmt formatCode="General" sourceLinked="1"/>
        <c:majorTickMark val="out"/>
        <c:minorTickMark val="none"/>
        <c:tickLblPos val="nextTo"/>
        <c:crossAx val="154262144"/>
        <c:crosses val="max"/>
        <c:crossBetween val="between"/>
      </c:valAx>
      <c:catAx>
        <c:axId val="154262144"/>
        <c:scaling>
          <c:orientation val="minMax"/>
        </c:scaling>
        <c:delete val="1"/>
        <c:axPos val="b"/>
        <c:numFmt formatCode="General" sourceLinked="1"/>
        <c:majorTickMark val="out"/>
        <c:minorTickMark val="none"/>
        <c:tickLblPos val="nextTo"/>
        <c:crossAx val="154260608"/>
        <c:crosses val="autoZero"/>
        <c:auto val="1"/>
        <c:lblAlgn val="ctr"/>
        <c:lblOffset val="100"/>
        <c:noMultiLvlLbl val="0"/>
      </c:catAx>
    </c:plotArea>
    <c:legend>
      <c:legendPos val="r"/>
      <c:layout>
        <c:manualLayout>
          <c:xMode val="edge"/>
          <c:yMode val="edge"/>
          <c:x val="0.70523476232137638"/>
          <c:y val="4.0369227495211747E-2"/>
          <c:w val="0.28815148106486688"/>
          <c:h val="0.95963077250478823"/>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Arkusz2!$D$56</c:f>
              <c:strCache>
                <c:ptCount val="1"/>
                <c:pt idx="0">
                  <c:v>Zdarzenia drogowe ogółem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Arkusz2!$E$55:$J$55</c:f>
              <c:numCache>
                <c:formatCode>General</c:formatCode>
                <c:ptCount val="6"/>
                <c:pt idx="0">
                  <c:v>2007</c:v>
                </c:pt>
                <c:pt idx="1">
                  <c:v>2008</c:v>
                </c:pt>
                <c:pt idx="2">
                  <c:v>2009</c:v>
                </c:pt>
                <c:pt idx="3">
                  <c:v>2010</c:v>
                </c:pt>
                <c:pt idx="4">
                  <c:v>2011</c:v>
                </c:pt>
                <c:pt idx="5">
                  <c:v>2012</c:v>
                </c:pt>
              </c:numCache>
            </c:numRef>
          </c:cat>
          <c:val>
            <c:numRef>
              <c:f>Arkusz2!$E$56:$J$56</c:f>
              <c:numCache>
                <c:formatCode>General</c:formatCode>
                <c:ptCount val="6"/>
                <c:pt idx="0">
                  <c:v>1823</c:v>
                </c:pt>
                <c:pt idx="1">
                  <c:v>1907</c:v>
                </c:pt>
                <c:pt idx="2">
                  <c:v>2099</c:v>
                </c:pt>
                <c:pt idx="3">
                  <c:v>2189</c:v>
                </c:pt>
                <c:pt idx="4">
                  <c:v>1993</c:v>
                </c:pt>
                <c:pt idx="5">
                  <c:v>1848</c:v>
                </c:pt>
              </c:numCache>
            </c:numRef>
          </c:val>
        </c:ser>
        <c:ser>
          <c:idx val="1"/>
          <c:order val="1"/>
          <c:tx>
            <c:strRef>
              <c:f>Arkusz2!$D$57</c:f>
              <c:strCache>
                <c:ptCount val="1"/>
                <c:pt idx="0">
                  <c:v>Kolizje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Arkusz2!$E$55:$J$55</c:f>
              <c:numCache>
                <c:formatCode>General</c:formatCode>
                <c:ptCount val="6"/>
                <c:pt idx="0">
                  <c:v>2007</c:v>
                </c:pt>
                <c:pt idx="1">
                  <c:v>2008</c:v>
                </c:pt>
                <c:pt idx="2">
                  <c:v>2009</c:v>
                </c:pt>
                <c:pt idx="3">
                  <c:v>2010</c:v>
                </c:pt>
                <c:pt idx="4">
                  <c:v>2011</c:v>
                </c:pt>
                <c:pt idx="5">
                  <c:v>2012</c:v>
                </c:pt>
              </c:numCache>
            </c:numRef>
          </c:cat>
          <c:val>
            <c:numRef>
              <c:f>Arkusz2!$E$57:$J$57</c:f>
              <c:numCache>
                <c:formatCode>General</c:formatCode>
                <c:ptCount val="6"/>
                <c:pt idx="0">
                  <c:v>1564</c:v>
                </c:pt>
                <c:pt idx="1">
                  <c:v>1689</c:v>
                </c:pt>
                <c:pt idx="2">
                  <c:v>1962</c:v>
                </c:pt>
                <c:pt idx="3">
                  <c:v>2077</c:v>
                </c:pt>
                <c:pt idx="4">
                  <c:v>1880</c:v>
                </c:pt>
                <c:pt idx="5">
                  <c:v>1706</c:v>
                </c:pt>
              </c:numCache>
            </c:numRef>
          </c:val>
        </c:ser>
        <c:ser>
          <c:idx val="2"/>
          <c:order val="2"/>
          <c:tx>
            <c:strRef>
              <c:f>Arkusz2!$D$58</c:f>
              <c:strCache>
                <c:ptCount val="1"/>
                <c:pt idx="0">
                  <c:v>Wypadki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Arkusz2!$E$55:$J$55</c:f>
              <c:numCache>
                <c:formatCode>General</c:formatCode>
                <c:ptCount val="6"/>
                <c:pt idx="0">
                  <c:v>2007</c:v>
                </c:pt>
                <c:pt idx="1">
                  <c:v>2008</c:v>
                </c:pt>
                <c:pt idx="2">
                  <c:v>2009</c:v>
                </c:pt>
                <c:pt idx="3">
                  <c:v>2010</c:v>
                </c:pt>
                <c:pt idx="4">
                  <c:v>2011</c:v>
                </c:pt>
                <c:pt idx="5">
                  <c:v>2012</c:v>
                </c:pt>
              </c:numCache>
            </c:numRef>
          </c:cat>
          <c:val>
            <c:numRef>
              <c:f>Arkusz2!$E$58:$J$58</c:f>
              <c:numCache>
                <c:formatCode>General</c:formatCode>
                <c:ptCount val="6"/>
                <c:pt idx="0">
                  <c:v>259</c:v>
                </c:pt>
                <c:pt idx="1">
                  <c:v>218</c:v>
                </c:pt>
                <c:pt idx="2">
                  <c:v>137</c:v>
                </c:pt>
                <c:pt idx="3">
                  <c:v>112</c:v>
                </c:pt>
                <c:pt idx="4">
                  <c:v>113</c:v>
                </c:pt>
                <c:pt idx="5">
                  <c:v>142</c:v>
                </c:pt>
              </c:numCache>
            </c:numRef>
          </c:val>
        </c:ser>
        <c:ser>
          <c:idx val="3"/>
          <c:order val="3"/>
          <c:tx>
            <c:strRef>
              <c:f>Arkusz2!$D$59</c:f>
              <c:strCache>
                <c:ptCount val="1"/>
                <c:pt idx="0">
                  <c:v>Wypadki ze skutkiem śmiertelnym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Arkusz2!$E$55:$J$55</c:f>
              <c:numCache>
                <c:formatCode>General</c:formatCode>
                <c:ptCount val="6"/>
                <c:pt idx="0">
                  <c:v>2007</c:v>
                </c:pt>
                <c:pt idx="1">
                  <c:v>2008</c:v>
                </c:pt>
                <c:pt idx="2">
                  <c:v>2009</c:v>
                </c:pt>
                <c:pt idx="3">
                  <c:v>2010</c:v>
                </c:pt>
                <c:pt idx="4">
                  <c:v>2011</c:v>
                </c:pt>
                <c:pt idx="5">
                  <c:v>2012</c:v>
                </c:pt>
              </c:numCache>
            </c:numRef>
          </c:cat>
          <c:val>
            <c:numRef>
              <c:f>Arkusz2!$E$59:$J$59</c:f>
              <c:numCache>
                <c:formatCode>General</c:formatCode>
                <c:ptCount val="6"/>
                <c:pt idx="0">
                  <c:v>19</c:v>
                </c:pt>
                <c:pt idx="1">
                  <c:v>9</c:v>
                </c:pt>
                <c:pt idx="2">
                  <c:v>10</c:v>
                </c:pt>
                <c:pt idx="3">
                  <c:v>12</c:v>
                </c:pt>
                <c:pt idx="4">
                  <c:v>8</c:v>
                </c:pt>
                <c:pt idx="5">
                  <c:v>9</c:v>
                </c:pt>
              </c:numCache>
            </c:numRef>
          </c:val>
        </c:ser>
        <c:dLbls>
          <c:showLegendKey val="0"/>
          <c:showVal val="0"/>
          <c:showCatName val="0"/>
          <c:showSerName val="0"/>
          <c:showPercent val="0"/>
          <c:showBubbleSize val="0"/>
        </c:dLbls>
        <c:gapWidth val="150"/>
        <c:axId val="154286336"/>
        <c:axId val="154296320"/>
      </c:barChart>
      <c:catAx>
        <c:axId val="154286336"/>
        <c:scaling>
          <c:orientation val="minMax"/>
        </c:scaling>
        <c:delete val="0"/>
        <c:axPos val="b"/>
        <c:numFmt formatCode="General" sourceLinked="1"/>
        <c:majorTickMark val="out"/>
        <c:minorTickMark val="none"/>
        <c:tickLblPos val="nextTo"/>
        <c:crossAx val="154296320"/>
        <c:crosses val="autoZero"/>
        <c:auto val="1"/>
        <c:lblAlgn val="ctr"/>
        <c:lblOffset val="100"/>
        <c:noMultiLvlLbl val="0"/>
      </c:catAx>
      <c:valAx>
        <c:axId val="154296320"/>
        <c:scaling>
          <c:orientation val="minMax"/>
        </c:scaling>
        <c:delete val="0"/>
        <c:axPos val="l"/>
        <c:majorGridlines/>
        <c:numFmt formatCode="General" sourceLinked="1"/>
        <c:majorTickMark val="out"/>
        <c:minorTickMark val="none"/>
        <c:tickLblPos val="nextTo"/>
        <c:crossAx val="154286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DATA!$B$13</c:f>
              <c:strCache>
                <c:ptCount val="1"/>
                <c:pt idx="0">
                  <c:v>Lokale wynajmowane jako socjalne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DATA!$C$12:$G$12</c:f>
              <c:numCache>
                <c:formatCode>General</c:formatCode>
                <c:ptCount val="5"/>
                <c:pt idx="0">
                  <c:v>2014</c:v>
                </c:pt>
                <c:pt idx="1">
                  <c:v>2015</c:v>
                </c:pt>
                <c:pt idx="2">
                  <c:v>2016</c:v>
                </c:pt>
                <c:pt idx="3">
                  <c:v>2017</c:v>
                </c:pt>
                <c:pt idx="4">
                  <c:v>2018</c:v>
                </c:pt>
              </c:numCache>
            </c:numRef>
          </c:cat>
          <c:val>
            <c:numRef>
              <c:f>DATA!$C$13:$G$13</c:f>
              <c:numCache>
                <c:formatCode>General</c:formatCode>
                <c:ptCount val="5"/>
                <c:pt idx="0">
                  <c:v>290</c:v>
                </c:pt>
                <c:pt idx="1">
                  <c:v>310</c:v>
                </c:pt>
                <c:pt idx="2">
                  <c:v>330</c:v>
                </c:pt>
                <c:pt idx="3">
                  <c:v>350</c:v>
                </c:pt>
                <c:pt idx="4">
                  <c:v>370</c:v>
                </c:pt>
              </c:numCache>
            </c:numRef>
          </c:val>
        </c:ser>
        <c:ser>
          <c:idx val="1"/>
          <c:order val="1"/>
          <c:tx>
            <c:strRef>
              <c:f>DATA!$B$14</c:f>
              <c:strCache>
                <c:ptCount val="1"/>
                <c:pt idx="0">
                  <c:v>Pozostałe lokale socjalne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DATA!$C$12:$G$12</c:f>
              <c:numCache>
                <c:formatCode>General</c:formatCode>
                <c:ptCount val="5"/>
                <c:pt idx="0">
                  <c:v>2014</c:v>
                </c:pt>
                <c:pt idx="1">
                  <c:v>2015</c:v>
                </c:pt>
                <c:pt idx="2">
                  <c:v>2016</c:v>
                </c:pt>
                <c:pt idx="3">
                  <c:v>2017</c:v>
                </c:pt>
                <c:pt idx="4">
                  <c:v>2018</c:v>
                </c:pt>
              </c:numCache>
            </c:numRef>
          </c:cat>
          <c:val>
            <c:numRef>
              <c:f>DATA!$C$14:$G$14</c:f>
              <c:numCache>
                <c:formatCode>#,##0</c:formatCode>
                <c:ptCount val="5"/>
                <c:pt idx="0">
                  <c:v>5110</c:v>
                </c:pt>
                <c:pt idx="1">
                  <c:v>4390</c:v>
                </c:pt>
                <c:pt idx="2">
                  <c:v>4170</c:v>
                </c:pt>
                <c:pt idx="3">
                  <c:v>3950</c:v>
                </c:pt>
                <c:pt idx="4">
                  <c:v>3730</c:v>
                </c:pt>
              </c:numCache>
            </c:numRef>
          </c:val>
        </c:ser>
        <c:dLbls>
          <c:showLegendKey val="0"/>
          <c:showVal val="0"/>
          <c:showCatName val="0"/>
          <c:showSerName val="0"/>
          <c:showPercent val="0"/>
          <c:showBubbleSize val="0"/>
        </c:dLbls>
        <c:gapWidth val="150"/>
        <c:axId val="154335488"/>
        <c:axId val="154341376"/>
      </c:barChart>
      <c:lineChart>
        <c:grouping val="standard"/>
        <c:varyColors val="0"/>
        <c:ser>
          <c:idx val="2"/>
          <c:order val="2"/>
          <c:tx>
            <c:strRef>
              <c:f>DATA!$B$15</c:f>
              <c:strCache>
                <c:ptCount val="1"/>
                <c:pt idx="0">
                  <c:v>Lokale mieszkalne ogółem</c:v>
                </c:pt>
              </c:strCache>
            </c:strRef>
          </c:tx>
          <c:marker>
            <c:symbol val="none"/>
          </c:marker>
          <c:val>
            <c:numRef>
              <c:f>DATA!$C$15:$G$15</c:f>
              <c:numCache>
                <c:formatCode>General</c:formatCode>
                <c:ptCount val="5"/>
                <c:pt idx="0">
                  <c:v>5400</c:v>
                </c:pt>
                <c:pt idx="1">
                  <c:v>4700</c:v>
                </c:pt>
                <c:pt idx="2">
                  <c:v>4500</c:v>
                </c:pt>
                <c:pt idx="3">
                  <c:v>4300</c:v>
                </c:pt>
                <c:pt idx="4">
                  <c:v>4100</c:v>
                </c:pt>
              </c:numCache>
            </c:numRef>
          </c:val>
          <c:smooth val="0"/>
        </c:ser>
        <c:dLbls>
          <c:showLegendKey val="0"/>
          <c:showVal val="0"/>
          <c:showCatName val="0"/>
          <c:showSerName val="0"/>
          <c:showPercent val="0"/>
          <c:showBubbleSize val="0"/>
        </c:dLbls>
        <c:marker val="1"/>
        <c:smooth val="0"/>
        <c:axId val="154335488"/>
        <c:axId val="154341376"/>
      </c:lineChart>
      <c:catAx>
        <c:axId val="154335488"/>
        <c:scaling>
          <c:orientation val="minMax"/>
        </c:scaling>
        <c:delete val="0"/>
        <c:axPos val="b"/>
        <c:numFmt formatCode="General" sourceLinked="1"/>
        <c:majorTickMark val="out"/>
        <c:minorTickMark val="none"/>
        <c:tickLblPos val="nextTo"/>
        <c:crossAx val="154341376"/>
        <c:crosses val="autoZero"/>
        <c:auto val="1"/>
        <c:lblAlgn val="ctr"/>
        <c:lblOffset val="100"/>
        <c:noMultiLvlLbl val="0"/>
      </c:catAx>
      <c:valAx>
        <c:axId val="154341376"/>
        <c:scaling>
          <c:orientation val="minMax"/>
        </c:scaling>
        <c:delete val="0"/>
        <c:axPos val="l"/>
        <c:majorGridlines/>
        <c:numFmt formatCode="General" sourceLinked="1"/>
        <c:majorTickMark val="out"/>
        <c:minorTickMark val="none"/>
        <c:tickLblPos val="nextTo"/>
        <c:crossAx val="1543354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col"/>
        <c:grouping val="clustered"/>
        <c:varyColors val="0"/>
        <c:ser>
          <c:idx val="0"/>
          <c:order val="0"/>
          <c:tx>
            <c:strRef>
              <c:f>DATA!$A$259</c:f>
              <c:strCache>
                <c:ptCount val="1"/>
                <c:pt idx="0">
                  <c:v>sektor publiczny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DATA!$C$1:$M$1</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DATA!$C$259:$M$259</c:f>
              <c:numCache>
                <c:formatCode>0</c:formatCode>
                <c:ptCount val="11"/>
                <c:pt idx="0">
                  <c:v>219</c:v>
                </c:pt>
                <c:pt idx="1">
                  <c:v>242</c:v>
                </c:pt>
                <c:pt idx="2">
                  <c:v>240</c:v>
                </c:pt>
                <c:pt idx="3">
                  <c:v>564</c:v>
                </c:pt>
                <c:pt idx="4">
                  <c:v>624</c:v>
                </c:pt>
                <c:pt idx="5">
                  <c:v>683</c:v>
                </c:pt>
                <c:pt idx="6">
                  <c:v>659</c:v>
                </c:pt>
                <c:pt idx="7">
                  <c:v>623</c:v>
                </c:pt>
                <c:pt idx="8">
                  <c:v>665</c:v>
                </c:pt>
                <c:pt idx="9">
                  <c:v>674</c:v>
                </c:pt>
                <c:pt idx="10">
                  <c:v>694</c:v>
                </c:pt>
              </c:numCache>
            </c:numRef>
          </c:val>
        </c:ser>
        <c:ser>
          <c:idx val="1"/>
          <c:order val="1"/>
          <c:tx>
            <c:strRef>
              <c:f>DATA!$A$260</c:f>
              <c:strCache>
                <c:ptCount val="1"/>
                <c:pt idx="0">
                  <c:v>sektor prywatny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DATA!$C$1:$M$1</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DATA!$C$260:$M$260</c:f>
              <c:numCache>
                <c:formatCode>0</c:formatCode>
                <c:ptCount val="11"/>
                <c:pt idx="0">
                  <c:v>12034</c:v>
                </c:pt>
                <c:pt idx="1">
                  <c:v>12290</c:v>
                </c:pt>
                <c:pt idx="2">
                  <c:v>12011</c:v>
                </c:pt>
                <c:pt idx="3">
                  <c:v>11997</c:v>
                </c:pt>
                <c:pt idx="4">
                  <c:v>11965</c:v>
                </c:pt>
                <c:pt idx="5">
                  <c:v>12054</c:v>
                </c:pt>
                <c:pt idx="6">
                  <c:v>12302</c:v>
                </c:pt>
                <c:pt idx="7">
                  <c:v>12488</c:v>
                </c:pt>
                <c:pt idx="8">
                  <c:v>12884</c:v>
                </c:pt>
                <c:pt idx="9">
                  <c:v>12296</c:v>
                </c:pt>
                <c:pt idx="10">
                  <c:v>12603</c:v>
                </c:pt>
              </c:numCache>
            </c:numRef>
          </c:val>
        </c:ser>
        <c:dLbls>
          <c:showLegendKey val="0"/>
          <c:showVal val="0"/>
          <c:showCatName val="0"/>
          <c:showSerName val="0"/>
          <c:showPercent val="0"/>
          <c:showBubbleSize val="0"/>
        </c:dLbls>
        <c:gapWidth val="150"/>
        <c:axId val="154362240"/>
        <c:axId val="154363776"/>
      </c:barChart>
      <c:lineChart>
        <c:grouping val="standard"/>
        <c:varyColors val="0"/>
        <c:ser>
          <c:idx val="2"/>
          <c:order val="2"/>
          <c:tx>
            <c:v>Liczba przedsiębiorstw przypadająca na 10 000 mieszkańców</c:v>
          </c:tx>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DATA!$R$259:$AB$259</c:f>
              <c:numCache>
                <c:formatCode>General</c:formatCode>
                <c:ptCount val="11"/>
                <c:pt idx="0">
                  <c:v>1146.2650264278029</c:v>
                </c:pt>
                <c:pt idx="1">
                  <c:v>1176.4374559962616</c:v>
                </c:pt>
                <c:pt idx="2">
                  <c:v>1154.1976390341329</c:v>
                </c:pt>
                <c:pt idx="3">
                  <c:v>1187.8014184397148</c:v>
                </c:pt>
                <c:pt idx="4">
                  <c:v>1196.8322780597998</c:v>
                </c:pt>
                <c:pt idx="5">
                  <c:v>1215.8962903564498</c:v>
                </c:pt>
                <c:pt idx="6">
                  <c:v>1240.4176516188311</c:v>
                </c:pt>
                <c:pt idx="7">
                  <c:v>1258.5190731248451</c:v>
                </c:pt>
                <c:pt idx="8">
                  <c:v>1310.1327634721563</c:v>
                </c:pt>
                <c:pt idx="9">
                  <c:v>1259.480088173317</c:v>
                </c:pt>
                <c:pt idx="10">
                  <c:v>1298.2562340122238</c:v>
                </c:pt>
              </c:numCache>
            </c:numRef>
          </c:val>
          <c:smooth val="0"/>
        </c:ser>
        <c:dLbls>
          <c:showLegendKey val="0"/>
          <c:showVal val="0"/>
          <c:showCatName val="0"/>
          <c:showSerName val="0"/>
          <c:showPercent val="0"/>
          <c:showBubbleSize val="0"/>
        </c:dLbls>
        <c:marker val="1"/>
        <c:smooth val="0"/>
        <c:axId val="154367872"/>
        <c:axId val="154365952"/>
      </c:lineChart>
      <c:catAx>
        <c:axId val="154362240"/>
        <c:scaling>
          <c:orientation val="minMax"/>
        </c:scaling>
        <c:delete val="0"/>
        <c:axPos val="b"/>
        <c:numFmt formatCode="General" sourceLinked="0"/>
        <c:majorTickMark val="out"/>
        <c:minorTickMark val="none"/>
        <c:tickLblPos val="nextTo"/>
        <c:crossAx val="154363776"/>
        <c:crosses val="autoZero"/>
        <c:auto val="1"/>
        <c:lblAlgn val="ctr"/>
        <c:lblOffset val="100"/>
        <c:noMultiLvlLbl val="0"/>
      </c:catAx>
      <c:valAx>
        <c:axId val="154363776"/>
        <c:scaling>
          <c:orientation val="minMax"/>
        </c:scaling>
        <c:delete val="0"/>
        <c:axPos val="l"/>
        <c:majorGridlines/>
        <c:title>
          <c:tx>
            <c:rich>
              <a:bodyPr rot="-5400000" vert="horz"/>
              <a:lstStyle/>
              <a:p>
                <a:pPr>
                  <a:defRPr/>
                </a:pPr>
                <a:r>
                  <a:rPr lang="pl-PL"/>
                  <a:t>Liczba przedsiębiorstw</a:t>
                </a:r>
              </a:p>
            </c:rich>
          </c:tx>
          <c:layout/>
          <c:overlay val="0"/>
        </c:title>
        <c:numFmt formatCode="0" sourceLinked="1"/>
        <c:majorTickMark val="out"/>
        <c:minorTickMark val="none"/>
        <c:tickLblPos val="nextTo"/>
        <c:crossAx val="154362240"/>
        <c:crosses val="autoZero"/>
        <c:crossBetween val="between"/>
      </c:valAx>
      <c:valAx>
        <c:axId val="154365952"/>
        <c:scaling>
          <c:orientation val="minMax"/>
        </c:scaling>
        <c:delete val="0"/>
        <c:axPos val="r"/>
        <c:title>
          <c:tx>
            <c:rich>
              <a:bodyPr rot="-5400000" vert="horz"/>
              <a:lstStyle/>
              <a:p>
                <a:pPr>
                  <a:defRPr/>
                </a:pPr>
                <a:r>
                  <a:rPr lang="pl-PL"/>
                  <a:t>Liczba przedsiębiorstw przypadająca na 10000 mieszkańców</a:t>
                </a:r>
              </a:p>
            </c:rich>
          </c:tx>
          <c:layout/>
          <c:overlay val="0"/>
        </c:title>
        <c:numFmt formatCode="General" sourceLinked="1"/>
        <c:majorTickMark val="out"/>
        <c:minorTickMark val="none"/>
        <c:tickLblPos val="nextTo"/>
        <c:crossAx val="154367872"/>
        <c:crosses val="max"/>
        <c:crossBetween val="between"/>
      </c:valAx>
      <c:catAx>
        <c:axId val="154367872"/>
        <c:scaling>
          <c:orientation val="minMax"/>
        </c:scaling>
        <c:delete val="1"/>
        <c:axPos val="b"/>
        <c:majorTickMark val="out"/>
        <c:minorTickMark val="none"/>
        <c:tickLblPos val="nextTo"/>
        <c:crossAx val="154365952"/>
        <c:crosses val="autoZero"/>
        <c:auto val="1"/>
        <c:lblAlgn val="ctr"/>
        <c:lblOffset val="100"/>
        <c:noMultiLvlLbl val="0"/>
      </c:catAx>
    </c:plotArea>
    <c:legend>
      <c:legendPos val="b"/>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DATA!$P$280:$P$299</c:f>
              <c:strCache>
                <c:ptCount val="20"/>
                <c:pt idx="0">
                  <c:v>Rolnictwo, leśnictwo, łowiectwo i rybactwo</c:v>
                </c:pt>
                <c:pt idx="1">
                  <c:v>Górnictwo i wydobywanie</c:v>
                </c:pt>
                <c:pt idx="2">
                  <c:v>Przetwórstwo przemysłowe</c:v>
                </c:pt>
                <c:pt idx="3">
                  <c:v>Sektor energetyczny</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Zakwaterowanie i usługi gastronomiczne</c:v>
                </c:pt>
                <c:pt idx="9">
                  <c:v>Informacja i komunikacja</c:v>
                </c:pt>
                <c:pt idx="10">
                  <c:v>Działalność finansowa i ubezpieczeniowa</c:v>
                </c:pt>
                <c:pt idx="11">
                  <c:v>Działalność związana z obsługą rynku nieruchomości</c:v>
                </c:pt>
                <c:pt idx="12">
                  <c:v>Działalność profesjonalna, naukowa i techniczna</c:v>
                </c:pt>
                <c:pt idx="13">
                  <c:v>Administrowanie i działalność wspierająca</c:v>
                </c:pt>
                <c:pt idx="14">
                  <c:v>Administracja publiczna i obrona narodowa; obowiązkowe zabezpieczenia społeczne</c:v>
                </c:pt>
                <c:pt idx="15">
                  <c:v>Edukacja</c:v>
                </c:pt>
                <c:pt idx="16">
                  <c:v>Opieka zdrowotna i pomoc społeczna</c:v>
                </c:pt>
                <c:pt idx="17">
                  <c:v> Działalność związana z kulturą, rozrywką i rekreacją</c:v>
                </c:pt>
                <c:pt idx="18">
                  <c:v>Pozostała działalność usługowa oraz Gospodarstw domowych</c:v>
                </c:pt>
                <c:pt idx="19">
                  <c:v>Organizacje i zespoły eksterytorialne</c:v>
                </c:pt>
              </c:strCache>
            </c:strRef>
          </c:cat>
          <c:val>
            <c:numRef>
              <c:f>DATA!$Q$280:$Q$299</c:f>
              <c:numCache>
                <c:formatCode>0</c:formatCode>
                <c:ptCount val="20"/>
                <c:pt idx="0">
                  <c:v>66</c:v>
                </c:pt>
                <c:pt idx="1">
                  <c:v>5</c:v>
                </c:pt>
                <c:pt idx="2">
                  <c:v>775</c:v>
                </c:pt>
                <c:pt idx="3">
                  <c:v>20</c:v>
                </c:pt>
                <c:pt idx="4">
                  <c:v>26</c:v>
                </c:pt>
                <c:pt idx="5">
                  <c:v>1512</c:v>
                </c:pt>
                <c:pt idx="6">
                  <c:v>3457</c:v>
                </c:pt>
                <c:pt idx="7">
                  <c:v>966</c:v>
                </c:pt>
                <c:pt idx="8">
                  <c:v>300</c:v>
                </c:pt>
                <c:pt idx="9">
                  <c:v>251</c:v>
                </c:pt>
                <c:pt idx="10">
                  <c:v>545</c:v>
                </c:pt>
                <c:pt idx="11">
                  <c:v>1746</c:v>
                </c:pt>
                <c:pt idx="12">
                  <c:v>1257</c:v>
                </c:pt>
                <c:pt idx="13">
                  <c:v>294</c:v>
                </c:pt>
                <c:pt idx="14">
                  <c:v>22</c:v>
                </c:pt>
                <c:pt idx="15">
                  <c:v>402</c:v>
                </c:pt>
                <c:pt idx="16">
                  <c:v>615</c:v>
                </c:pt>
                <c:pt idx="17">
                  <c:v>220</c:v>
                </c:pt>
                <c:pt idx="18">
                  <c:v>818</c:v>
                </c:pt>
                <c:pt idx="19" formatCode="General">
                  <c:v>0</c:v>
                </c:pt>
              </c:numCache>
            </c:numRef>
          </c:val>
        </c:ser>
        <c:dLbls>
          <c:showLegendKey val="0"/>
          <c:showVal val="0"/>
          <c:showCatName val="0"/>
          <c:showSerName val="0"/>
          <c:showPercent val="0"/>
          <c:showBubbleSize val="0"/>
        </c:dLbls>
        <c:gapWidth val="150"/>
        <c:axId val="154376064"/>
        <c:axId val="154377600"/>
      </c:barChart>
      <c:catAx>
        <c:axId val="154376064"/>
        <c:scaling>
          <c:orientation val="minMax"/>
        </c:scaling>
        <c:delete val="0"/>
        <c:axPos val="l"/>
        <c:numFmt formatCode="General" sourceLinked="1"/>
        <c:majorTickMark val="out"/>
        <c:minorTickMark val="none"/>
        <c:tickLblPos val="nextTo"/>
        <c:crossAx val="154377600"/>
        <c:crosses val="autoZero"/>
        <c:auto val="1"/>
        <c:lblAlgn val="ctr"/>
        <c:lblOffset val="100"/>
        <c:noMultiLvlLbl val="0"/>
      </c:catAx>
      <c:valAx>
        <c:axId val="154377600"/>
        <c:scaling>
          <c:orientation val="minMax"/>
        </c:scaling>
        <c:delete val="0"/>
        <c:axPos val="b"/>
        <c:majorGridlines/>
        <c:numFmt formatCode="0" sourceLinked="1"/>
        <c:majorTickMark val="out"/>
        <c:minorTickMark val="none"/>
        <c:tickLblPos val="nextTo"/>
        <c:crossAx val="15437606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'[Wykonanie inwestycji.xlsx]Arkusz1'!$B$11</c:f>
              <c:strCache>
                <c:ptCount val="1"/>
                <c:pt idx="0">
                  <c:v>Wykonanie inwestycji (w mln zł)</c:v>
                </c:pt>
              </c:strCache>
            </c:strRef>
          </c:tx>
          <c:invertIfNegative val="0"/>
          <c:cat>
            <c:strRef>
              <c:f>'[Wykonanie inwestycji.xlsx]Arkusz1'!$C$10:$O$10</c:f>
              <c:strCach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plan na 30.06 2014</c:v>
                </c:pt>
              </c:strCache>
            </c:strRef>
          </c:cat>
          <c:val>
            <c:numRef>
              <c:f>'[Wykonanie inwestycji.xlsx]Arkusz1'!$C$11:$O$11</c:f>
              <c:numCache>
                <c:formatCode>General</c:formatCode>
                <c:ptCount val="13"/>
                <c:pt idx="0">
                  <c:v>30.17</c:v>
                </c:pt>
                <c:pt idx="1">
                  <c:v>27.04</c:v>
                </c:pt>
                <c:pt idx="2">
                  <c:v>27.4</c:v>
                </c:pt>
                <c:pt idx="3">
                  <c:v>35.11</c:v>
                </c:pt>
                <c:pt idx="4">
                  <c:v>33.229999999999997</c:v>
                </c:pt>
                <c:pt idx="5">
                  <c:v>42.67</c:v>
                </c:pt>
                <c:pt idx="6">
                  <c:v>52.76</c:v>
                </c:pt>
                <c:pt idx="7">
                  <c:v>61.16</c:v>
                </c:pt>
                <c:pt idx="8">
                  <c:v>60.84</c:v>
                </c:pt>
                <c:pt idx="9">
                  <c:v>58.42</c:v>
                </c:pt>
                <c:pt idx="10">
                  <c:v>49.3</c:v>
                </c:pt>
                <c:pt idx="11">
                  <c:v>30.52</c:v>
                </c:pt>
                <c:pt idx="12">
                  <c:v>58.84</c:v>
                </c:pt>
              </c:numCache>
            </c:numRef>
          </c:val>
        </c:ser>
        <c:ser>
          <c:idx val="1"/>
          <c:order val="1"/>
          <c:tx>
            <c:strRef>
              <c:f>'[Wykonanie inwestycji.xlsx]Arkusz1'!$B$12</c:f>
              <c:strCache>
                <c:ptCount val="1"/>
                <c:pt idx="0">
                  <c:v>Środki zewnętrzne przeznaczone na realizację inwestycji (w mln zł)</c:v>
                </c:pt>
              </c:strCache>
            </c:strRef>
          </c:tx>
          <c:invertIfNegative val="0"/>
          <c:cat>
            <c:strRef>
              <c:f>'[Wykonanie inwestycji.xlsx]Arkusz1'!$C$10:$O$10</c:f>
              <c:strCach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plan na 30.06 2014</c:v>
                </c:pt>
              </c:strCache>
            </c:strRef>
          </c:cat>
          <c:val>
            <c:numRef>
              <c:f>'[Wykonanie inwestycji.xlsx]Arkusz1'!$C$12:$O$12</c:f>
              <c:numCache>
                <c:formatCode>General</c:formatCode>
                <c:ptCount val="13"/>
                <c:pt idx="0">
                  <c:v>6.33</c:v>
                </c:pt>
                <c:pt idx="1">
                  <c:v>5.64</c:v>
                </c:pt>
                <c:pt idx="2">
                  <c:v>5.97</c:v>
                </c:pt>
                <c:pt idx="3">
                  <c:v>6.51</c:v>
                </c:pt>
                <c:pt idx="4">
                  <c:v>23.94</c:v>
                </c:pt>
                <c:pt idx="5">
                  <c:v>7.75</c:v>
                </c:pt>
                <c:pt idx="6">
                  <c:v>6.51</c:v>
                </c:pt>
                <c:pt idx="7">
                  <c:v>6.63</c:v>
                </c:pt>
                <c:pt idx="8">
                  <c:v>10.98</c:v>
                </c:pt>
                <c:pt idx="9">
                  <c:v>8.82</c:v>
                </c:pt>
                <c:pt idx="10">
                  <c:v>17.52</c:v>
                </c:pt>
                <c:pt idx="11">
                  <c:v>8.16</c:v>
                </c:pt>
                <c:pt idx="12">
                  <c:v>13.77</c:v>
                </c:pt>
              </c:numCache>
            </c:numRef>
          </c:val>
        </c:ser>
        <c:ser>
          <c:idx val="2"/>
          <c:order val="2"/>
          <c:tx>
            <c:strRef>
              <c:f>'[Wykonanie inwestycji.xlsx]Arkusz1'!$B$13</c:f>
              <c:strCache>
                <c:ptCount val="1"/>
                <c:pt idx="0">
                  <c:v> - w tym środki unijne (w mln zł)</c:v>
                </c:pt>
              </c:strCache>
            </c:strRef>
          </c:tx>
          <c:invertIfNegative val="0"/>
          <c:cat>
            <c:strRef>
              <c:f>'[Wykonanie inwestycji.xlsx]Arkusz1'!$C$10:$O$10</c:f>
              <c:strCach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plan na 30.06 2014</c:v>
                </c:pt>
              </c:strCache>
            </c:strRef>
          </c:cat>
          <c:val>
            <c:numRef>
              <c:f>'[Wykonanie inwestycji.xlsx]Arkusz1'!$C$13:$O$13</c:f>
              <c:numCache>
                <c:formatCode>General</c:formatCode>
                <c:ptCount val="13"/>
                <c:pt idx="0">
                  <c:v>0</c:v>
                </c:pt>
                <c:pt idx="1">
                  <c:v>0</c:v>
                </c:pt>
                <c:pt idx="2">
                  <c:v>0</c:v>
                </c:pt>
                <c:pt idx="3">
                  <c:v>0</c:v>
                </c:pt>
                <c:pt idx="4">
                  <c:v>22.63</c:v>
                </c:pt>
                <c:pt idx="5">
                  <c:v>4.42</c:v>
                </c:pt>
                <c:pt idx="6">
                  <c:v>0.34</c:v>
                </c:pt>
                <c:pt idx="7">
                  <c:v>4.4000000000000004</c:v>
                </c:pt>
                <c:pt idx="8">
                  <c:v>5.8</c:v>
                </c:pt>
                <c:pt idx="9">
                  <c:v>4.9800000000000004</c:v>
                </c:pt>
                <c:pt idx="10">
                  <c:v>12.5</c:v>
                </c:pt>
                <c:pt idx="11">
                  <c:v>7.28</c:v>
                </c:pt>
                <c:pt idx="12">
                  <c:v>13.76</c:v>
                </c:pt>
              </c:numCache>
            </c:numRef>
          </c:val>
        </c:ser>
        <c:dLbls>
          <c:showLegendKey val="0"/>
          <c:showVal val="0"/>
          <c:showCatName val="0"/>
          <c:showSerName val="0"/>
          <c:showPercent val="0"/>
          <c:showBubbleSize val="0"/>
        </c:dLbls>
        <c:gapWidth val="150"/>
        <c:axId val="154678016"/>
        <c:axId val="154679552"/>
      </c:barChart>
      <c:catAx>
        <c:axId val="154678016"/>
        <c:scaling>
          <c:orientation val="minMax"/>
        </c:scaling>
        <c:delete val="0"/>
        <c:axPos val="b"/>
        <c:numFmt formatCode="General" sourceLinked="1"/>
        <c:majorTickMark val="none"/>
        <c:minorTickMark val="none"/>
        <c:tickLblPos val="nextTo"/>
        <c:crossAx val="154679552"/>
        <c:crosses val="autoZero"/>
        <c:auto val="1"/>
        <c:lblAlgn val="ctr"/>
        <c:lblOffset val="100"/>
        <c:noMultiLvlLbl val="0"/>
      </c:catAx>
      <c:valAx>
        <c:axId val="154679552"/>
        <c:scaling>
          <c:orientation val="minMax"/>
        </c:scaling>
        <c:delete val="0"/>
        <c:axPos val="l"/>
        <c:majorGridlines/>
        <c:numFmt formatCode="General" sourceLinked="1"/>
        <c:majorTickMark val="none"/>
        <c:minorTickMark val="none"/>
        <c:tickLblPos val="nextTo"/>
        <c:crossAx val="154678016"/>
        <c:crosses val="autoZero"/>
        <c:crossBetween val="between"/>
      </c:valAx>
      <c:dTable>
        <c:showHorzBorder val="1"/>
        <c:showVertBorder val="1"/>
        <c:showOutline val="1"/>
        <c:showKeys val="1"/>
        <c:txPr>
          <a:bodyPr/>
          <a:lstStyle/>
          <a:p>
            <a:pPr rtl="0">
              <a:defRPr sz="800" baseline="0"/>
            </a:pPr>
            <a:endParaRPr lang="pl-PL"/>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stacked"/>
        <c:varyColors val="0"/>
        <c:ser>
          <c:idx val="0"/>
          <c:order val="0"/>
          <c:tx>
            <c:strRef>
              <c:f>DATA!$A$47</c:f>
              <c:strCache>
                <c:ptCount val="1"/>
                <c:pt idx="0">
                  <c:v>saldo migracji gminnych wewnętrznych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DATA!$C$1:$M$1</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DATA!$C$47:$M$47</c:f>
              <c:numCache>
                <c:formatCode>0</c:formatCode>
                <c:ptCount val="11"/>
                <c:pt idx="0">
                  <c:v>-158</c:v>
                </c:pt>
                <c:pt idx="1">
                  <c:v>-202</c:v>
                </c:pt>
                <c:pt idx="2">
                  <c:v>-298</c:v>
                </c:pt>
                <c:pt idx="3">
                  <c:v>-239</c:v>
                </c:pt>
                <c:pt idx="4">
                  <c:v>-288</c:v>
                </c:pt>
                <c:pt idx="5">
                  <c:v>-368</c:v>
                </c:pt>
                <c:pt idx="6">
                  <c:v>-328</c:v>
                </c:pt>
                <c:pt idx="7">
                  <c:v>-239</c:v>
                </c:pt>
                <c:pt idx="8">
                  <c:v>-271</c:v>
                </c:pt>
                <c:pt idx="9">
                  <c:v>-294</c:v>
                </c:pt>
                <c:pt idx="10">
                  <c:v>-293</c:v>
                </c:pt>
              </c:numCache>
            </c:numRef>
          </c:val>
        </c:ser>
        <c:ser>
          <c:idx val="1"/>
          <c:order val="1"/>
          <c:tx>
            <c:strRef>
              <c:f>DATA!$A$48</c:f>
              <c:strCache>
                <c:ptCount val="1"/>
                <c:pt idx="0">
                  <c:v>saldo migracji zagranicznych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DATA!$C$1:$M$1</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DATA!$C$48:$M$48</c:f>
              <c:numCache>
                <c:formatCode>0</c:formatCode>
                <c:ptCount val="11"/>
                <c:pt idx="0">
                  <c:v>-61</c:v>
                </c:pt>
                <c:pt idx="1">
                  <c:v>-44</c:v>
                </c:pt>
                <c:pt idx="2">
                  <c:v>-32</c:v>
                </c:pt>
                <c:pt idx="3">
                  <c:v>-66</c:v>
                </c:pt>
                <c:pt idx="4">
                  <c:v>-128</c:v>
                </c:pt>
                <c:pt idx="5">
                  <c:v>-34</c:v>
                </c:pt>
                <c:pt idx="6">
                  <c:v>4</c:v>
                </c:pt>
                <c:pt idx="7">
                  <c:v>-10</c:v>
                </c:pt>
                <c:pt idx="8">
                  <c:v>-19</c:v>
                </c:pt>
                <c:pt idx="9">
                  <c:v>-1</c:v>
                </c:pt>
                <c:pt idx="10">
                  <c:v>-73</c:v>
                </c:pt>
              </c:numCache>
            </c:numRef>
          </c:val>
        </c:ser>
        <c:dLbls>
          <c:showLegendKey val="0"/>
          <c:showVal val="0"/>
          <c:showCatName val="0"/>
          <c:showSerName val="0"/>
          <c:showPercent val="0"/>
          <c:showBubbleSize val="0"/>
        </c:dLbls>
        <c:gapWidth val="150"/>
        <c:overlap val="100"/>
        <c:axId val="197659264"/>
        <c:axId val="216625920"/>
      </c:barChart>
      <c:catAx>
        <c:axId val="197659264"/>
        <c:scaling>
          <c:orientation val="minMax"/>
        </c:scaling>
        <c:delete val="0"/>
        <c:axPos val="b"/>
        <c:numFmt formatCode="General" sourceLinked="0"/>
        <c:majorTickMark val="out"/>
        <c:minorTickMark val="none"/>
        <c:tickLblPos val="nextTo"/>
        <c:crossAx val="216625920"/>
        <c:crosses val="autoZero"/>
        <c:auto val="1"/>
        <c:lblAlgn val="ctr"/>
        <c:lblOffset val="100"/>
        <c:noMultiLvlLbl val="0"/>
      </c:catAx>
      <c:valAx>
        <c:axId val="216625920"/>
        <c:scaling>
          <c:orientation val="minMax"/>
        </c:scaling>
        <c:delete val="0"/>
        <c:axPos val="l"/>
        <c:majorGridlines/>
        <c:numFmt formatCode="0" sourceLinked="1"/>
        <c:majorTickMark val="out"/>
        <c:minorTickMark val="none"/>
        <c:tickLblPos val="nextTo"/>
        <c:crossAx val="197659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DATA!$AL$320</c:f>
              <c:strCache>
                <c:ptCount val="1"/>
                <c:pt idx="0">
                  <c:v>Dochody budżetu ogółem</c:v>
                </c:pt>
              </c:strCache>
            </c:strRef>
          </c:tx>
          <c:dLbls>
            <c:dLbl>
              <c:idx val="0"/>
              <c:layout>
                <c:manualLayout>
                  <c:x val="-7.5650118203309689E-3"/>
                  <c:y val="8.8593576965670922E-3"/>
                </c:manualLayout>
              </c:layout>
              <c:dLblPos val="b"/>
              <c:showLegendKey val="0"/>
              <c:showVal val="1"/>
              <c:showCatName val="0"/>
              <c:showSerName val="0"/>
              <c:showPercent val="0"/>
              <c:showBubbleSize val="0"/>
              <c:extLst>
                <c:ext xmlns:c15="http://schemas.microsoft.com/office/drawing/2012/chart" uri="{CE6537A1-D6FC-4f65-9D91-7224C49458BB}"/>
              </c:extLst>
            </c:dLbl>
            <c:dLbl>
              <c:idx val="1"/>
              <c:layout>
                <c:manualLayout>
                  <c:x val="-9.4562647754137547E-3"/>
                  <c:y val="1.32890365448505E-2"/>
                </c:manualLayout>
              </c:layout>
              <c:dLblPos val="b"/>
              <c:showLegendKey val="0"/>
              <c:showVal val="1"/>
              <c:showCatName val="0"/>
              <c:showSerName val="0"/>
              <c:showPercent val="0"/>
              <c:showBubbleSize val="0"/>
              <c:extLst>
                <c:ext xmlns:c15="http://schemas.microsoft.com/office/drawing/2012/chart" uri="{CE6537A1-D6FC-4f65-9D91-7224C49458BB}"/>
              </c:extLst>
            </c:dLbl>
            <c:dLbl>
              <c:idx val="2"/>
              <c:layout>
                <c:manualLayout>
                  <c:x val="-3.7825059101654892E-3"/>
                  <c:y val="1.328903654485054E-2"/>
                </c:manualLayout>
              </c:layout>
              <c:dLblPos val="b"/>
              <c:showLegendKey val="0"/>
              <c:showVal val="1"/>
              <c:showCatName val="0"/>
              <c:showSerName val="0"/>
              <c:showPercent val="0"/>
              <c:showBubbleSize val="0"/>
              <c:extLst>
                <c:ext xmlns:c15="http://schemas.microsoft.com/office/drawing/2012/chart" uri="{CE6537A1-D6FC-4f65-9D91-7224C49458BB}"/>
              </c:extLst>
            </c:dLbl>
            <c:dLbl>
              <c:idx val="3"/>
              <c:layout>
                <c:manualLayout>
                  <c:x val="-5.6737588652482334E-3"/>
                  <c:y val="-1.328903654485046E-2"/>
                </c:manualLayout>
              </c:layout>
              <c:dLblPos val="b"/>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2148394241417478E-2"/>
                </c:manualLayout>
              </c:layout>
              <c:dLblPos val="b"/>
              <c:showLegendKey val="0"/>
              <c:showVal val="1"/>
              <c:showCatName val="0"/>
              <c:showSerName val="0"/>
              <c:showPercent val="0"/>
              <c:showBubbleSize val="0"/>
              <c:extLst>
                <c:ext xmlns:c15="http://schemas.microsoft.com/office/drawing/2012/chart" uri="{CE6537A1-D6FC-4f65-9D91-7224C49458BB}"/>
              </c:extLst>
            </c:dLbl>
            <c:dLbl>
              <c:idx val="5"/>
              <c:layout>
                <c:manualLayout>
                  <c:x val="1.8912529550827552E-3"/>
                  <c:y val="3.5437430786268195E-2"/>
                </c:manualLayout>
              </c:layout>
              <c:dLblPos val="b"/>
              <c:showLegendKey val="0"/>
              <c:showVal val="1"/>
              <c:showCatName val="0"/>
              <c:showSerName val="0"/>
              <c:showPercent val="0"/>
              <c:showBubbleSize val="0"/>
              <c:extLst>
                <c:ext xmlns:c15="http://schemas.microsoft.com/office/drawing/2012/chart" uri="{CE6537A1-D6FC-4f65-9D91-7224C49458BB}"/>
              </c:extLst>
            </c:dLbl>
            <c:dLbl>
              <c:idx val="6"/>
              <c:layout>
                <c:manualLayout>
                  <c:x val="-5.6737588652482334E-3"/>
                  <c:y val="-8.8593576965670922E-3"/>
                </c:manualLayout>
              </c:layout>
              <c:dLblPos val="b"/>
              <c:showLegendKey val="0"/>
              <c:showVal val="1"/>
              <c:showCatName val="0"/>
              <c:showSerName val="0"/>
              <c:showPercent val="0"/>
              <c:showBubbleSize val="0"/>
              <c:extLst>
                <c:ext xmlns:c15="http://schemas.microsoft.com/office/drawing/2012/chart" uri="{CE6537A1-D6FC-4f65-9D91-7224C49458BB}"/>
              </c:extLst>
            </c:dLbl>
            <c:dLbl>
              <c:idx val="7"/>
              <c:layout>
                <c:manualLayout>
                  <c:x val="1.3238770685579201E-2"/>
                  <c:y val="3.5437430786268195E-2"/>
                </c:manualLayout>
              </c:layout>
              <c:dLblPos val="b"/>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9867109634551492E-2"/>
                </c:manualLayout>
              </c:layout>
              <c:dLblPos val="b"/>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DATA!$AM$319:$AV$319</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DATA!$AM$320:$AV$320</c:f>
              <c:numCache>
                <c:formatCode>0.00</c:formatCode>
                <c:ptCount val="10"/>
                <c:pt idx="0">
                  <c:v>269906934</c:v>
                </c:pt>
                <c:pt idx="1">
                  <c:v>303493335.12</c:v>
                </c:pt>
                <c:pt idx="2">
                  <c:v>321579700.36000001</c:v>
                </c:pt>
                <c:pt idx="3">
                  <c:v>335265504.91000003</c:v>
                </c:pt>
                <c:pt idx="4">
                  <c:v>346716119.12</c:v>
                </c:pt>
                <c:pt idx="5">
                  <c:v>347127918.75</c:v>
                </c:pt>
                <c:pt idx="6">
                  <c:v>371131757.22000003</c:v>
                </c:pt>
                <c:pt idx="7">
                  <c:v>402636354.68000001</c:v>
                </c:pt>
                <c:pt idx="8" formatCode="#,##0">
                  <c:v>409455822</c:v>
                </c:pt>
                <c:pt idx="9" formatCode="#,##0">
                  <c:v>412075000</c:v>
                </c:pt>
              </c:numCache>
            </c:numRef>
          </c:val>
          <c:smooth val="0"/>
        </c:ser>
        <c:ser>
          <c:idx val="1"/>
          <c:order val="1"/>
          <c:tx>
            <c:strRef>
              <c:f>DATA!$AL$321</c:f>
              <c:strCache>
                <c:ptCount val="1"/>
                <c:pt idx="0">
                  <c:v>Wydatki budżetu ogółem</c:v>
                </c:pt>
              </c:strCache>
            </c:strRef>
          </c:tx>
          <c:dLbls>
            <c:dLbl>
              <c:idx val="0"/>
              <c:layout>
                <c:manualLayout>
                  <c:x val="-7.8895463510848564E-3"/>
                  <c:y val="0"/>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1.183431952662722E-2"/>
                  <c:y val="0"/>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93728222996516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3.7825059101654892E-3"/>
                  <c:y val="0"/>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65780730897011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5"/>
              <c:layout>
                <c:manualLayout>
                  <c:x val="1.8912529550827552E-3"/>
                  <c:y val="2.65780730897011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214839424141747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7"/>
              <c:layout>
                <c:manualLayout>
                  <c:x val="1.134751773049646E-2"/>
                  <c:y val="1.3289036544850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8"/>
              <c:layout>
                <c:manualLayout>
                  <c:x val="3.7825059101654892E-3"/>
                  <c:y val="-1.7718715393134007E-2"/>
                </c:manualLayout>
              </c:layout>
              <c:dLblPos val="t"/>
              <c:showLegendKey val="0"/>
              <c:showVal val="1"/>
              <c:showCatName val="0"/>
              <c:showSerName val="0"/>
              <c:showPercent val="0"/>
              <c:showBubbleSize val="0"/>
              <c:extLst>
                <c:ext xmlns:c15="http://schemas.microsoft.com/office/drawing/2012/chart" uri="{CE6537A1-D6FC-4f65-9D91-7224C49458BB}"/>
              </c:extLst>
            </c:dLbl>
            <c:dLbl>
              <c:idx val="9"/>
              <c:layout>
                <c:manualLayout>
                  <c:x val="1.8912529550827552E-3"/>
                  <c:y val="-2.2148394241417478E-2"/>
                </c:manualLayout>
              </c:layout>
              <c:dLblPos val="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DATA!$AM$319:$AV$319</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DATA!$AM$321:$AV$321</c:f>
              <c:numCache>
                <c:formatCode>0.00</c:formatCode>
                <c:ptCount val="10"/>
                <c:pt idx="0">
                  <c:v>278221172</c:v>
                </c:pt>
                <c:pt idx="1">
                  <c:v>288820343.06999999</c:v>
                </c:pt>
                <c:pt idx="2">
                  <c:v>313911124.88999999</c:v>
                </c:pt>
                <c:pt idx="3">
                  <c:v>352702306.08999979</c:v>
                </c:pt>
                <c:pt idx="4">
                  <c:v>392700032</c:v>
                </c:pt>
                <c:pt idx="5">
                  <c:v>393254876.01999974</c:v>
                </c:pt>
                <c:pt idx="6">
                  <c:v>399729859.28999949</c:v>
                </c:pt>
                <c:pt idx="7">
                  <c:v>402169896.83999979</c:v>
                </c:pt>
                <c:pt idx="8" formatCode="#,##0">
                  <c:v>409365822</c:v>
                </c:pt>
                <c:pt idx="9" formatCode="#,##0">
                  <c:v>431845000</c:v>
                </c:pt>
              </c:numCache>
            </c:numRef>
          </c:val>
          <c:smooth val="0"/>
        </c:ser>
        <c:dLbls>
          <c:showLegendKey val="0"/>
          <c:showVal val="1"/>
          <c:showCatName val="0"/>
          <c:showSerName val="0"/>
          <c:showPercent val="0"/>
          <c:showBubbleSize val="0"/>
        </c:dLbls>
        <c:marker val="1"/>
        <c:smooth val="0"/>
        <c:axId val="154698880"/>
        <c:axId val="154700416"/>
      </c:lineChart>
      <c:catAx>
        <c:axId val="154698880"/>
        <c:scaling>
          <c:orientation val="minMax"/>
        </c:scaling>
        <c:delete val="0"/>
        <c:axPos val="b"/>
        <c:numFmt formatCode="0" sourceLinked="0"/>
        <c:majorTickMark val="none"/>
        <c:minorTickMark val="none"/>
        <c:tickLblPos val="nextTo"/>
        <c:crossAx val="154700416"/>
        <c:crosses val="autoZero"/>
        <c:auto val="1"/>
        <c:lblAlgn val="ctr"/>
        <c:lblOffset val="100"/>
        <c:noMultiLvlLbl val="0"/>
      </c:catAx>
      <c:valAx>
        <c:axId val="154700416"/>
        <c:scaling>
          <c:orientation val="minMax"/>
        </c:scaling>
        <c:delete val="0"/>
        <c:axPos val="l"/>
        <c:majorGridlines/>
        <c:numFmt formatCode="0" sourceLinked="0"/>
        <c:majorTickMark val="none"/>
        <c:minorTickMark val="none"/>
        <c:tickLblPos val="nextTo"/>
        <c:crossAx val="1546988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37380211194696"/>
          <c:y val="6.672926939767336E-2"/>
          <c:w val="0.48030324116462386"/>
          <c:h val="0.87149067136936065"/>
        </c:manualLayout>
      </c:layout>
      <c:barChart>
        <c:barDir val="bar"/>
        <c:grouping val="clustered"/>
        <c:varyColors val="0"/>
        <c:ser>
          <c:idx val="0"/>
          <c:order val="0"/>
          <c:tx>
            <c:strRef>
              <c:f>DATA!$O$379</c:f>
              <c:strCache>
                <c:ptCount val="1"/>
                <c:pt idx="0">
                  <c:v>2008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DATA!$N$380:$N$399</c:f>
              <c:strCache>
                <c:ptCount val="20"/>
                <c:pt idx="0">
                  <c:v>rolnictwo i łowiectwo</c:v>
                </c:pt>
                <c:pt idx="1">
                  <c:v>transport i łączność</c:v>
                </c:pt>
                <c:pt idx="2">
                  <c:v>turystyka</c:v>
                </c:pt>
                <c:pt idx="3">
                  <c:v>gospodarka mieszkaniowa</c:v>
                </c:pt>
                <c:pt idx="4">
                  <c:v>działalność usługowa</c:v>
                </c:pt>
                <c:pt idx="5">
                  <c:v>administracja publiczna</c:v>
                </c:pt>
                <c:pt idx="6">
                  <c:v>urzędy naczelnych organów władzy państwowej, kontroli i ochrony prawa oraz sądownictwa</c:v>
                </c:pt>
                <c:pt idx="7">
                  <c:v>obrona narodowa</c:v>
                </c:pt>
                <c:pt idx="8">
                  <c:v>bezpieczeństwo publiczne i ochrona przeciwpożarowa</c:v>
                </c:pt>
                <c:pt idx="9">
                  <c:v>obsługa długu publicznego</c:v>
                </c:pt>
                <c:pt idx="10">
                  <c:v>różne rozliczenia</c:v>
                </c:pt>
                <c:pt idx="11">
                  <c:v>oświata i wychowanie</c:v>
                </c:pt>
                <c:pt idx="12">
                  <c:v>ochrona zdrowia</c:v>
                </c:pt>
                <c:pt idx="13">
                  <c:v>pomoc społeczna</c:v>
                </c:pt>
                <c:pt idx="14">
                  <c:v>pozostałe zadania w zakresie polityki społecznej</c:v>
                </c:pt>
                <c:pt idx="15">
                  <c:v>edukacyjna opieka wychowawcza</c:v>
                </c:pt>
                <c:pt idx="16">
                  <c:v>gospodarka komunalna i ochrona środowiska</c:v>
                </c:pt>
                <c:pt idx="17">
                  <c:v>kultura i ochrona dziedzictwa narodowego</c:v>
                </c:pt>
                <c:pt idx="18">
                  <c:v>kultura fizyczna</c:v>
                </c:pt>
                <c:pt idx="19">
                  <c:v>dochody od osób prawnych, od osób fizycznych i od innych jednostek nieposiadających osobowości prawnej oraz wydatki związane z ich poborem</c:v>
                </c:pt>
              </c:strCache>
            </c:strRef>
          </c:cat>
          <c:val>
            <c:numRef>
              <c:f>DATA!$O$380:$O$399</c:f>
              <c:numCache>
                <c:formatCode>0.00%</c:formatCode>
                <c:ptCount val="20"/>
                <c:pt idx="0">
                  <c:v>1.5337436718147377E-3</c:v>
                </c:pt>
                <c:pt idx="1">
                  <c:v>7.5791804103426758E-2</c:v>
                </c:pt>
                <c:pt idx="2">
                  <c:v>8.0662925954163491E-5</c:v>
                </c:pt>
                <c:pt idx="3">
                  <c:v>2.6421464529982598E-2</c:v>
                </c:pt>
                <c:pt idx="4">
                  <c:v>5.6939967369749505E-3</c:v>
                </c:pt>
                <c:pt idx="5">
                  <c:v>6.2585888067222525E-2</c:v>
                </c:pt>
                <c:pt idx="6">
                  <c:v>4.3095833901697037E-5</c:v>
                </c:pt>
                <c:pt idx="7">
                  <c:v>8.249449889498524E-6</c:v>
                </c:pt>
                <c:pt idx="8">
                  <c:v>3.1366176883394249E-2</c:v>
                </c:pt>
                <c:pt idx="9">
                  <c:v>8.5176503190580767E-3</c:v>
                </c:pt>
                <c:pt idx="10">
                  <c:v>4.9408099972993655E-3</c:v>
                </c:pt>
                <c:pt idx="11">
                  <c:v>0.38431455734630937</c:v>
                </c:pt>
                <c:pt idx="12">
                  <c:v>1.0366855041392927E-2</c:v>
                </c:pt>
                <c:pt idx="13">
                  <c:v>0.20279036645070594</c:v>
                </c:pt>
                <c:pt idx="14">
                  <c:v>7.5179442385709385E-3</c:v>
                </c:pt>
                <c:pt idx="15">
                  <c:v>3.6604719127369872E-2</c:v>
                </c:pt>
                <c:pt idx="16">
                  <c:v>2.2121001097194736E-2</c:v>
                </c:pt>
                <c:pt idx="17">
                  <c:v>4.8149823312089265E-2</c:v>
                </c:pt>
                <c:pt idx="18">
                  <c:v>7.0294178608725985E-2</c:v>
                </c:pt>
                <c:pt idx="19">
                  <c:v>8.5701225872583556E-4</c:v>
                </c:pt>
              </c:numCache>
            </c:numRef>
          </c:val>
        </c:ser>
        <c:ser>
          <c:idx val="1"/>
          <c:order val="1"/>
          <c:tx>
            <c:strRef>
              <c:f>DATA!$P$379</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DATA!$N$380:$N$399</c:f>
              <c:strCache>
                <c:ptCount val="20"/>
                <c:pt idx="0">
                  <c:v>rolnictwo i łowiectwo</c:v>
                </c:pt>
                <c:pt idx="1">
                  <c:v>transport i łączność</c:v>
                </c:pt>
                <c:pt idx="2">
                  <c:v>turystyka</c:v>
                </c:pt>
                <c:pt idx="3">
                  <c:v>gospodarka mieszkaniowa</c:v>
                </c:pt>
                <c:pt idx="4">
                  <c:v>działalność usługowa</c:v>
                </c:pt>
                <c:pt idx="5">
                  <c:v>administracja publiczna</c:v>
                </c:pt>
                <c:pt idx="6">
                  <c:v>urzędy naczelnych organów władzy państwowej, kontroli i ochrony prawa oraz sądownictwa</c:v>
                </c:pt>
                <c:pt idx="7">
                  <c:v>obrona narodowa</c:v>
                </c:pt>
                <c:pt idx="8">
                  <c:v>bezpieczeństwo publiczne i ochrona przeciwpożarowa</c:v>
                </c:pt>
                <c:pt idx="9">
                  <c:v>obsługa długu publicznego</c:v>
                </c:pt>
                <c:pt idx="10">
                  <c:v>różne rozliczenia</c:v>
                </c:pt>
                <c:pt idx="11">
                  <c:v>oświata i wychowanie</c:v>
                </c:pt>
                <c:pt idx="12">
                  <c:v>ochrona zdrowia</c:v>
                </c:pt>
                <c:pt idx="13">
                  <c:v>pomoc społeczna</c:v>
                </c:pt>
                <c:pt idx="14">
                  <c:v>pozostałe zadania w zakresie polityki społecznej</c:v>
                </c:pt>
                <c:pt idx="15">
                  <c:v>edukacyjna opieka wychowawcza</c:v>
                </c:pt>
                <c:pt idx="16">
                  <c:v>gospodarka komunalna i ochrona środowiska</c:v>
                </c:pt>
                <c:pt idx="17">
                  <c:v>kultura i ochrona dziedzictwa narodowego</c:v>
                </c:pt>
                <c:pt idx="18">
                  <c:v>kultura fizyczna</c:v>
                </c:pt>
                <c:pt idx="19">
                  <c:v>dochody od osób prawnych, od osób fizycznych i od innych jednostek nieposiadających osobowości prawnej oraz wydatki związane z ich poborem</c:v>
                </c:pt>
              </c:strCache>
            </c:strRef>
          </c:cat>
          <c:val>
            <c:numRef>
              <c:f>DATA!$P$380:$P$399</c:f>
              <c:numCache>
                <c:formatCode>0.00%</c:formatCode>
                <c:ptCount val="20"/>
                <c:pt idx="0">
                  <c:v>1.7113190355811541E-4</c:v>
                </c:pt>
                <c:pt idx="1">
                  <c:v>9.0764886150896437E-2</c:v>
                </c:pt>
                <c:pt idx="2">
                  <c:v>1.0501099244830439E-4</c:v>
                </c:pt>
                <c:pt idx="3">
                  <c:v>3.2757848743814232E-2</c:v>
                </c:pt>
                <c:pt idx="4">
                  <c:v>3.6190622456733889E-3</c:v>
                </c:pt>
                <c:pt idx="5">
                  <c:v>5.9728765227688413E-2</c:v>
                </c:pt>
                <c:pt idx="6">
                  <c:v>4.3380298070745435E-5</c:v>
                </c:pt>
                <c:pt idx="7">
                  <c:v>2.486511317374539E-6</c:v>
                </c:pt>
                <c:pt idx="8">
                  <c:v>3.3834630629784659E-2</c:v>
                </c:pt>
                <c:pt idx="9">
                  <c:v>2.6628012599014966E-2</c:v>
                </c:pt>
                <c:pt idx="10">
                  <c:v>9.9957754958456131E-6</c:v>
                </c:pt>
                <c:pt idx="11">
                  <c:v>0.39539558925083973</c:v>
                </c:pt>
                <c:pt idx="12">
                  <c:v>7.6033089100563389E-3</c:v>
                </c:pt>
                <c:pt idx="13">
                  <c:v>0.18499308850458127</c:v>
                </c:pt>
                <c:pt idx="14">
                  <c:v>2.0270376858274288E-2</c:v>
                </c:pt>
                <c:pt idx="15">
                  <c:v>4.4637115311347973E-2</c:v>
                </c:pt>
                <c:pt idx="16">
                  <c:v>4.8013610794151992E-2</c:v>
                </c:pt>
                <c:pt idx="17">
                  <c:v>3.5925152338659574E-2</c:v>
                </c:pt>
                <c:pt idx="18">
                  <c:v>1.5496546954332209E-2</c:v>
                </c:pt>
                <c:pt idx="19">
                  <c:v>0</c:v>
                </c:pt>
              </c:numCache>
            </c:numRef>
          </c:val>
        </c:ser>
        <c:ser>
          <c:idx val="2"/>
          <c:order val="2"/>
          <c:tx>
            <c:strRef>
              <c:f>DATA!$Q$379</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DATA!$N$380:$N$399</c:f>
              <c:strCache>
                <c:ptCount val="20"/>
                <c:pt idx="0">
                  <c:v>rolnictwo i łowiectwo</c:v>
                </c:pt>
                <c:pt idx="1">
                  <c:v>transport i łączność</c:v>
                </c:pt>
                <c:pt idx="2">
                  <c:v>turystyka</c:v>
                </c:pt>
                <c:pt idx="3">
                  <c:v>gospodarka mieszkaniowa</c:v>
                </c:pt>
                <c:pt idx="4">
                  <c:v>działalność usługowa</c:v>
                </c:pt>
                <c:pt idx="5">
                  <c:v>administracja publiczna</c:v>
                </c:pt>
                <c:pt idx="6">
                  <c:v>urzędy naczelnych organów władzy państwowej, kontroli i ochrony prawa oraz sądownictwa</c:v>
                </c:pt>
                <c:pt idx="7">
                  <c:v>obrona narodowa</c:v>
                </c:pt>
                <c:pt idx="8">
                  <c:v>bezpieczeństwo publiczne i ochrona przeciwpożarowa</c:v>
                </c:pt>
                <c:pt idx="9">
                  <c:v>obsługa długu publicznego</c:v>
                </c:pt>
                <c:pt idx="10">
                  <c:v>różne rozliczenia</c:v>
                </c:pt>
                <c:pt idx="11">
                  <c:v>oświata i wychowanie</c:v>
                </c:pt>
                <c:pt idx="12">
                  <c:v>ochrona zdrowia</c:v>
                </c:pt>
                <c:pt idx="13">
                  <c:v>pomoc społeczna</c:v>
                </c:pt>
                <c:pt idx="14">
                  <c:v>pozostałe zadania w zakresie polityki społecznej</c:v>
                </c:pt>
                <c:pt idx="15">
                  <c:v>edukacyjna opieka wychowawcza</c:v>
                </c:pt>
                <c:pt idx="16">
                  <c:v>gospodarka komunalna i ochrona środowiska</c:v>
                </c:pt>
                <c:pt idx="17">
                  <c:v>kultura i ochrona dziedzictwa narodowego</c:v>
                </c:pt>
                <c:pt idx="18">
                  <c:v>kultura fizyczna</c:v>
                </c:pt>
                <c:pt idx="19">
                  <c:v>dochody od osób prawnych, od osób fizycznych i od innych jednostek nieposiadających osobowości prawnej oraz wydatki związane z ich poborem</c:v>
                </c:pt>
              </c:strCache>
            </c:strRef>
          </c:cat>
          <c:val>
            <c:numRef>
              <c:f>DATA!$Q$380:$Q$399</c:f>
              <c:numCache>
                <c:formatCode>0.00%</c:formatCode>
                <c:ptCount val="20"/>
                <c:pt idx="0">
                  <c:v>1.0000000000000063E-4</c:v>
                </c:pt>
                <c:pt idx="1">
                  <c:v>0.13689999999999999</c:v>
                </c:pt>
                <c:pt idx="2">
                  <c:v>9.0000000000000247E-4</c:v>
                </c:pt>
                <c:pt idx="3">
                  <c:v>1.7999999999999999E-2</c:v>
                </c:pt>
                <c:pt idx="4">
                  <c:v>3.9000000000000137E-3</c:v>
                </c:pt>
                <c:pt idx="5">
                  <c:v>6.0299999999999999E-2</c:v>
                </c:pt>
                <c:pt idx="6">
                  <c:v>1.0000000000000063E-4</c:v>
                </c:pt>
                <c:pt idx="7">
                  <c:v>0</c:v>
                </c:pt>
                <c:pt idx="8">
                  <c:v>2.7000000000000121E-2</c:v>
                </c:pt>
                <c:pt idx="9">
                  <c:v>1.9599999999999999E-2</c:v>
                </c:pt>
                <c:pt idx="10">
                  <c:v>1.2999999999999998E-2</c:v>
                </c:pt>
                <c:pt idx="11">
                  <c:v>0.35900000000000032</c:v>
                </c:pt>
                <c:pt idx="12">
                  <c:v>8.2000000000000007E-3</c:v>
                </c:pt>
                <c:pt idx="13">
                  <c:v>0.17219999999999999</c:v>
                </c:pt>
                <c:pt idx="14">
                  <c:v>1.9699999999999999E-2</c:v>
                </c:pt>
                <c:pt idx="15">
                  <c:v>3.7999999999999999E-2</c:v>
                </c:pt>
                <c:pt idx="16">
                  <c:v>7.1400000000000019E-2</c:v>
                </c:pt>
                <c:pt idx="17">
                  <c:v>3.7500000000000006E-2</c:v>
                </c:pt>
                <c:pt idx="18">
                  <c:v>1.4200000000000001E-2</c:v>
                </c:pt>
                <c:pt idx="19">
                  <c:v>0</c:v>
                </c:pt>
              </c:numCache>
            </c:numRef>
          </c:val>
        </c:ser>
        <c:dLbls>
          <c:showLegendKey val="0"/>
          <c:showVal val="1"/>
          <c:showCatName val="0"/>
          <c:showSerName val="0"/>
          <c:showPercent val="0"/>
          <c:showBubbleSize val="0"/>
        </c:dLbls>
        <c:gapWidth val="75"/>
        <c:axId val="154731264"/>
        <c:axId val="154732800"/>
      </c:barChart>
      <c:catAx>
        <c:axId val="154731264"/>
        <c:scaling>
          <c:orientation val="minMax"/>
        </c:scaling>
        <c:delete val="0"/>
        <c:axPos val="l"/>
        <c:numFmt formatCode="0.00%" sourceLinked="0"/>
        <c:majorTickMark val="none"/>
        <c:minorTickMark val="none"/>
        <c:tickLblPos val="nextTo"/>
        <c:txPr>
          <a:bodyPr/>
          <a:lstStyle/>
          <a:p>
            <a:pPr>
              <a:defRPr sz="900"/>
            </a:pPr>
            <a:endParaRPr lang="pl-PL"/>
          </a:p>
        </c:txPr>
        <c:crossAx val="154732800"/>
        <c:crosses val="autoZero"/>
        <c:auto val="1"/>
        <c:lblAlgn val="ctr"/>
        <c:lblOffset val="100"/>
        <c:noMultiLvlLbl val="0"/>
      </c:catAx>
      <c:valAx>
        <c:axId val="154732800"/>
        <c:scaling>
          <c:orientation val="minMax"/>
        </c:scaling>
        <c:delete val="0"/>
        <c:axPos val="b"/>
        <c:majorGridlines/>
        <c:numFmt formatCode="0.00%" sourceLinked="1"/>
        <c:majorTickMark val="none"/>
        <c:minorTickMark val="none"/>
        <c:tickLblPos val="nextTo"/>
        <c:txPr>
          <a:bodyPr rot="5400000" vert="horz"/>
          <a:lstStyle/>
          <a:p>
            <a:pPr>
              <a:defRPr/>
            </a:pPr>
            <a:endParaRPr lang="pl-PL"/>
          </a:p>
        </c:txPr>
        <c:crossAx val="15473126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doughnutChart>
        <c:varyColors val="1"/>
        <c:ser>
          <c:idx val="0"/>
          <c:order val="0"/>
          <c:dLbls>
            <c:dLbl>
              <c:idx val="0"/>
              <c:layout>
                <c:manualLayout>
                  <c:x val="-0.16358209435152918"/>
                  <c:y val="-0.1235609331824724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6334864726901554E-2"/>
                  <c:y val="-3.910068426197494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2342977495347538"/>
                  <c:y val="-2.3962869743921308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21031138335885655"/>
                  <c:y val="7.4291300097751714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6.1255742725880927E-3"/>
                  <c:y val="2.3460410557184751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Benchmarking!$D$44:$H$44</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Benchmarking!$D$45:$H$45</c:f>
              <c:numCache>
                <c:formatCode>0.00%</c:formatCode>
                <c:ptCount val="5"/>
                <c:pt idx="0">
                  <c:v>9.5355818470775205E-3</c:v>
                </c:pt>
                <c:pt idx="1">
                  <c:v>0.31894166813821234</c:v>
                </c:pt>
                <c:pt idx="2">
                  <c:v>0.20389663900170699</c:v>
                </c:pt>
                <c:pt idx="3">
                  <c:v>3.5081523338630877E-2</c:v>
                </c:pt>
                <c:pt idx="4">
                  <c:v>0.43254458767438453</c:v>
                </c:pt>
              </c:numCache>
            </c:numRef>
          </c:val>
        </c:ser>
        <c:dLbls>
          <c:showLegendKey val="0"/>
          <c:showVal val="1"/>
          <c:showCatName val="1"/>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DATA!$B$17</c:f>
              <c:strCache>
                <c:ptCount val="1"/>
                <c:pt idx="0">
                  <c:v>POLSKA</c:v>
                </c:pt>
              </c:strCache>
            </c:strRef>
          </c:tx>
          <c:cat>
            <c:strRef>
              <c:f>DATA!$C$16:$H$16</c:f>
              <c:strCache>
                <c:ptCount val="6"/>
                <c:pt idx="0">
                  <c:v>2007</c:v>
                </c:pt>
                <c:pt idx="1">
                  <c:v>2008</c:v>
                </c:pt>
                <c:pt idx="2">
                  <c:v>2009</c:v>
                </c:pt>
                <c:pt idx="3">
                  <c:v>2010</c:v>
                </c:pt>
                <c:pt idx="4">
                  <c:v>2011</c:v>
                </c:pt>
                <c:pt idx="5">
                  <c:v>2012</c:v>
                </c:pt>
              </c:strCache>
            </c:strRef>
          </c:cat>
          <c:val>
            <c:numRef>
              <c:f>DATA!$C$17:$H$17</c:f>
              <c:numCache>
                <c:formatCode>0.00</c:formatCode>
                <c:ptCount val="6"/>
                <c:pt idx="0">
                  <c:v>2866.04</c:v>
                </c:pt>
                <c:pt idx="1">
                  <c:v>3158.48</c:v>
                </c:pt>
                <c:pt idx="2">
                  <c:v>3315.38</c:v>
                </c:pt>
                <c:pt idx="3">
                  <c:v>3435</c:v>
                </c:pt>
                <c:pt idx="4">
                  <c:v>3625.21</c:v>
                </c:pt>
                <c:pt idx="5">
                  <c:v>3744.38</c:v>
                </c:pt>
              </c:numCache>
            </c:numRef>
          </c:val>
          <c:smooth val="0"/>
        </c:ser>
        <c:ser>
          <c:idx val="1"/>
          <c:order val="1"/>
          <c:tx>
            <c:strRef>
              <c:f>DATA!$B$18</c:f>
              <c:strCache>
                <c:ptCount val="1"/>
                <c:pt idx="0">
                  <c:v> DOLNOŚLĄSKIE</c:v>
                </c:pt>
              </c:strCache>
            </c:strRef>
          </c:tx>
          <c:cat>
            <c:strRef>
              <c:f>DATA!$C$16:$H$16</c:f>
              <c:strCache>
                <c:ptCount val="6"/>
                <c:pt idx="0">
                  <c:v>2007</c:v>
                </c:pt>
                <c:pt idx="1">
                  <c:v>2008</c:v>
                </c:pt>
                <c:pt idx="2">
                  <c:v>2009</c:v>
                </c:pt>
                <c:pt idx="3">
                  <c:v>2010</c:v>
                </c:pt>
                <c:pt idx="4">
                  <c:v>2011</c:v>
                </c:pt>
                <c:pt idx="5">
                  <c:v>2012</c:v>
                </c:pt>
              </c:strCache>
            </c:strRef>
          </c:cat>
          <c:val>
            <c:numRef>
              <c:f>DATA!$C$18:$H$18</c:f>
              <c:numCache>
                <c:formatCode>0.00</c:formatCode>
                <c:ptCount val="6"/>
                <c:pt idx="0">
                  <c:v>2860.66</c:v>
                </c:pt>
                <c:pt idx="1">
                  <c:v>3135.8300000000022</c:v>
                </c:pt>
                <c:pt idx="2">
                  <c:v>3295.44</c:v>
                </c:pt>
                <c:pt idx="3">
                  <c:v>3412.3700000000022</c:v>
                </c:pt>
                <c:pt idx="4">
                  <c:v>3587.25</c:v>
                </c:pt>
                <c:pt idx="5">
                  <c:v>3709.32</c:v>
                </c:pt>
              </c:numCache>
            </c:numRef>
          </c:val>
          <c:smooth val="0"/>
        </c:ser>
        <c:ser>
          <c:idx val="2"/>
          <c:order val="2"/>
          <c:tx>
            <c:strRef>
              <c:f>DATA!$B$19</c:f>
              <c:strCache>
                <c:ptCount val="1"/>
                <c:pt idx="0">
                  <c:v>Powiat m.Jelenia Góra</c:v>
                </c:pt>
              </c:strCache>
            </c:strRef>
          </c:tx>
          <c:cat>
            <c:strRef>
              <c:f>DATA!$C$16:$H$16</c:f>
              <c:strCache>
                <c:ptCount val="6"/>
                <c:pt idx="0">
                  <c:v>2007</c:v>
                </c:pt>
                <c:pt idx="1">
                  <c:v>2008</c:v>
                </c:pt>
                <c:pt idx="2">
                  <c:v>2009</c:v>
                </c:pt>
                <c:pt idx="3">
                  <c:v>2010</c:v>
                </c:pt>
                <c:pt idx="4">
                  <c:v>2011</c:v>
                </c:pt>
                <c:pt idx="5">
                  <c:v>2012</c:v>
                </c:pt>
              </c:strCache>
            </c:strRef>
          </c:cat>
          <c:val>
            <c:numRef>
              <c:f>DATA!$C$19:$H$19</c:f>
              <c:numCache>
                <c:formatCode>0.00</c:formatCode>
                <c:ptCount val="6"/>
                <c:pt idx="0">
                  <c:v>2548.9299999999998</c:v>
                </c:pt>
                <c:pt idx="1">
                  <c:v>2795.8500000000022</c:v>
                </c:pt>
                <c:pt idx="2">
                  <c:v>2913.03</c:v>
                </c:pt>
                <c:pt idx="3">
                  <c:v>2969.75</c:v>
                </c:pt>
                <c:pt idx="4">
                  <c:v>3192.15</c:v>
                </c:pt>
                <c:pt idx="5">
                  <c:v>3291.09</c:v>
                </c:pt>
              </c:numCache>
            </c:numRef>
          </c:val>
          <c:smooth val="0"/>
        </c:ser>
        <c:ser>
          <c:idx val="3"/>
          <c:order val="3"/>
          <c:tx>
            <c:strRef>
              <c:f>DATA!$B$20</c:f>
              <c:strCache>
                <c:ptCount val="1"/>
                <c:pt idx="0">
                  <c:v>Powiat legnicki</c:v>
                </c:pt>
              </c:strCache>
            </c:strRef>
          </c:tx>
          <c:cat>
            <c:strRef>
              <c:f>DATA!$C$16:$H$16</c:f>
              <c:strCache>
                <c:ptCount val="6"/>
                <c:pt idx="0">
                  <c:v>2007</c:v>
                </c:pt>
                <c:pt idx="1">
                  <c:v>2008</c:v>
                </c:pt>
                <c:pt idx="2">
                  <c:v>2009</c:v>
                </c:pt>
                <c:pt idx="3">
                  <c:v>2010</c:v>
                </c:pt>
                <c:pt idx="4">
                  <c:v>2011</c:v>
                </c:pt>
                <c:pt idx="5">
                  <c:v>2012</c:v>
                </c:pt>
              </c:strCache>
            </c:strRef>
          </c:cat>
          <c:val>
            <c:numRef>
              <c:f>DATA!$C$20:$H$20</c:f>
              <c:numCache>
                <c:formatCode>0.00</c:formatCode>
                <c:ptCount val="6"/>
                <c:pt idx="0">
                  <c:v>2181.7199999999998</c:v>
                </c:pt>
                <c:pt idx="1">
                  <c:v>2393.66</c:v>
                </c:pt>
                <c:pt idx="2">
                  <c:v>2614.48</c:v>
                </c:pt>
                <c:pt idx="3">
                  <c:v>2737.4900000000002</c:v>
                </c:pt>
                <c:pt idx="4">
                  <c:v>2918.3700000000022</c:v>
                </c:pt>
                <c:pt idx="5">
                  <c:v>3065.2</c:v>
                </c:pt>
              </c:numCache>
            </c:numRef>
          </c:val>
          <c:smooth val="0"/>
        </c:ser>
        <c:ser>
          <c:idx val="4"/>
          <c:order val="4"/>
          <c:tx>
            <c:strRef>
              <c:f>DATA!$B$21</c:f>
              <c:strCache>
                <c:ptCount val="1"/>
                <c:pt idx="0">
                  <c:v>Powiat m.Legnica</c:v>
                </c:pt>
              </c:strCache>
            </c:strRef>
          </c:tx>
          <c:cat>
            <c:strRef>
              <c:f>DATA!$C$16:$H$16</c:f>
              <c:strCache>
                <c:ptCount val="6"/>
                <c:pt idx="0">
                  <c:v>2007</c:v>
                </c:pt>
                <c:pt idx="1">
                  <c:v>2008</c:v>
                </c:pt>
                <c:pt idx="2">
                  <c:v>2009</c:v>
                </c:pt>
                <c:pt idx="3">
                  <c:v>2010</c:v>
                </c:pt>
                <c:pt idx="4">
                  <c:v>2011</c:v>
                </c:pt>
                <c:pt idx="5">
                  <c:v>2012</c:v>
                </c:pt>
              </c:strCache>
            </c:strRef>
          </c:cat>
          <c:val>
            <c:numRef>
              <c:f>DATA!$C$21:$H$21</c:f>
              <c:numCache>
                <c:formatCode>0.00</c:formatCode>
                <c:ptCount val="6"/>
                <c:pt idx="0">
                  <c:v>2282.17</c:v>
                </c:pt>
                <c:pt idx="1">
                  <c:v>2543.3900000000012</c:v>
                </c:pt>
                <c:pt idx="2">
                  <c:v>2709.3300000000022</c:v>
                </c:pt>
                <c:pt idx="3">
                  <c:v>2763.74</c:v>
                </c:pt>
                <c:pt idx="4">
                  <c:v>2899.24</c:v>
                </c:pt>
                <c:pt idx="5">
                  <c:v>3034.05</c:v>
                </c:pt>
              </c:numCache>
            </c:numRef>
          </c:val>
          <c:smooth val="0"/>
        </c:ser>
        <c:ser>
          <c:idx val="5"/>
          <c:order val="5"/>
          <c:tx>
            <c:strRef>
              <c:f>DATA!$B$22</c:f>
              <c:strCache>
                <c:ptCount val="1"/>
                <c:pt idx="0">
                  <c:v>Powiat wałbrzyski *</c:v>
                </c:pt>
              </c:strCache>
            </c:strRef>
          </c:tx>
          <c:cat>
            <c:strRef>
              <c:f>DATA!$C$16:$H$16</c:f>
              <c:strCache>
                <c:ptCount val="6"/>
                <c:pt idx="0">
                  <c:v>2007</c:v>
                </c:pt>
                <c:pt idx="1">
                  <c:v>2008</c:v>
                </c:pt>
                <c:pt idx="2">
                  <c:v>2009</c:v>
                </c:pt>
                <c:pt idx="3">
                  <c:v>2010</c:v>
                </c:pt>
                <c:pt idx="4">
                  <c:v>2011</c:v>
                </c:pt>
                <c:pt idx="5">
                  <c:v>2012</c:v>
                </c:pt>
              </c:strCache>
            </c:strRef>
          </c:cat>
          <c:val>
            <c:numRef>
              <c:f>DATA!$C$22:$H$22</c:f>
              <c:numCache>
                <c:formatCode>0.00</c:formatCode>
                <c:ptCount val="6"/>
                <c:pt idx="0">
                  <c:v>2683.57</c:v>
                </c:pt>
                <c:pt idx="1">
                  <c:v>2952</c:v>
                </c:pt>
                <c:pt idx="2">
                  <c:v>3144.13</c:v>
                </c:pt>
                <c:pt idx="3">
                  <c:v>3281.07</c:v>
                </c:pt>
                <c:pt idx="4">
                  <c:v>3470.48</c:v>
                </c:pt>
                <c:pt idx="5">
                  <c:v>3564.9100000000012</c:v>
                </c:pt>
              </c:numCache>
            </c:numRef>
          </c:val>
          <c:smooth val="0"/>
        </c:ser>
        <c:ser>
          <c:idx val="6"/>
          <c:order val="6"/>
          <c:tx>
            <c:strRef>
              <c:f>DATA!$B$23</c:f>
              <c:strCache>
                <c:ptCount val="1"/>
                <c:pt idx="0">
                  <c:v>Powiat m.Wrocław</c:v>
                </c:pt>
              </c:strCache>
            </c:strRef>
          </c:tx>
          <c:cat>
            <c:strRef>
              <c:f>DATA!$C$16:$H$16</c:f>
              <c:strCache>
                <c:ptCount val="6"/>
                <c:pt idx="0">
                  <c:v>2007</c:v>
                </c:pt>
                <c:pt idx="1">
                  <c:v>2008</c:v>
                </c:pt>
                <c:pt idx="2">
                  <c:v>2009</c:v>
                </c:pt>
                <c:pt idx="3">
                  <c:v>2010</c:v>
                </c:pt>
                <c:pt idx="4">
                  <c:v>2011</c:v>
                </c:pt>
                <c:pt idx="5">
                  <c:v>2012</c:v>
                </c:pt>
              </c:strCache>
            </c:strRef>
          </c:cat>
          <c:val>
            <c:numRef>
              <c:f>DATA!$C$23:$H$23</c:f>
              <c:numCache>
                <c:formatCode>0.00</c:formatCode>
                <c:ptCount val="6"/>
                <c:pt idx="0">
                  <c:v>3048.98</c:v>
                </c:pt>
                <c:pt idx="1">
                  <c:v>3415.3900000000012</c:v>
                </c:pt>
                <c:pt idx="2">
                  <c:v>3556.1</c:v>
                </c:pt>
                <c:pt idx="3">
                  <c:v>3675.8500000000022</c:v>
                </c:pt>
                <c:pt idx="4">
                  <c:v>3827.68</c:v>
                </c:pt>
                <c:pt idx="5">
                  <c:v>3923.9300000000012</c:v>
                </c:pt>
              </c:numCache>
            </c:numRef>
          </c:val>
          <c:smooth val="0"/>
        </c:ser>
        <c:dLbls>
          <c:showLegendKey val="0"/>
          <c:showVal val="0"/>
          <c:showCatName val="0"/>
          <c:showSerName val="0"/>
          <c:showPercent val="0"/>
          <c:showBubbleSize val="0"/>
        </c:dLbls>
        <c:marker val="1"/>
        <c:smooth val="0"/>
        <c:axId val="154776320"/>
        <c:axId val="154777856"/>
      </c:lineChart>
      <c:catAx>
        <c:axId val="154776320"/>
        <c:scaling>
          <c:orientation val="minMax"/>
        </c:scaling>
        <c:delete val="0"/>
        <c:axPos val="b"/>
        <c:numFmt formatCode="General" sourceLinked="0"/>
        <c:majorTickMark val="none"/>
        <c:minorTickMark val="none"/>
        <c:tickLblPos val="nextTo"/>
        <c:crossAx val="154777856"/>
        <c:crosses val="autoZero"/>
        <c:auto val="1"/>
        <c:lblAlgn val="ctr"/>
        <c:lblOffset val="100"/>
        <c:noMultiLvlLbl val="0"/>
      </c:catAx>
      <c:valAx>
        <c:axId val="154777856"/>
        <c:scaling>
          <c:orientation val="minMax"/>
        </c:scaling>
        <c:delete val="0"/>
        <c:axPos val="l"/>
        <c:majorGridlines/>
        <c:title>
          <c:tx>
            <c:rich>
              <a:bodyPr/>
              <a:lstStyle/>
              <a:p>
                <a:pPr>
                  <a:defRPr/>
                </a:pPr>
                <a:r>
                  <a:rPr lang="pl-PL"/>
                  <a:t>Wynagrodzenia brutto w PLN</a:t>
                </a:r>
              </a:p>
            </c:rich>
          </c:tx>
          <c:layout/>
          <c:overlay val="0"/>
        </c:title>
        <c:numFmt formatCode="0.00" sourceLinked="1"/>
        <c:majorTickMark val="none"/>
        <c:minorTickMark val="none"/>
        <c:tickLblPos val="nextTo"/>
        <c:crossAx val="154776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Benchmarking!$K$20:$V$20</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 (stan na X.2013)</c:v>
                </c:pt>
              </c:strCache>
            </c:strRef>
          </c:cat>
          <c:val>
            <c:numRef>
              <c:f>Benchmarking!$K$21:$V$21</c:f>
              <c:numCache>
                <c:formatCode>General</c:formatCode>
                <c:ptCount val="12"/>
                <c:pt idx="0">
                  <c:v>21.7</c:v>
                </c:pt>
                <c:pt idx="1">
                  <c:v>21.9</c:v>
                </c:pt>
                <c:pt idx="2">
                  <c:v>20.3</c:v>
                </c:pt>
                <c:pt idx="3">
                  <c:v>18.2</c:v>
                </c:pt>
                <c:pt idx="4">
                  <c:v>13.5</c:v>
                </c:pt>
                <c:pt idx="5">
                  <c:v>7.8</c:v>
                </c:pt>
                <c:pt idx="6">
                  <c:v>6.3</c:v>
                </c:pt>
                <c:pt idx="7">
                  <c:v>8.8000000000000007</c:v>
                </c:pt>
                <c:pt idx="8">
                  <c:v>9.2000000000000011</c:v>
                </c:pt>
                <c:pt idx="9">
                  <c:v>10.1</c:v>
                </c:pt>
                <c:pt idx="10">
                  <c:v>10.5</c:v>
                </c:pt>
                <c:pt idx="11">
                  <c:v>10.3</c:v>
                </c:pt>
              </c:numCache>
            </c:numRef>
          </c:val>
          <c:smooth val="0"/>
        </c:ser>
        <c:dLbls>
          <c:showLegendKey val="0"/>
          <c:showVal val="0"/>
          <c:showCatName val="0"/>
          <c:showSerName val="0"/>
          <c:showPercent val="0"/>
          <c:showBubbleSize val="0"/>
        </c:dLbls>
        <c:marker val="1"/>
        <c:smooth val="0"/>
        <c:axId val="155185152"/>
        <c:axId val="155186688"/>
      </c:lineChart>
      <c:catAx>
        <c:axId val="155185152"/>
        <c:scaling>
          <c:orientation val="minMax"/>
        </c:scaling>
        <c:delete val="0"/>
        <c:axPos val="b"/>
        <c:numFmt formatCode="General" sourceLinked="0"/>
        <c:majorTickMark val="out"/>
        <c:minorTickMark val="none"/>
        <c:tickLblPos val="nextTo"/>
        <c:crossAx val="155186688"/>
        <c:crosses val="autoZero"/>
        <c:auto val="1"/>
        <c:lblAlgn val="ctr"/>
        <c:lblOffset val="100"/>
        <c:noMultiLvlLbl val="0"/>
      </c:catAx>
      <c:valAx>
        <c:axId val="155186688"/>
        <c:scaling>
          <c:orientation val="minMax"/>
        </c:scaling>
        <c:delete val="0"/>
        <c:axPos val="l"/>
        <c:majorGridlines/>
        <c:numFmt formatCode="General" sourceLinked="1"/>
        <c:majorTickMark val="out"/>
        <c:minorTickMark val="none"/>
        <c:tickLblPos val="nextTo"/>
        <c:crossAx val="1551851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DATA!$K$5</c:f>
              <c:strCache>
                <c:ptCount val="1"/>
                <c:pt idx="0">
                  <c:v>Jelenia Gora</c:v>
                </c:pt>
              </c:strCache>
            </c:strRef>
          </c:tx>
          <c:invertIfNegative val="0"/>
          <c:cat>
            <c:strRef>
              <c:f>DATA!$L$4:$P$4</c:f>
              <c:strCache>
                <c:ptCount val="5"/>
                <c:pt idx="0">
                  <c:v>24 i mniej</c:v>
                </c:pt>
                <c:pt idx="1">
                  <c:v>25-34</c:v>
                </c:pt>
                <c:pt idx="2">
                  <c:v>35-44</c:v>
                </c:pt>
                <c:pt idx="3">
                  <c:v>45-54</c:v>
                </c:pt>
                <c:pt idx="4">
                  <c:v>55 i więcej</c:v>
                </c:pt>
              </c:strCache>
            </c:strRef>
          </c:cat>
          <c:val>
            <c:numRef>
              <c:f>DATA!$L$5:$P$5</c:f>
              <c:numCache>
                <c:formatCode>0.00%</c:formatCode>
                <c:ptCount val="5"/>
                <c:pt idx="0">
                  <c:v>9.2567383610127965E-2</c:v>
                </c:pt>
                <c:pt idx="1">
                  <c:v>0.23686359923768038</c:v>
                </c:pt>
                <c:pt idx="2">
                  <c:v>0.19575279063435883</c:v>
                </c:pt>
                <c:pt idx="3">
                  <c:v>0.24475905254560537</c:v>
                </c:pt>
                <c:pt idx="4">
                  <c:v>0.23005717397222991</c:v>
                </c:pt>
              </c:numCache>
            </c:numRef>
          </c:val>
        </c:ser>
        <c:ser>
          <c:idx val="1"/>
          <c:order val="1"/>
          <c:tx>
            <c:strRef>
              <c:f>DATA!$K$6</c:f>
              <c:strCache>
                <c:ptCount val="1"/>
                <c:pt idx="0">
                  <c:v>Legnica</c:v>
                </c:pt>
              </c:strCache>
            </c:strRef>
          </c:tx>
          <c:invertIfNegative val="0"/>
          <c:cat>
            <c:strRef>
              <c:f>DATA!$L$4:$P$4</c:f>
              <c:strCache>
                <c:ptCount val="5"/>
                <c:pt idx="0">
                  <c:v>24 i mniej</c:v>
                </c:pt>
                <c:pt idx="1">
                  <c:v>25-34</c:v>
                </c:pt>
                <c:pt idx="2">
                  <c:v>35-44</c:v>
                </c:pt>
                <c:pt idx="3">
                  <c:v>45-54</c:v>
                </c:pt>
                <c:pt idx="4">
                  <c:v>55 i więcej</c:v>
                </c:pt>
              </c:strCache>
            </c:strRef>
          </c:cat>
          <c:val>
            <c:numRef>
              <c:f>DATA!$L$6:$P$6</c:f>
              <c:numCache>
                <c:formatCode>0.00%</c:formatCode>
                <c:ptCount val="5"/>
                <c:pt idx="0">
                  <c:v>0.13571143882025019</c:v>
                </c:pt>
                <c:pt idx="1">
                  <c:v>0.27680350737346154</c:v>
                </c:pt>
                <c:pt idx="2">
                  <c:v>0.20147469111199881</c:v>
                </c:pt>
                <c:pt idx="3">
                  <c:v>0.20506177760063768</c:v>
                </c:pt>
                <c:pt idx="4">
                  <c:v>0.18094858509366551</c:v>
                </c:pt>
              </c:numCache>
            </c:numRef>
          </c:val>
        </c:ser>
        <c:ser>
          <c:idx val="2"/>
          <c:order val="2"/>
          <c:tx>
            <c:strRef>
              <c:f>DATA!$K$7</c:f>
              <c:strCache>
                <c:ptCount val="1"/>
                <c:pt idx="0">
                  <c:v>Powiat wałbrzyski</c:v>
                </c:pt>
              </c:strCache>
            </c:strRef>
          </c:tx>
          <c:invertIfNegative val="0"/>
          <c:cat>
            <c:strRef>
              <c:f>DATA!$L$4:$P$4</c:f>
              <c:strCache>
                <c:ptCount val="5"/>
                <c:pt idx="0">
                  <c:v>24 i mniej</c:v>
                </c:pt>
                <c:pt idx="1">
                  <c:v>25-34</c:v>
                </c:pt>
                <c:pt idx="2">
                  <c:v>35-44</c:v>
                </c:pt>
                <c:pt idx="3">
                  <c:v>45-54</c:v>
                </c:pt>
                <c:pt idx="4">
                  <c:v>55 i więcej</c:v>
                </c:pt>
              </c:strCache>
            </c:strRef>
          </c:cat>
          <c:val>
            <c:numRef>
              <c:f>DATA!$L$7:$P$7</c:f>
              <c:numCache>
                <c:formatCode>0.00%</c:formatCode>
                <c:ptCount val="5"/>
                <c:pt idx="0">
                  <c:v>0.14060877206998482</c:v>
                </c:pt>
                <c:pt idx="1">
                  <c:v>0.28449308939841988</c:v>
                </c:pt>
                <c:pt idx="2">
                  <c:v>0.2003675001997284</c:v>
                </c:pt>
                <c:pt idx="3">
                  <c:v>0.22880882000479347</c:v>
                </c:pt>
                <c:pt idx="4">
                  <c:v>0.1457218183270752</c:v>
                </c:pt>
              </c:numCache>
            </c:numRef>
          </c:val>
        </c:ser>
        <c:ser>
          <c:idx val="3"/>
          <c:order val="3"/>
          <c:tx>
            <c:strRef>
              <c:f>DATA!$K$8</c:f>
              <c:strCache>
                <c:ptCount val="1"/>
                <c:pt idx="0">
                  <c:v>Wrocław</c:v>
                </c:pt>
              </c:strCache>
            </c:strRef>
          </c:tx>
          <c:invertIfNegative val="0"/>
          <c:cat>
            <c:strRef>
              <c:f>DATA!$L$4:$P$4</c:f>
              <c:strCache>
                <c:ptCount val="5"/>
                <c:pt idx="0">
                  <c:v>24 i mniej</c:v>
                </c:pt>
                <c:pt idx="1">
                  <c:v>25-34</c:v>
                </c:pt>
                <c:pt idx="2">
                  <c:v>35-44</c:v>
                </c:pt>
                <c:pt idx="3">
                  <c:v>45-54</c:v>
                </c:pt>
                <c:pt idx="4">
                  <c:v>55 i więcej</c:v>
                </c:pt>
              </c:strCache>
            </c:strRef>
          </c:cat>
          <c:val>
            <c:numRef>
              <c:f>DATA!$L$8:$P$8</c:f>
              <c:numCache>
                <c:formatCode>0.00%</c:formatCode>
                <c:ptCount val="5"/>
                <c:pt idx="0">
                  <c:v>8.3802705690372264E-2</c:v>
                </c:pt>
                <c:pt idx="1">
                  <c:v>0.26914776017266256</c:v>
                </c:pt>
                <c:pt idx="2">
                  <c:v>0.19234615991998735</c:v>
                </c:pt>
                <c:pt idx="3">
                  <c:v>0.21340211612359891</c:v>
                </c:pt>
                <c:pt idx="4">
                  <c:v>0.24130125809338321</c:v>
                </c:pt>
              </c:numCache>
            </c:numRef>
          </c:val>
        </c:ser>
        <c:ser>
          <c:idx val="4"/>
          <c:order val="4"/>
          <c:tx>
            <c:strRef>
              <c:f>DATA!$K$9</c:f>
              <c:strCache>
                <c:ptCount val="1"/>
                <c:pt idx="0">
                  <c:v>Powiat legnicki</c:v>
                </c:pt>
              </c:strCache>
            </c:strRef>
          </c:tx>
          <c:invertIfNegative val="0"/>
          <c:cat>
            <c:strRef>
              <c:f>DATA!$L$4:$P$4</c:f>
              <c:strCache>
                <c:ptCount val="5"/>
                <c:pt idx="0">
                  <c:v>24 i mniej</c:v>
                </c:pt>
                <c:pt idx="1">
                  <c:v>25-34</c:v>
                </c:pt>
                <c:pt idx="2">
                  <c:v>35-44</c:v>
                </c:pt>
                <c:pt idx="3">
                  <c:v>45-54</c:v>
                </c:pt>
                <c:pt idx="4">
                  <c:v>55 i więcej</c:v>
                </c:pt>
              </c:strCache>
            </c:strRef>
          </c:cat>
          <c:val>
            <c:numRef>
              <c:f>DATA!$L$9:$P$9</c:f>
              <c:numCache>
                <c:formatCode>0.00%</c:formatCode>
                <c:ptCount val="5"/>
                <c:pt idx="0">
                  <c:v>0.18738049713193447</c:v>
                </c:pt>
                <c:pt idx="1">
                  <c:v>0.28735318219066325</c:v>
                </c:pt>
                <c:pt idx="2">
                  <c:v>0.19584812892652281</c:v>
                </c:pt>
                <c:pt idx="3">
                  <c:v>0.19502868068833651</c:v>
                </c:pt>
                <c:pt idx="4">
                  <c:v>0.13438951106255118</c:v>
                </c:pt>
              </c:numCache>
            </c:numRef>
          </c:val>
        </c:ser>
        <c:dLbls>
          <c:showLegendKey val="0"/>
          <c:showVal val="0"/>
          <c:showCatName val="0"/>
          <c:showSerName val="0"/>
          <c:showPercent val="0"/>
          <c:showBubbleSize val="0"/>
        </c:dLbls>
        <c:gapWidth val="150"/>
        <c:axId val="155409792"/>
        <c:axId val="155419776"/>
      </c:barChart>
      <c:catAx>
        <c:axId val="155409792"/>
        <c:scaling>
          <c:orientation val="minMax"/>
        </c:scaling>
        <c:delete val="0"/>
        <c:axPos val="b"/>
        <c:numFmt formatCode="General" sourceLinked="0"/>
        <c:majorTickMark val="none"/>
        <c:minorTickMark val="none"/>
        <c:tickLblPos val="nextTo"/>
        <c:crossAx val="155419776"/>
        <c:crosses val="autoZero"/>
        <c:auto val="1"/>
        <c:lblAlgn val="ctr"/>
        <c:lblOffset val="100"/>
        <c:noMultiLvlLbl val="0"/>
      </c:catAx>
      <c:valAx>
        <c:axId val="155419776"/>
        <c:scaling>
          <c:orientation val="minMax"/>
        </c:scaling>
        <c:delete val="0"/>
        <c:axPos val="l"/>
        <c:majorGridlines/>
        <c:title>
          <c:tx>
            <c:rich>
              <a:bodyPr/>
              <a:lstStyle/>
              <a:p>
                <a:pPr>
                  <a:defRPr/>
                </a:pPr>
                <a:r>
                  <a:rPr lang="pl-PL"/>
                  <a:t>Udział</a:t>
                </a:r>
                <a:r>
                  <a:rPr lang="pl-PL" baseline="0"/>
                  <a:t> w ogóle bezrobotnych</a:t>
                </a:r>
                <a:endParaRPr lang="pl-PL"/>
              </a:p>
            </c:rich>
          </c:tx>
          <c:layout>
            <c:manualLayout>
              <c:xMode val="edge"/>
              <c:yMode val="edge"/>
              <c:x val="7.787438113159291E-2"/>
              <c:y val="8.6646646358986765E-2"/>
            </c:manualLayout>
          </c:layout>
          <c:overlay val="0"/>
        </c:title>
        <c:numFmt formatCode="0.00%" sourceLinked="1"/>
        <c:majorTickMark val="none"/>
        <c:minorTickMark val="none"/>
        <c:tickLblPos val="nextTo"/>
        <c:crossAx val="1554097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Legnica</a:t>
            </a:r>
          </a:p>
        </c:rich>
      </c:tx>
      <c:layout/>
      <c:overlay val="0"/>
    </c:title>
    <c:autoTitleDeleted val="0"/>
    <c:plotArea>
      <c:layout/>
      <c:pieChart>
        <c:varyColors val="1"/>
        <c:ser>
          <c:idx val="0"/>
          <c:order val="0"/>
          <c:tx>
            <c:strRef>
              <c:f>DATA!$M$8</c:f>
              <c:strCache>
                <c:ptCount val="1"/>
                <c:pt idx="0">
                  <c:v>Powiat m.Legnica</c:v>
                </c:pt>
              </c:strCache>
            </c:strRef>
          </c:tx>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DATA!$N$7:$Q$7</c:f>
              <c:strCache>
                <c:ptCount val="4"/>
                <c:pt idx="0">
                  <c:v>3 miesiące i mniej</c:v>
                </c:pt>
                <c:pt idx="1">
                  <c:v>3 - 6 miesięcy</c:v>
                </c:pt>
                <c:pt idx="2">
                  <c:v>6 - 12 miesięcy</c:v>
                </c:pt>
                <c:pt idx="3">
                  <c:v>powyżej 12 miesięcy</c:v>
                </c:pt>
              </c:strCache>
            </c:strRef>
          </c:cat>
          <c:val>
            <c:numRef>
              <c:f>DATA!$N$8:$Q$8</c:f>
              <c:numCache>
                <c:formatCode>0</c:formatCode>
                <c:ptCount val="4"/>
                <c:pt idx="0">
                  <c:v>1697</c:v>
                </c:pt>
                <c:pt idx="1">
                  <c:v>824</c:v>
                </c:pt>
                <c:pt idx="2">
                  <c:v>956</c:v>
                </c:pt>
                <c:pt idx="3">
                  <c:v>1541</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DATA!$M$6</c:f>
              <c:strCache>
                <c:ptCount val="1"/>
                <c:pt idx="0">
                  <c:v>Powiat legnicki</c:v>
                </c:pt>
              </c:strCache>
            </c:strRef>
          </c:tx>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DATA!$N$5:$Q$5</c:f>
              <c:strCache>
                <c:ptCount val="4"/>
                <c:pt idx="0">
                  <c:v>3 miesiące i mniej</c:v>
                </c:pt>
                <c:pt idx="1">
                  <c:v>3 - 6 miesięcy</c:v>
                </c:pt>
                <c:pt idx="2">
                  <c:v>6 - 12 miesięcy</c:v>
                </c:pt>
                <c:pt idx="3">
                  <c:v>powyżej 12 miesięcy</c:v>
                </c:pt>
              </c:strCache>
            </c:strRef>
          </c:cat>
          <c:val>
            <c:numRef>
              <c:f>DATA!$N$6:$Q$6</c:f>
              <c:numCache>
                <c:formatCode>0</c:formatCode>
                <c:ptCount val="4"/>
                <c:pt idx="0">
                  <c:v>1085</c:v>
                </c:pt>
                <c:pt idx="1">
                  <c:v>613</c:v>
                </c:pt>
                <c:pt idx="2">
                  <c:v>639</c:v>
                </c:pt>
                <c:pt idx="3">
                  <c:v>1324</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lineChart>
        <c:grouping val="standard"/>
        <c:varyColors val="0"/>
        <c:ser>
          <c:idx val="0"/>
          <c:order val="0"/>
          <c:tx>
            <c:strRef>
              <c:f>DATA!$S$37</c:f>
              <c:strCache>
                <c:ptCount val="1"/>
                <c:pt idx="0">
                  <c:v>Drogi powiatowe o nawierzchni twardej ulepszonej</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DATA!$T$36:$AA$36</c:f>
              <c:numCache>
                <c:formatCode>General</c:formatCode>
                <c:ptCount val="8"/>
                <c:pt idx="0">
                  <c:v>2005</c:v>
                </c:pt>
                <c:pt idx="1">
                  <c:v>2006</c:v>
                </c:pt>
                <c:pt idx="2">
                  <c:v>2007</c:v>
                </c:pt>
                <c:pt idx="3">
                  <c:v>2008</c:v>
                </c:pt>
                <c:pt idx="4">
                  <c:v>2009</c:v>
                </c:pt>
                <c:pt idx="5">
                  <c:v>2010</c:v>
                </c:pt>
                <c:pt idx="6">
                  <c:v>2011</c:v>
                </c:pt>
                <c:pt idx="7">
                  <c:v>2012</c:v>
                </c:pt>
              </c:numCache>
            </c:numRef>
          </c:cat>
          <c:val>
            <c:numRef>
              <c:f>DATA!$T$37:$AA$37</c:f>
              <c:numCache>
                <c:formatCode>0.0</c:formatCode>
                <c:ptCount val="8"/>
                <c:pt idx="0">
                  <c:v>54.7</c:v>
                </c:pt>
                <c:pt idx="1">
                  <c:v>60.5</c:v>
                </c:pt>
                <c:pt idx="2">
                  <c:v>60.3</c:v>
                </c:pt>
                <c:pt idx="3">
                  <c:v>61.2</c:v>
                </c:pt>
                <c:pt idx="4">
                  <c:v>61.2</c:v>
                </c:pt>
                <c:pt idx="5">
                  <c:v>64.599999999999994</c:v>
                </c:pt>
                <c:pt idx="6">
                  <c:v>63.1</c:v>
                </c:pt>
                <c:pt idx="7">
                  <c:v>63</c:v>
                </c:pt>
              </c:numCache>
            </c:numRef>
          </c:val>
          <c:smooth val="0"/>
        </c:ser>
        <c:ser>
          <c:idx val="1"/>
          <c:order val="1"/>
          <c:tx>
            <c:strRef>
              <c:f>DATA!$R$38</c:f>
              <c:strCache>
                <c:ptCount val="1"/>
                <c:pt idx="0">
                  <c:v>Drogi gminne o nawierzchni twardej ulepszonej</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DATA!$T$36:$AA$36</c:f>
              <c:numCache>
                <c:formatCode>General</c:formatCode>
                <c:ptCount val="8"/>
                <c:pt idx="0">
                  <c:v>2005</c:v>
                </c:pt>
                <c:pt idx="1">
                  <c:v>2006</c:v>
                </c:pt>
                <c:pt idx="2">
                  <c:v>2007</c:v>
                </c:pt>
                <c:pt idx="3">
                  <c:v>2008</c:v>
                </c:pt>
                <c:pt idx="4">
                  <c:v>2009</c:v>
                </c:pt>
                <c:pt idx="5">
                  <c:v>2010</c:v>
                </c:pt>
                <c:pt idx="6">
                  <c:v>2011</c:v>
                </c:pt>
                <c:pt idx="7">
                  <c:v>2012</c:v>
                </c:pt>
              </c:numCache>
            </c:numRef>
          </c:cat>
          <c:val>
            <c:numRef>
              <c:f>DATA!$T$38:$AA$38</c:f>
              <c:numCache>
                <c:formatCode>General</c:formatCode>
                <c:ptCount val="8"/>
                <c:pt idx="0">
                  <c:v>118.2</c:v>
                </c:pt>
                <c:pt idx="1">
                  <c:v>118.2</c:v>
                </c:pt>
                <c:pt idx="2">
                  <c:v>120.1</c:v>
                </c:pt>
                <c:pt idx="3">
                  <c:v>120.2</c:v>
                </c:pt>
                <c:pt idx="4">
                  <c:v>128</c:v>
                </c:pt>
                <c:pt idx="5">
                  <c:v>131.69999999999999</c:v>
                </c:pt>
                <c:pt idx="6">
                  <c:v>133.6</c:v>
                </c:pt>
                <c:pt idx="7">
                  <c:v>134.1</c:v>
                </c:pt>
              </c:numCache>
            </c:numRef>
          </c:val>
          <c:smooth val="0"/>
        </c:ser>
        <c:ser>
          <c:idx val="2"/>
          <c:order val="2"/>
          <c:tx>
            <c:strRef>
              <c:f>DATA!$R$39</c:f>
              <c:strCache>
                <c:ptCount val="1"/>
                <c:pt idx="0">
                  <c:v>Drogi gminne o nawierzchni gruntowej</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DATA!$T$36:$AA$36</c:f>
              <c:numCache>
                <c:formatCode>General</c:formatCode>
                <c:ptCount val="8"/>
                <c:pt idx="0">
                  <c:v>2005</c:v>
                </c:pt>
                <c:pt idx="1">
                  <c:v>2006</c:v>
                </c:pt>
                <c:pt idx="2">
                  <c:v>2007</c:v>
                </c:pt>
                <c:pt idx="3">
                  <c:v>2008</c:v>
                </c:pt>
                <c:pt idx="4">
                  <c:v>2009</c:v>
                </c:pt>
                <c:pt idx="5">
                  <c:v>2010</c:v>
                </c:pt>
                <c:pt idx="6">
                  <c:v>2011</c:v>
                </c:pt>
                <c:pt idx="7">
                  <c:v>2012</c:v>
                </c:pt>
              </c:numCache>
            </c:numRef>
          </c:cat>
          <c:val>
            <c:numRef>
              <c:f>DATA!$T$39:$AA$39</c:f>
              <c:numCache>
                <c:formatCode>General</c:formatCode>
                <c:ptCount val="8"/>
                <c:pt idx="0">
                  <c:v>50.4</c:v>
                </c:pt>
                <c:pt idx="1">
                  <c:v>50.4</c:v>
                </c:pt>
                <c:pt idx="2">
                  <c:v>48.7</c:v>
                </c:pt>
                <c:pt idx="3">
                  <c:v>48.5</c:v>
                </c:pt>
                <c:pt idx="4">
                  <c:v>49.2</c:v>
                </c:pt>
                <c:pt idx="5">
                  <c:v>49.2</c:v>
                </c:pt>
                <c:pt idx="6">
                  <c:v>48.5</c:v>
                </c:pt>
                <c:pt idx="7">
                  <c:v>49.1</c:v>
                </c:pt>
              </c:numCache>
            </c:numRef>
          </c:val>
          <c:smooth val="0"/>
        </c:ser>
        <c:dLbls>
          <c:showLegendKey val="0"/>
          <c:showVal val="0"/>
          <c:showCatName val="0"/>
          <c:showSerName val="0"/>
          <c:showPercent val="0"/>
          <c:showBubbleSize val="0"/>
        </c:dLbls>
        <c:marker val="1"/>
        <c:smooth val="0"/>
        <c:axId val="155468544"/>
        <c:axId val="155470080"/>
      </c:lineChart>
      <c:catAx>
        <c:axId val="155468544"/>
        <c:scaling>
          <c:orientation val="minMax"/>
        </c:scaling>
        <c:delete val="0"/>
        <c:axPos val="b"/>
        <c:numFmt formatCode="General" sourceLinked="1"/>
        <c:majorTickMark val="none"/>
        <c:minorTickMark val="none"/>
        <c:tickLblPos val="nextTo"/>
        <c:crossAx val="155470080"/>
        <c:crosses val="autoZero"/>
        <c:auto val="1"/>
        <c:lblAlgn val="ctr"/>
        <c:lblOffset val="100"/>
        <c:noMultiLvlLbl val="0"/>
      </c:catAx>
      <c:valAx>
        <c:axId val="155470080"/>
        <c:scaling>
          <c:orientation val="minMax"/>
        </c:scaling>
        <c:delete val="0"/>
        <c:axPos val="l"/>
        <c:majorGridlines/>
        <c:title>
          <c:tx>
            <c:rich>
              <a:bodyPr/>
              <a:lstStyle/>
              <a:p>
                <a:pPr>
                  <a:defRPr/>
                </a:pPr>
                <a:r>
                  <a:rPr lang="pl-PL"/>
                  <a:t>Długość w km</a:t>
                </a:r>
              </a:p>
            </c:rich>
          </c:tx>
          <c:layout/>
          <c:overlay val="0"/>
        </c:title>
        <c:numFmt formatCode="0.0" sourceLinked="1"/>
        <c:majorTickMark val="none"/>
        <c:minorTickMark val="none"/>
        <c:tickLblPos val="nextTo"/>
        <c:crossAx val="1554685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INFO!$N$8:$N$17</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INFO!$O$8:$O$17</c:f>
              <c:numCache>
                <c:formatCode>#,##0</c:formatCode>
                <c:ptCount val="10"/>
                <c:pt idx="0">
                  <c:v>34558</c:v>
                </c:pt>
                <c:pt idx="1">
                  <c:v>40826</c:v>
                </c:pt>
                <c:pt idx="2">
                  <c:v>46992</c:v>
                </c:pt>
                <c:pt idx="3">
                  <c:v>55149</c:v>
                </c:pt>
                <c:pt idx="4">
                  <c:v>64389</c:v>
                </c:pt>
                <c:pt idx="5">
                  <c:v>71664</c:v>
                </c:pt>
                <c:pt idx="6">
                  <c:v>78690</c:v>
                </c:pt>
                <c:pt idx="7">
                  <c:v>85568</c:v>
                </c:pt>
                <c:pt idx="8">
                  <c:v>91957</c:v>
                </c:pt>
                <c:pt idx="9">
                  <c:v>98485</c:v>
                </c:pt>
              </c:numCache>
            </c:numRef>
          </c:val>
        </c:ser>
        <c:dLbls>
          <c:showLegendKey val="0"/>
          <c:showVal val="0"/>
          <c:showCatName val="0"/>
          <c:showSerName val="0"/>
          <c:showPercent val="0"/>
          <c:showBubbleSize val="0"/>
        </c:dLbls>
        <c:gapWidth val="219"/>
        <c:overlap val="-27"/>
        <c:axId val="155495424"/>
        <c:axId val="155501312"/>
      </c:barChart>
      <c:catAx>
        <c:axId val="1554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501312"/>
        <c:crosses val="autoZero"/>
        <c:auto val="1"/>
        <c:lblAlgn val="ctr"/>
        <c:lblOffset val="100"/>
        <c:noMultiLvlLbl val="0"/>
      </c:catAx>
      <c:valAx>
        <c:axId val="15550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4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'Powiat legnicki'!$N$3</c:f>
              <c:strCache>
                <c:ptCount val="1"/>
                <c:pt idx="0">
                  <c:v>2009</c:v>
                </c:pt>
              </c:strCache>
            </c:strRef>
          </c:tx>
          <c:invertIfNegative val="0"/>
          <c:cat>
            <c:strRef>
              <c:f>'Powiat legnicki'!$M$4:$M$13</c:f>
              <c:strCache>
                <c:ptCount val="10"/>
                <c:pt idx="0">
                  <c:v>Powiat legnicki</c:v>
                </c:pt>
                <c:pt idx="1">
                  <c:v>Chojnów - miasto</c:v>
                </c:pt>
                <c:pt idx="2">
                  <c:v>Chojnów - gmina</c:v>
                </c:pt>
                <c:pt idx="3">
                  <c:v>Krotoszyce </c:v>
                </c:pt>
                <c:pt idx="4">
                  <c:v>Kunice </c:v>
                </c:pt>
                <c:pt idx="5">
                  <c:v>Legnickie Pole </c:v>
                </c:pt>
                <c:pt idx="6">
                  <c:v>Miłkowice </c:v>
                </c:pt>
                <c:pt idx="7">
                  <c:v>Prochowice </c:v>
                </c:pt>
                <c:pt idx="8">
                  <c:v>Ruja </c:v>
                </c:pt>
                <c:pt idx="9">
                  <c:v>Legnica </c:v>
                </c:pt>
              </c:strCache>
            </c:strRef>
          </c:cat>
          <c:val>
            <c:numRef>
              <c:f>'Powiat legnicki'!$N$4:$N$13</c:f>
              <c:numCache>
                <c:formatCode>General</c:formatCode>
                <c:ptCount val="10"/>
                <c:pt idx="0">
                  <c:v>151</c:v>
                </c:pt>
                <c:pt idx="1">
                  <c:v>-60</c:v>
                </c:pt>
                <c:pt idx="2">
                  <c:v>21</c:v>
                </c:pt>
                <c:pt idx="3">
                  <c:v>-7</c:v>
                </c:pt>
                <c:pt idx="4">
                  <c:v>116</c:v>
                </c:pt>
                <c:pt idx="5">
                  <c:v>10</c:v>
                </c:pt>
                <c:pt idx="6">
                  <c:v>62</c:v>
                </c:pt>
                <c:pt idx="7">
                  <c:v>-6</c:v>
                </c:pt>
                <c:pt idx="8">
                  <c:v>15</c:v>
                </c:pt>
                <c:pt idx="9">
                  <c:v>-239</c:v>
                </c:pt>
              </c:numCache>
            </c:numRef>
          </c:val>
        </c:ser>
        <c:ser>
          <c:idx val="1"/>
          <c:order val="1"/>
          <c:tx>
            <c:strRef>
              <c:f>'Powiat legnicki'!$O$3</c:f>
              <c:strCache>
                <c:ptCount val="1"/>
                <c:pt idx="0">
                  <c:v>2010</c:v>
                </c:pt>
              </c:strCache>
            </c:strRef>
          </c:tx>
          <c:invertIfNegative val="0"/>
          <c:cat>
            <c:strRef>
              <c:f>'Powiat legnicki'!$M$4:$M$13</c:f>
              <c:strCache>
                <c:ptCount val="10"/>
                <c:pt idx="0">
                  <c:v>Powiat legnicki</c:v>
                </c:pt>
                <c:pt idx="1">
                  <c:v>Chojnów - miasto</c:v>
                </c:pt>
                <c:pt idx="2">
                  <c:v>Chojnów - gmina</c:v>
                </c:pt>
                <c:pt idx="3">
                  <c:v>Krotoszyce </c:v>
                </c:pt>
                <c:pt idx="4">
                  <c:v>Kunice </c:v>
                </c:pt>
                <c:pt idx="5">
                  <c:v>Legnickie Pole </c:v>
                </c:pt>
                <c:pt idx="6">
                  <c:v>Miłkowice </c:v>
                </c:pt>
                <c:pt idx="7">
                  <c:v>Prochowice </c:v>
                </c:pt>
                <c:pt idx="8">
                  <c:v>Ruja </c:v>
                </c:pt>
                <c:pt idx="9">
                  <c:v>Legnica </c:v>
                </c:pt>
              </c:strCache>
            </c:strRef>
          </c:cat>
          <c:val>
            <c:numRef>
              <c:f>'Powiat legnicki'!$O$4:$O$13</c:f>
              <c:numCache>
                <c:formatCode>General</c:formatCode>
                <c:ptCount val="10"/>
                <c:pt idx="0">
                  <c:v>202</c:v>
                </c:pt>
                <c:pt idx="1">
                  <c:v>-47</c:v>
                </c:pt>
                <c:pt idx="2">
                  <c:v>-3</c:v>
                </c:pt>
                <c:pt idx="3">
                  <c:v>24</c:v>
                </c:pt>
                <c:pt idx="4">
                  <c:v>80</c:v>
                </c:pt>
                <c:pt idx="5">
                  <c:v>69</c:v>
                </c:pt>
                <c:pt idx="6">
                  <c:v>31</c:v>
                </c:pt>
                <c:pt idx="7">
                  <c:v>38</c:v>
                </c:pt>
                <c:pt idx="8">
                  <c:v>10</c:v>
                </c:pt>
                <c:pt idx="9">
                  <c:v>-271</c:v>
                </c:pt>
              </c:numCache>
            </c:numRef>
          </c:val>
        </c:ser>
        <c:ser>
          <c:idx val="2"/>
          <c:order val="2"/>
          <c:tx>
            <c:strRef>
              <c:f>'Powiat legnicki'!$P$3</c:f>
              <c:strCache>
                <c:ptCount val="1"/>
                <c:pt idx="0">
                  <c:v>2011</c:v>
                </c:pt>
              </c:strCache>
            </c:strRef>
          </c:tx>
          <c:invertIfNegative val="0"/>
          <c:cat>
            <c:strRef>
              <c:f>'Powiat legnicki'!$M$4:$M$13</c:f>
              <c:strCache>
                <c:ptCount val="10"/>
                <c:pt idx="0">
                  <c:v>Powiat legnicki</c:v>
                </c:pt>
                <c:pt idx="1">
                  <c:v>Chojnów - miasto</c:v>
                </c:pt>
                <c:pt idx="2">
                  <c:v>Chojnów - gmina</c:v>
                </c:pt>
                <c:pt idx="3">
                  <c:v>Krotoszyce </c:v>
                </c:pt>
                <c:pt idx="4">
                  <c:v>Kunice </c:v>
                </c:pt>
                <c:pt idx="5">
                  <c:v>Legnickie Pole </c:v>
                </c:pt>
                <c:pt idx="6">
                  <c:v>Miłkowice </c:v>
                </c:pt>
                <c:pt idx="7">
                  <c:v>Prochowice </c:v>
                </c:pt>
                <c:pt idx="8">
                  <c:v>Ruja </c:v>
                </c:pt>
                <c:pt idx="9">
                  <c:v>Legnica </c:v>
                </c:pt>
              </c:strCache>
            </c:strRef>
          </c:cat>
          <c:val>
            <c:numRef>
              <c:f>'Powiat legnicki'!$P$4:$P$13</c:f>
              <c:numCache>
                <c:formatCode>General</c:formatCode>
                <c:ptCount val="10"/>
                <c:pt idx="0">
                  <c:v>211</c:v>
                </c:pt>
                <c:pt idx="1">
                  <c:v>-46</c:v>
                </c:pt>
                <c:pt idx="2">
                  <c:v>18</c:v>
                </c:pt>
                <c:pt idx="3">
                  <c:v>8</c:v>
                </c:pt>
                <c:pt idx="4">
                  <c:v>169</c:v>
                </c:pt>
                <c:pt idx="5">
                  <c:v>32</c:v>
                </c:pt>
                <c:pt idx="6">
                  <c:v>32</c:v>
                </c:pt>
                <c:pt idx="7">
                  <c:v>-13</c:v>
                </c:pt>
                <c:pt idx="8">
                  <c:v>11</c:v>
                </c:pt>
                <c:pt idx="9">
                  <c:v>-294</c:v>
                </c:pt>
              </c:numCache>
            </c:numRef>
          </c:val>
        </c:ser>
        <c:ser>
          <c:idx val="3"/>
          <c:order val="3"/>
          <c:tx>
            <c:strRef>
              <c:f>'Powiat legnicki'!$Q$3</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 legnicki'!$M$4:$M$13</c:f>
              <c:strCache>
                <c:ptCount val="10"/>
                <c:pt idx="0">
                  <c:v>Powiat legnicki</c:v>
                </c:pt>
                <c:pt idx="1">
                  <c:v>Chojnów - miasto</c:v>
                </c:pt>
                <c:pt idx="2">
                  <c:v>Chojnów - gmina</c:v>
                </c:pt>
                <c:pt idx="3">
                  <c:v>Krotoszyce </c:v>
                </c:pt>
                <c:pt idx="4">
                  <c:v>Kunice </c:v>
                </c:pt>
                <c:pt idx="5">
                  <c:v>Legnickie Pole </c:v>
                </c:pt>
                <c:pt idx="6">
                  <c:v>Miłkowice </c:v>
                </c:pt>
                <c:pt idx="7">
                  <c:v>Prochowice </c:v>
                </c:pt>
                <c:pt idx="8">
                  <c:v>Ruja </c:v>
                </c:pt>
                <c:pt idx="9">
                  <c:v>Legnica </c:v>
                </c:pt>
              </c:strCache>
            </c:strRef>
          </c:cat>
          <c:val>
            <c:numRef>
              <c:f>'Powiat legnicki'!$Q$4:$Q$13</c:f>
              <c:numCache>
                <c:formatCode>General</c:formatCode>
                <c:ptCount val="10"/>
                <c:pt idx="0">
                  <c:v>209</c:v>
                </c:pt>
                <c:pt idx="1">
                  <c:v>-87</c:v>
                </c:pt>
                <c:pt idx="2">
                  <c:v>25</c:v>
                </c:pt>
                <c:pt idx="3">
                  <c:v>34</c:v>
                </c:pt>
                <c:pt idx="4">
                  <c:v>137</c:v>
                </c:pt>
                <c:pt idx="5">
                  <c:v>29</c:v>
                </c:pt>
                <c:pt idx="6">
                  <c:v>37</c:v>
                </c:pt>
                <c:pt idx="7">
                  <c:v>20</c:v>
                </c:pt>
                <c:pt idx="8">
                  <c:v>14</c:v>
                </c:pt>
                <c:pt idx="9">
                  <c:v>-293</c:v>
                </c:pt>
              </c:numCache>
            </c:numRef>
          </c:val>
        </c:ser>
        <c:dLbls>
          <c:showLegendKey val="0"/>
          <c:showVal val="0"/>
          <c:showCatName val="0"/>
          <c:showSerName val="0"/>
          <c:showPercent val="0"/>
          <c:showBubbleSize val="0"/>
        </c:dLbls>
        <c:gapWidth val="150"/>
        <c:axId val="245046656"/>
        <c:axId val="245396608"/>
      </c:barChart>
      <c:catAx>
        <c:axId val="245046656"/>
        <c:scaling>
          <c:orientation val="minMax"/>
        </c:scaling>
        <c:delete val="0"/>
        <c:axPos val="b"/>
        <c:majorGridlines/>
        <c:numFmt formatCode="General" sourceLinked="0"/>
        <c:majorTickMark val="out"/>
        <c:minorTickMark val="none"/>
        <c:tickLblPos val="low"/>
        <c:spPr>
          <a:ln/>
        </c:spPr>
        <c:txPr>
          <a:bodyPr rot="-5400000" vert="horz" anchor="t" anchorCtr="0"/>
          <a:lstStyle/>
          <a:p>
            <a:pPr>
              <a:defRPr/>
            </a:pPr>
            <a:endParaRPr lang="pl-PL"/>
          </a:p>
        </c:txPr>
        <c:crossAx val="245396608"/>
        <c:crosses val="autoZero"/>
        <c:auto val="1"/>
        <c:lblAlgn val="ctr"/>
        <c:lblOffset val="100"/>
        <c:noMultiLvlLbl val="0"/>
      </c:catAx>
      <c:valAx>
        <c:axId val="245396608"/>
        <c:scaling>
          <c:orientation val="minMax"/>
        </c:scaling>
        <c:delete val="0"/>
        <c:axPos val="l"/>
        <c:numFmt formatCode="General" sourceLinked="1"/>
        <c:majorTickMark val="out"/>
        <c:minorTickMark val="none"/>
        <c:tickLblPos val="nextTo"/>
        <c:crossAx val="245046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DATA!$V$81</c:f>
              <c:strCache>
                <c:ptCount val="1"/>
                <c:pt idx="0">
                  <c:v>długość czynnej sieci gazowej</c:v>
                </c:pt>
              </c:strCache>
            </c:strRef>
          </c:tx>
          <c:spPr>
            <a:ln>
              <a:solidFill>
                <a:schemeClr val="accent2">
                  <a:lumMod val="75000"/>
                </a:schemeClr>
              </a:solidFill>
            </a:ln>
          </c:spPr>
          <c:marker>
            <c:symbol val="diamond"/>
            <c:size val="7"/>
            <c:spPr>
              <a:solidFill>
                <a:schemeClr val="accent2">
                  <a:lumMod val="75000"/>
                </a:schemeClr>
              </a:solidFill>
              <a:ln>
                <a:solidFill>
                  <a:srgbClr val="C0504D">
                    <a:lumMod val="75000"/>
                  </a:srgb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DATA!$AD$80:$AJ$80</c:f>
              <c:strCache>
                <c:ptCount val="7"/>
                <c:pt idx="0">
                  <c:v>2006</c:v>
                </c:pt>
                <c:pt idx="1">
                  <c:v>2007</c:v>
                </c:pt>
                <c:pt idx="2">
                  <c:v>2008</c:v>
                </c:pt>
                <c:pt idx="3">
                  <c:v>2009</c:v>
                </c:pt>
                <c:pt idx="4">
                  <c:v>2010</c:v>
                </c:pt>
                <c:pt idx="5">
                  <c:v>2011</c:v>
                </c:pt>
                <c:pt idx="6">
                  <c:v>2012</c:v>
                </c:pt>
              </c:strCache>
            </c:strRef>
          </c:cat>
          <c:val>
            <c:numRef>
              <c:f>DATA!$AD$81:$AJ$81</c:f>
              <c:numCache>
                <c:formatCode>0.0</c:formatCode>
                <c:ptCount val="7"/>
                <c:pt idx="0">
                  <c:v>179.072</c:v>
                </c:pt>
                <c:pt idx="1">
                  <c:v>192.18700000000001</c:v>
                </c:pt>
                <c:pt idx="2">
                  <c:v>192.75800000000001</c:v>
                </c:pt>
                <c:pt idx="3">
                  <c:v>196.20099999999999</c:v>
                </c:pt>
                <c:pt idx="4">
                  <c:v>190.91399999999999</c:v>
                </c:pt>
                <c:pt idx="5">
                  <c:v>194.15700000000001</c:v>
                </c:pt>
                <c:pt idx="6">
                  <c:v>195.85400000000001</c:v>
                </c:pt>
              </c:numCache>
            </c:numRef>
          </c:val>
          <c:smooth val="0"/>
        </c:ser>
        <c:ser>
          <c:idx val="1"/>
          <c:order val="1"/>
          <c:tx>
            <c:strRef>
              <c:f>DATA!$V$82</c:f>
              <c:strCache>
                <c:ptCount val="1"/>
                <c:pt idx="0">
                  <c:v>długość czynnej sieci wodociągowej</c:v>
                </c:pt>
              </c:strCache>
            </c:strRef>
          </c:tx>
          <c:spPr>
            <a:ln>
              <a:solidFill>
                <a:schemeClr val="accent1">
                  <a:lumMod val="75000"/>
                </a:schemeClr>
              </a:solidFill>
            </a:ln>
          </c:spPr>
          <c:marker>
            <c:spPr>
              <a:solidFill>
                <a:schemeClr val="accent1">
                  <a:lumMod val="75000"/>
                </a:schemeClr>
              </a:solidFill>
              <a:ln>
                <a:solidFill>
                  <a:srgbClr val="4F81BD">
                    <a:lumMod val="75000"/>
                  </a:srgbClr>
                </a:solidFill>
              </a:ln>
            </c:spPr>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DATA!$AD$80:$AJ$80</c:f>
              <c:strCache>
                <c:ptCount val="7"/>
                <c:pt idx="0">
                  <c:v>2006</c:v>
                </c:pt>
                <c:pt idx="1">
                  <c:v>2007</c:v>
                </c:pt>
                <c:pt idx="2">
                  <c:v>2008</c:v>
                </c:pt>
                <c:pt idx="3">
                  <c:v>2009</c:v>
                </c:pt>
                <c:pt idx="4">
                  <c:v>2010</c:v>
                </c:pt>
                <c:pt idx="5">
                  <c:v>2011</c:v>
                </c:pt>
                <c:pt idx="6">
                  <c:v>2012</c:v>
                </c:pt>
              </c:strCache>
            </c:strRef>
          </c:cat>
          <c:val>
            <c:numRef>
              <c:f>DATA!$AD$82:$AJ$82</c:f>
              <c:numCache>
                <c:formatCode>0.0</c:formatCode>
                <c:ptCount val="7"/>
                <c:pt idx="0">
                  <c:v>181.7</c:v>
                </c:pt>
                <c:pt idx="1">
                  <c:v>183.2</c:v>
                </c:pt>
                <c:pt idx="2">
                  <c:v>184.4</c:v>
                </c:pt>
                <c:pt idx="3">
                  <c:v>187.2</c:v>
                </c:pt>
                <c:pt idx="4">
                  <c:v>187.2</c:v>
                </c:pt>
                <c:pt idx="5">
                  <c:v>189.2</c:v>
                </c:pt>
                <c:pt idx="6">
                  <c:v>190.1</c:v>
                </c:pt>
              </c:numCache>
            </c:numRef>
          </c:val>
          <c:smooth val="0"/>
        </c:ser>
        <c:ser>
          <c:idx val="2"/>
          <c:order val="2"/>
          <c:tx>
            <c:strRef>
              <c:f>DATA!$V$83</c:f>
              <c:strCache>
                <c:ptCount val="1"/>
                <c:pt idx="0">
                  <c:v>długość czynnej sieci kanalizacyjnej</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DATA!$AD$80:$AJ$80</c:f>
              <c:strCache>
                <c:ptCount val="7"/>
                <c:pt idx="0">
                  <c:v>2006</c:v>
                </c:pt>
                <c:pt idx="1">
                  <c:v>2007</c:v>
                </c:pt>
                <c:pt idx="2">
                  <c:v>2008</c:v>
                </c:pt>
                <c:pt idx="3">
                  <c:v>2009</c:v>
                </c:pt>
                <c:pt idx="4">
                  <c:v>2010</c:v>
                </c:pt>
                <c:pt idx="5">
                  <c:v>2011</c:v>
                </c:pt>
                <c:pt idx="6">
                  <c:v>2012</c:v>
                </c:pt>
              </c:strCache>
            </c:strRef>
          </c:cat>
          <c:val>
            <c:numRef>
              <c:f>DATA!$AD$83:$AJ$83</c:f>
              <c:numCache>
                <c:formatCode>0.0</c:formatCode>
                <c:ptCount val="7"/>
                <c:pt idx="0">
                  <c:v>189.8</c:v>
                </c:pt>
                <c:pt idx="1">
                  <c:v>191.6</c:v>
                </c:pt>
                <c:pt idx="2">
                  <c:v>193.1</c:v>
                </c:pt>
                <c:pt idx="3">
                  <c:v>194.4</c:v>
                </c:pt>
                <c:pt idx="4">
                  <c:v>194.4</c:v>
                </c:pt>
                <c:pt idx="5">
                  <c:v>194.4</c:v>
                </c:pt>
                <c:pt idx="6">
                  <c:v>196.1</c:v>
                </c:pt>
              </c:numCache>
            </c:numRef>
          </c:val>
          <c:smooth val="0"/>
        </c:ser>
        <c:dLbls>
          <c:showLegendKey val="0"/>
          <c:showVal val="0"/>
          <c:showCatName val="0"/>
          <c:showSerName val="0"/>
          <c:showPercent val="0"/>
          <c:showBubbleSize val="0"/>
        </c:dLbls>
        <c:marker val="1"/>
        <c:smooth val="0"/>
        <c:axId val="156356608"/>
        <c:axId val="156358144"/>
      </c:lineChart>
      <c:catAx>
        <c:axId val="156356608"/>
        <c:scaling>
          <c:orientation val="minMax"/>
        </c:scaling>
        <c:delete val="0"/>
        <c:axPos val="b"/>
        <c:numFmt formatCode="General" sourceLinked="0"/>
        <c:majorTickMark val="out"/>
        <c:minorTickMark val="none"/>
        <c:tickLblPos val="nextTo"/>
        <c:crossAx val="156358144"/>
        <c:crosses val="autoZero"/>
        <c:auto val="1"/>
        <c:lblAlgn val="ctr"/>
        <c:lblOffset val="100"/>
        <c:noMultiLvlLbl val="0"/>
      </c:catAx>
      <c:valAx>
        <c:axId val="156358144"/>
        <c:scaling>
          <c:orientation val="minMax"/>
        </c:scaling>
        <c:delete val="0"/>
        <c:axPos val="l"/>
        <c:majorGridlines/>
        <c:numFmt formatCode="0.0" sourceLinked="1"/>
        <c:majorTickMark val="out"/>
        <c:minorTickMark val="none"/>
        <c:tickLblPos val="nextTo"/>
        <c:crossAx val="15635660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manualLayout>
          <c:layoutTarget val="inner"/>
          <c:xMode val="edge"/>
          <c:yMode val="edge"/>
          <c:x val="5.9268662845717274E-2"/>
          <c:y val="3.1700288184438041E-2"/>
          <c:w val="0.90413841127001982"/>
          <c:h val="0.80529170164969477"/>
        </c:manualLayout>
      </c:layout>
      <c:barChart>
        <c:barDir val="bar"/>
        <c:grouping val="stacked"/>
        <c:varyColors val="0"/>
        <c:ser>
          <c:idx val="0"/>
          <c:order val="0"/>
          <c:tx>
            <c:strRef>
              <c:f>[1]DATA!$C$4</c:f>
              <c:strCache>
                <c:ptCount val="1"/>
                <c:pt idx="0">
                  <c:v>mężczyźni</c:v>
                </c:pt>
              </c:strCache>
            </c:strRef>
          </c:tx>
          <c:invertIfNegative val="0"/>
          <c:dLbls>
            <c:dLbl>
              <c:idx val="17"/>
              <c:layout>
                <c:manualLayout>
                  <c:x val="1.2396694214875957E-2"/>
                  <c:y val="0"/>
                </c:manualLayout>
              </c:layout>
              <c:dLblPos val="inEnd"/>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[1]DATA!$A$5:$B$22</c:f>
              <c:multiLvlStrCache>
                <c:ptCount val="18"/>
                <c:lvl/>
                <c:lvl>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lvl>
              </c:multiLvlStrCache>
            </c:multiLvlStrRef>
          </c:cat>
          <c:val>
            <c:numRef>
              <c:f>[1]DATA!$C$5:$C$22</c:f>
              <c:numCache>
                <c:formatCode>General</c:formatCode>
                <c:ptCount val="18"/>
                <c:pt idx="0">
                  <c:v>2562</c:v>
                </c:pt>
                <c:pt idx="1">
                  <c:v>2280</c:v>
                </c:pt>
                <c:pt idx="2">
                  <c:v>2328</c:v>
                </c:pt>
                <c:pt idx="3">
                  <c:v>2856</c:v>
                </c:pt>
                <c:pt idx="4">
                  <c:v>3335</c:v>
                </c:pt>
                <c:pt idx="5">
                  <c:v>4187</c:v>
                </c:pt>
                <c:pt idx="6">
                  <c:v>4242</c:v>
                </c:pt>
                <c:pt idx="7">
                  <c:v>3943</c:v>
                </c:pt>
                <c:pt idx="8">
                  <c:v>3207</c:v>
                </c:pt>
                <c:pt idx="9">
                  <c:v>2868</c:v>
                </c:pt>
                <c:pt idx="10">
                  <c:v>3547</c:v>
                </c:pt>
                <c:pt idx="11">
                  <c:v>4153</c:v>
                </c:pt>
                <c:pt idx="12">
                  <c:v>3718</c:v>
                </c:pt>
                <c:pt idx="13">
                  <c:v>1912</c:v>
                </c:pt>
                <c:pt idx="14">
                  <c:v>1322</c:v>
                </c:pt>
                <c:pt idx="15">
                  <c:v>1059</c:v>
                </c:pt>
                <c:pt idx="16">
                  <c:v>639</c:v>
                </c:pt>
                <c:pt idx="17">
                  <c:v>395</c:v>
                </c:pt>
              </c:numCache>
            </c:numRef>
          </c:val>
        </c:ser>
        <c:ser>
          <c:idx val="1"/>
          <c:order val="1"/>
          <c:tx>
            <c:strRef>
              <c:f>[1]DATA!$D$4</c:f>
              <c:strCache>
                <c:ptCount val="1"/>
                <c:pt idx="0">
                  <c:v>kobiety</c:v>
                </c:pt>
              </c:strCache>
            </c:strRef>
          </c:tx>
          <c:invertIfNegative val="0"/>
          <c:dLbls>
            <c:dLbl>
              <c:idx val="0"/>
              <c:layout/>
              <c:tx>
                <c:rich>
                  <a:bodyPr/>
                  <a:lstStyle/>
                  <a:p>
                    <a:r>
                      <a:rPr lang="en-US">
                        <a:solidFill>
                          <a:schemeClr val="tx1"/>
                        </a:solidFill>
                      </a:rPr>
                      <a:t>2 384</a:t>
                    </a:r>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solidFill>
                          <a:schemeClr val="tx1"/>
                        </a:solidFill>
                      </a:rPr>
                      <a:t>2 172</a:t>
                    </a:r>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solidFill>
                          <a:schemeClr val="tx1"/>
                        </a:solidFill>
                      </a:rPr>
                      <a:t>2 062</a:t>
                    </a:r>
                  </a:p>
                </c:rich>
              </c:tx>
              <c:dLblPos val="inBase"/>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solidFill>
                          <a:schemeClr val="tx1"/>
                        </a:solidFill>
                      </a:rPr>
                      <a:t>2 670</a:t>
                    </a:r>
                  </a:p>
                </c:rich>
              </c:tx>
              <c:dLblPos val="inBase"/>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solidFill>
                          <a:schemeClr val="tx1"/>
                        </a:solidFill>
                      </a:rPr>
                      <a:t>3 273</a:t>
                    </a:r>
                  </a:p>
                </c:rich>
              </c:tx>
              <c:dLblPos val="inBase"/>
              <c:showLegendKey val="0"/>
              <c:showVal val="1"/>
              <c:showCatName val="0"/>
              <c:showSerName val="0"/>
              <c:showPercent val="0"/>
              <c:showBubbleSize val="0"/>
              <c:extLst>
                <c:ext xmlns:c15="http://schemas.microsoft.com/office/drawing/2012/chart" uri="{CE6537A1-D6FC-4f65-9D91-7224C49458BB}"/>
              </c:extLst>
            </c:dLbl>
            <c:dLbl>
              <c:idx val="5"/>
              <c:layout/>
              <c:tx>
                <c:rich>
                  <a:bodyPr/>
                  <a:lstStyle/>
                  <a:p>
                    <a:r>
                      <a:rPr lang="en-US">
                        <a:solidFill>
                          <a:schemeClr val="tx1"/>
                        </a:solidFill>
                      </a:rPr>
                      <a:t>4 050</a:t>
                    </a:r>
                  </a:p>
                </c:rich>
              </c:tx>
              <c:dLblPos val="inBase"/>
              <c:showLegendKey val="0"/>
              <c:showVal val="1"/>
              <c:showCatName val="0"/>
              <c:showSerName val="0"/>
              <c:showPercent val="0"/>
              <c:showBubbleSize val="0"/>
              <c:extLst>
                <c:ext xmlns:c15="http://schemas.microsoft.com/office/drawing/2012/chart" uri="{CE6537A1-D6FC-4f65-9D91-7224C49458BB}"/>
              </c:extLst>
            </c:dLbl>
            <c:dLbl>
              <c:idx val="6"/>
              <c:layout/>
              <c:tx>
                <c:rich>
                  <a:bodyPr/>
                  <a:lstStyle/>
                  <a:p>
                    <a:r>
                      <a:rPr lang="en-US">
                        <a:solidFill>
                          <a:schemeClr val="tx1"/>
                        </a:solidFill>
                      </a:rPr>
                      <a:t>4 340</a:t>
                    </a:r>
                  </a:p>
                </c:rich>
              </c:tx>
              <c:dLblPos val="inBase"/>
              <c:showLegendKey val="0"/>
              <c:showVal val="1"/>
              <c:showCatName val="0"/>
              <c:showSerName val="0"/>
              <c:showPercent val="0"/>
              <c:showBubbleSize val="0"/>
              <c:extLst>
                <c:ext xmlns:c15="http://schemas.microsoft.com/office/drawing/2012/chart" uri="{CE6537A1-D6FC-4f65-9D91-7224C49458BB}"/>
              </c:extLst>
            </c:dLbl>
            <c:dLbl>
              <c:idx val="7"/>
              <c:layout/>
              <c:tx>
                <c:rich>
                  <a:bodyPr/>
                  <a:lstStyle/>
                  <a:p>
                    <a:r>
                      <a:rPr lang="en-US">
                        <a:solidFill>
                          <a:schemeClr val="tx1"/>
                        </a:solidFill>
                      </a:rPr>
                      <a:t>3 839</a:t>
                    </a:r>
                  </a:p>
                </c:rich>
              </c:tx>
              <c:dLblPos val="inBase"/>
              <c:showLegendKey val="0"/>
              <c:showVal val="1"/>
              <c:showCatName val="0"/>
              <c:showSerName val="0"/>
              <c:showPercent val="0"/>
              <c:showBubbleSize val="0"/>
              <c:extLst>
                <c:ext xmlns:c15="http://schemas.microsoft.com/office/drawing/2012/chart" uri="{CE6537A1-D6FC-4f65-9D91-7224C49458BB}"/>
              </c:extLst>
            </c:dLbl>
            <c:dLbl>
              <c:idx val="8"/>
              <c:layout/>
              <c:tx>
                <c:rich>
                  <a:bodyPr/>
                  <a:lstStyle/>
                  <a:p>
                    <a:r>
                      <a:rPr lang="en-US">
                        <a:solidFill>
                          <a:schemeClr val="tx1"/>
                        </a:solidFill>
                      </a:rPr>
                      <a:t>3 321</a:t>
                    </a:r>
                  </a:p>
                </c:rich>
              </c:tx>
              <c:dLblPos val="inBase"/>
              <c:showLegendKey val="0"/>
              <c:showVal val="1"/>
              <c:showCatName val="0"/>
              <c:showSerName val="0"/>
              <c:showPercent val="0"/>
              <c:showBubbleSize val="0"/>
              <c:extLst>
                <c:ext xmlns:c15="http://schemas.microsoft.com/office/drawing/2012/chart" uri="{CE6537A1-D6FC-4f65-9D91-7224C49458BB}"/>
              </c:extLst>
            </c:dLbl>
            <c:dLbl>
              <c:idx val="9"/>
              <c:layout/>
              <c:tx>
                <c:rich>
                  <a:bodyPr/>
                  <a:lstStyle/>
                  <a:p>
                    <a:r>
                      <a:rPr lang="en-US">
                        <a:solidFill>
                          <a:schemeClr val="tx1"/>
                        </a:solidFill>
                      </a:rPr>
                      <a:t>3 016</a:t>
                    </a:r>
                  </a:p>
                </c:rich>
              </c:tx>
              <c:dLblPos val="inBase"/>
              <c:showLegendKey val="0"/>
              <c:showVal val="1"/>
              <c:showCatName val="0"/>
              <c:showSerName val="0"/>
              <c:showPercent val="0"/>
              <c:showBubbleSize val="0"/>
              <c:extLst>
                <c:ext xmlns:c15="http://schemas.microsoft.com/office/drawing/2012/chart" uri="{CE6537A1-D6FC-4f65-9D91-7224C49458BB}"/>
              </c:extLst>
            </c:dLbl>
            <c:dLbl>
              <c:idx val="10"/>
              <c:layout/>
              <c:tx>
                <c:rich>
                  <a:bodyPr/>
                  <a:lstStyle/>
                  <a:p>
                    <a:r>
                      <a:rPr lang="en-US">
                        <a:solidFill>
                          <a:schemeClr val="tx1"/>
                        </a:solidFill>
                      </a:rPr>
                      <a:t>4 030</a:t>
                    </a:r>
                  </a:p>
                </c:rich>
              </c:tx>
              <c:dLblPos val="inBase"/>
              <c:showLegendKey val="0"/>
              <c:showVal val="1"/>
              <c:showCatName val="0"/>
              <c:showSerName val="0"/>
              <c:showPercent val="0"/>
              <c:showBubbleSize val="0"/>
              <c:extLst>
                <c:ext xmlns:c15="http://schemas.microsoft.com/office/drawing/2012/chart" uri="{CE6537A1-D6FC-4f65-9D91-7224C49458BB}"/>
              </c:extLst>
            </c:dLbl>
            <c:dLbl>
              <c:idx val="11"/>
              <c:layout/>
              <c:tx>
                <c:rich>
                  <a:bodyPr/>
                  <a:lstStyle/>
                  <a:p>
                    <a:r>
                      <a:rPr lang="en-US">
                        <a:solidFill>
                          <a:schemeClr val="tx1"/>
                        </a:solidFill>
                      </a:rPr>
                      <a:t>4 802</a:t>
                    </a:r>
                  </a:p>
                </c:rich>
              </c:tx>
              <c:dLblPos val="inBase"/>
              <c:showLegendKey val="0"/>
              <c:showVal val="1"/>
              <c:showCatName val="0"/>
              <c:showSerName val="0"/>
              <c:showPercent val="0"/>
              <c:showBubbleSize val="0"/>
              <c:extLst>
                <c:ext xmlns:c15="http://schemas.microsoft.com/office/drawing/2012/chart" uri="{CE6537A1-D6FC-4f65-9D91-7224C49458BB}"/>
              </c:extLst>
            </c:dLbl>
            <c:dLbl>
              <c:idx val="12"/>
              <c:layout/>
              <c:tx>
                <c:rich>
                  <a:bodyPr/>
                  <a:lstStyle/>
                  <a:p>
                    <a:r>
                      <a:rPr lang="en-US">
                        <a:solidFill>
                          <a:schemeClr val="tx1"/>
                        </a:solidFill>
                      </a:rPr>
                      <a:t>4 668</a:t>
                    </a:r>
                  </a:p>
                </c:rich>
              </c:tx>
              <c:dLblPos val="inBase"/>
              <c:showLegendKey val="0"/>
              <c:showVal val="1"/>
              <c:showCatName val="0"/>
              <c:showSerName val="0"/>
              <c:showPercent val="0"/>
              <c:showBubbleSize val="0"/>
              <c:extLst>
                <c:ext xmlns:c15="http://schemas.microsoft.com/office/drawing/2012/chart" uri="{CE6537A1-D6FC-4f65-9D91-7224C49458BB}"/>
              </c:extLst>
            </c:dLbl>
            <c:dLbl>
              <c:idx val="13"/>
              <c:layout/>
              <c:tx>
                <c:rich>
                  <a:bodyPr/>
                  <a:lstStyle/>
                  <a:p>
                    <a:r>
                      <a:rPr lang="en-US">
                        <a:solidFill>
                          <a:schemeClr val="tx1"/>
                        </a:solidFill>
                      </a:rPr>
                      <a:t>2 494</a:t>
                    </a:r>
                  </a:p>
                </c:rich>
              </c:tx>
              <c:dLblPos val="inBase"/>
              <c:showLegendKey val="0"/>
              <c:showVal val="1"/>
              <c:showCatName val="0"/>
              <c:showSerName val="0"/>
              <c:showPercent val="0"/>
              <c:showBubbleSize val="0"/>
              <c:extLst>
                <c:ext xmlns:c15="http://schemas.microsoft.com/office/drawing/2012/chart" uri="{CE6537A1-D6FC-4f65-9D91-7224C49458BB}"/>
              </c:extLst>
            </c:dLbl>
            <c:dLbl>
              <c:idx val="14"/>
              <c:layout/>
              <c:tx>
                <c:rich>
                  <a:bodyPr/>
                  <a:lstStyle/>
                  <a:p>
                    <a:r>
                      <a:rPr lang="en-US">
                        <a:solidFill>
                          <a:schemeClr val="tx1"/>
                        </a:solidFill>
                      </a:rPr>
                      <a:t>2 133</a:t>
                    </a:r>
                  </a:p>
                </c:rich>
              </c:tx>
              <c:dLblPos val="inBase"/>
              <c:showLegendKey val="0"/>
              <c:showVal val="1"/>
              <c:showCatName val="0"/>
              <c:showSerName val="0"/>
              <c:showPercent val="0"/>
              <c:showBubbleSize val="0"/>
              <c:extLst>
                <c:ext xmlns:c15="http://schemas.microsoft.com/office/drawing/2012/chart" uri="{CE6537A1-D6FC-4f65-9D91-7224C49458BB}"/>
              </c:extLst>
            </c:dLbl>
            <c:dLbl>
              <c:idx val="15"/>
              <c:layout/>
              <c:tx>
                <c:rich>
                  <a:bodyPr/>
                  <a:lstStyle/>
                  <a:p>
                    <a:r>
                      <a:rPr lang="en-US">
                        <a:solidFill>
                          <a:schemeClr val="tx1"/>
                        </a:solidFill>
                      </a:rPr>
                      <a:t>1 976</a:t>
                    </a:r>
                  </a:p>
                </c:rich>
              </c:tx>
              <c:dLblPos val="inBase"/>
              <c:showLegendKey val="0"/>
              <c:showVal val="1"/>
              <c:showCatName val="0"/>
              <c:showSerName val="0"/>
              <c:showPercent val="0"/>
              <c:showBubbleSize val="0"/>
              <c:extLst>
                <c:ext xmlns:c15="http://schemas.microsoft.com/office/drawing/2012/chart" uri="{CE6537A1-D6FC-4f65-9D91-7224C49458BB}"/>
              </c:extLst>
            </c:dLbl>
            <c:dLbl>
              <c:idx val="16"/>
              <c:layout/>
              <c:tx>
                <c:rich>
                  <a:bodyPr/>
                  <a:lstStyle/>
                  <a:p>
                    <a:r>
                      <a:rPr lang="en-US">
                        <a:solidFill>
                          <a:schemeClr val="tx1"/>
                        </a:solidFill>
                      </a:rPr>
                      <a:t>1 536</a:t>
                    </a:r>
                  </a:p>
                </c:rich>
              </c:tx>
              <c:dLblPos val="inBase"/>
              <c:showLegendKey val="0"/>
              <c:showVal val="1"/>
              <c:showCatName val="0"/>
              <c:showSerName val="0"/>
              <c:showPercent val="0"/>
              <c:showBubbleSize val="0"/>
              <c:extLst>
                <c:ext xmlns:c15="http://schemas.microsoft.com/office/drawing/2012/chart" uri="{CE6537A1-D6FC-4f65-9D91-7224C49458BB}"/>
              </c:extLst>
            </c:dLbl>
            <c:dLbl>
              <c:idx val="17"/>
              <c:layout>
                <c:manualLayout>
                  <c:x val="-4.411764705882529E-3"/>
                  <c:y val="-1.945525291828819E-3"/>
                </c:manualLayout>
              </c:layout>
              <c:tx>
                <c:rich>
                  <a:bodyPr/>
                  <a:lstStyle/>
                  <a:p>
                    <a:r>
                      <a:rPr lang="en-US">
                        <a:solidFill>
                          <a:schemeClr val="tx1"/>
                        </a:solidFill>
                      </a:rPr>
                      <a:t>1 103</a:t>
                    </a:r>
                  </a:p>
                </c:rich>
              </c:tx>
              <c:dLblPos val="inBase"/>
              <c:showLegendKey val="0"/>
              <c:showVal val="1"/>
              <c:showCatName val="0"/>
              <c:showSerName val="0"/>
              <c:showPercent val="0"/>
              <c:showBubbleSize val="0"/>
              <c:extLst>
                <c:ext xmlns:c15="http://schemas.microsoft.com/office/drawing/2012/chart" uri="{CE6537A1-D6FC-4f65-9D91-7224C49458BB}"/>
              </c:extLst>
            </c:dLbl>
            <c:numFmt formatCode="#,##0;[Red]#,##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[1]DATA!$A$5:$B$22</c:f>
              <c:multiLvlStrCache>
                <c:ptCount val="18"/>
                <c:lvl/>
                <c:lvl>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lvl>
              </c:multiLvlStrCache>
            </c:multiLvlStrRef>
          </c:cat>
          <c:val>
            <c:numRef>
              <c:f>[1]DATA!$D$5:$D$22</c:f>
              <c:numCache>
                <c:formatCode>General</c:formatCode>
                <c:ptCount val="18"/>
                <c:pt idx="0">
                  <c:v>-2384</c:v>
                </c:pt>
                <c:pt idx="1">
                  <c:v>-2172</c:v>
                </c:pt>
                <c:pt idx="2">
                  <c:v>-2062</c:v>
                </c:pt>
                <c:pt idx="3">
                  <c:v>-2670</c:v>
                </c:pt>
                <c:pt idx="4">
                  <c:v>-3273</c:v>
                </c:pt>
                <c:pt idx="5">
                  <c:v>-4050</c:v>
                </c:pt>
                <c:pt idx="6">
                  <c:v>-4340</c:v>
                </c:pt>
                <c:pt idx="7">
                  <c:v>-3839</c:v>
                </c:pt>
                <c:pt idx="8">
                  <c:v>-3321</c:v>
                </c:pt>
                <c:pt idx="9">
                  <c:v>-3016</c:v>
                </c:pt>
                <c:pt idx="10">
                  <c:v>-4030</c:v>
                </c:pt>
                <c:pt idx="11">
                  <c:v>-4802</c:v>
                </c:pt>
                <c:pt idx="12">
                  <c:v>-4668</c:v>
                </c:pt>
                <c:pt idx="13">
                  <c:v>-2494</c:v>
                </c:pt>
                <c:pt idx="14">
                  <c:v>-2133</c:v>
                </c:pt>
                <c:pt idx="15">
                  <c:v>-1976</c:v>
                </c:pt>
                <c:pt idx="16">
                  <c:v>-1536</c:v>
                </c:pt>
                <c:pt idx="17">
                  <c:v>-1103</c:v>
                </c:pt>
              </c:numCache>
            </c:numRef>
          </c:val>
        </c:ser>
        <c:dLbls>
          <c:showLegendKey val="0"/>
          <c:showVal val="0"/>
          <c:showCatName val="0"/>
          <c:showSerName val="0"/>
          <c:showPercent val="0"/>
          <c:showBubbleSize val="0"/>
        </c:dLbls>
        <c:gapWidth val="30"/>
        <c:overlap val="100"/>
        <c:axId val="248340864"/>
        <c:axId val="248342784"/>
      </c:barChart>
      <c:catAx>
        <c:axId val="248340864"/>
        <c:scaling>
          <c:orientation val="minMax"/>
        </c:scaling>
        <c:delete val="0"/>
        <c:axPos val="l"/>
        <c:numFmt formatCode="General" sourceLinked="0"/>
        <c:majorTickMark val="none"/>
        <c:minorTickMark val="none"/>
        <c:tickLblPos val="low"/>
        <c:spPr>
          <a:ln/>
        </c:spPr>
        <c:txPr>
          <a:bodyPr rot="0" vert="horz"/>
          <a:lstStyle/>
          <a:p>
            <a:pPr>
              <a:defRPr/>
            </a:pPr>
            <a:endParaRPr lang="pl-PL"/>
          </a:p>
        </c:txPr>
        <c:crossAx val="248342784"/>
        <c:crosses val="autoZero"/>
        <c:auto val="1"/>
        <c:lblAlgn val="ctr"/>
        <c:lblOffset val="100"/>
        <c:tickLblSkip val="1"/>
        <c:noMultiLvlLbl val="1"/>
      </c:catAx>
      <c:valAx>
        <c:axId val="248342784"/>
        <c:scaling>
          <c:orientation val="minMax"/>
        </c:scaling>
        <c:delete val="0"/>
        <c:axPos val="b"/>
        <c:numFmt formatCode="0;[Red]0" sourceLinked="0"/>
        <c:majorTickMark val="cross"/>
        <c:minorTickMark val="none"/>
        <c:tickLblPos val="nextTo"/>
        <c:crossAx val="2483408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lineChart>
        <c:grouping val="standard"/>
        <c:varyColors val="0"/>
        <c:ser>
          <c:idx val="0"/>
          <c:order val="0"/>
          <c:tx>
            <c:v>Prognoza liczby ludności </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Prognoza!$C$3:$H$3</c:f>
              <c:strCache>
                <c:ptCount val="6"/>
                <c:pt idx="0">
                  <c:v>prognoza na rok 2012</c:v>
                </c:pt>
                <c:pt idx="1">
                  <c:v>prognoza na rok 2015</c:v>
                </c:pt>
                <c:pt idx="2">
                  <c:v>prognoza na rok 2020</c:v>
                </c:pt>
                <c:pt idx="3">
                  <c:v>prognoza na rok 2025</c:v>
                </c:pt>
                <c:pt idx="4">
                  <c:v>prognoza na rok 2030</c:v>
                </c:pt>
                <c:pt idx="5">
                  <c:v>prognoza na rok 2035</c:v>
                </c:pt>
              </c:strCache>
            </c:strRef>
          </c:cat>
          <c:val>
            <c:numRef>
              <c:f>Prognoza!$C$8:$H$8</c:f>
              <c:numCache>
                <c:formatCode>0</c:formatCode>
                <c:ptCount val="6"/>
                <c:pt idx="0">
                  <c:v>102561</c:v>
                </c:pt>
                <c:pt idx="1">
                  <c:v>101197</c:v>
                </c:pt>
                <c:pt idx="2">
                  <c:v>98850</c:v>
                </c:pt>
                <c:pt idx="3">
                  <c:v>96038</c:v>
                </c:pt>
                <c:pt idx="4">
                  <c:v>92513</c:v>
                </c:pt>
                <c:pt idx="5">
                  <c:v>88549</c:v>
                </c:pt>
              </c:numCache>
            </c:numRef>
          </c:val>
          <c:smooth val="0"/>
        </c:ser>
        <c:dLbls>
          <c:showLegendKey val="0"/>
          <c:showVal val="0"/>
          <c:showCatName val="0"/>
          <c:showSerName val="0"/>
          <c:showPercent val="0"/>
          <c:showBubbleSize val="0"/>
        </c:dLbls>
        <c:marker val="1"/>
        <c:smooth val="0"/>
        <c:axId val="259400448"/>
        <c:axId val="153555328"/>
      </c:lineChart>
      <c:catAx>
        <c:axId val="259400448"/>
        <c:scaling>
          <c:orientation val="minMax"/>
        </c:scaling>
        <c:delete val="0"/>
        <c:axPos val="b"/>
        <c:numFmt formatCode="General" sourceLinked="0"/>
        <c:majorTickMark val="out"/>
        <c:minorTickMark val="none"/>
        <c:tickLblPos val="nextTo"/>
        <c:crossAx val="153555328"/>
        <c:crosses val="autoZero"/>
        <c:auto val="1"/>
        <c:lblAlgn val="ctr"/>
        <c:lblOffset val="100"/>
        <c:noMultiLvlLbl val="0"/>
      </c:catAx>
      <c:valAx>
        <c:axId val="153555328"/>
        <c:scaling>
          <c:orientation val="minMax"/>
        </c:scaling>
        <c:delete val="0"/>
        <c:axPos val="l"/>
        <c:majorGridlines/>
        <c:numFmt formatCode="0" sourceLinked="1"/>
        <c:majorTickMark val="out"/>
        <c:minorTickMark val="none"/>
        <c:tickLblPos val="nextTo"/>
        <c:crossAx val="2594004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INFO!$M$31:$U$31</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INFO!$M$32:$U$32</c:f>
              <c:numCache>
                <c:formatCode>0.00%</c:formatCode>
                <c:ptCount val="9"/>
                <c:pt idx="0">
                  <c:v>0.49</c:v>
                </c:pt>
                <c:pt idx="1">
                  <c:v>0.63</c:v>
                </c:pt>
                <c:pt idx="2">
                  <c:v>0.66020000000000001</c:v>
                </c:pt>
                <c:pt idx="3">
                  <c:v>0.73229999999999995</c:v>
                </c:pt>
                <c:pt idx="4">
                  <c:v>0.77029999999999998</c:v>
                </c:pt>
                <c:pt idx="5">
                  <c:v>0.80610000000000004</c:v>
                </c:pt>
                <c:pt idx="6">
                  <c:v>0.83599999999999997</c:v>
                </c:pt>
                <c:pt idx="7">
                  <c:v>0.872</c:v>
                </c:pt>
                <c:pt idx="8">
                  <c:v>0.85540000000000005</c:v>
                </c:pt>
              </c:numCache>
            </c:numRef>
          </c:val>
        </c:ser>
        <c:dLbls>
          <c:showLegendKey val="0"/>
          <c:showVal val="0"/>
          <c:showCatName val="0"/>
          <c:showSerName val="0"/>
          <c:showPercent val="0"/>
          <c:showBubbleSize val="0"/>
        </c:dLbls>
        <c:gapWidth val="219"/>
        <c:overlap val="-27"/>
        <c:axId val="153569152"/>
        <c:axId val="153570688"/>
      </c:barChart>
      <c:catAx>
        <c:axId val="15356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70688"/>
        <c:crosses val="autoZero"/>
        <c:auto val="1"/>
        <c:lblAlgn val="ctr"/>
        <c:lblOffset val="100"/>
        <c:noMultiLvlLbl val="0"/>
      </c:catAx>
      <c:valAx>
        <c:axId val="153570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INFO!$R$62:$Z$62</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INFO!$R$63:$Z$63</c:f>
              <c:numCache>
                <c:formatCode>General</c:formatCode>
                <c:ptCount val="9"/>
                <c:pt idx="0">
                  <c:v>6763</c:v>
                </c:pt>
                <c:pt idx="1">
                  <c:v>6358</c:v>
                </c:pt>
                <c:pt idx="2">
                  <c:v>6118</c:v>
                </c:pt>
                <c:pt idx="3">
                  <c:v>5747</c:v>
                </c:pt>
                <c:pt idx="4">
                  <c:v>5459</c:v>
                </c:pt>
                <c:pt idx="5">
                  <c:v>5236</c:v>
                </c:pt>
                <c:pt idx="6">
                  <c:v>5064</c:v>
                </c:pt>
                <c:pt idx="7">
                  <c:v>4988</c:v>
                </c:pt>
                <c:pt idx="8">
                  <c:v>4977</c:v>
                </c:pt>
              </c:numCache>
            </c:numRef>
          </c:val>
        </c:ser>
        <c:dLbls>
          <c:showLegendKey val="0"/>
          <c:showVal val="0"/>
          <c:showCatName val="0"/>
          <c:showSerName val="0"/>
          <c:showPercent val="0"/>
          <c:showBubbleSize val="0"/>
        </c:dLbls>
        <c:gapWidth val="219"/>
        <c:overlap val="-27"/>
        <c:axId val="153582592"/>
        <c:axId val="153588480"/>
      </c:barChart>
      <c:catAx>
        <c:axId val="1535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88480"/>
        <c:crosses val="autoZero"/>
        <c:auto val="1"/>
        <c:lblAlgn val="ctr"/>
        <c:lblOffset val="100"/>
        <c:noMultiLvlLbl val="0"/>
      </c:catAx>
      <c:valAx>
        <c:axId val="15358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8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INFO!$Z$31:$AH$31</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INFO!$Z$32:$AH$32</c:f>
              <c:numCache>
                <c:formatCode>General</c:formatCode>
                <c:ptCount val="9"/>
                <c:pt idx="0">
                  <c:v>4156</c:v>
                </c:pt>
                <c:pt idx="1">
                  <c:v>4107</c:v>
                </c:pt>
                <c:pt idx="2">
                  <c:v>3721</c:v>
                </c:pt>
                <c:pt idx="3">
                  <c:v>3344</c:v>
                </c:pt>
                <c:pt idx="4">
                  <c:v>3170</c:v>
                </c:pt>
                <c:pt idx="5">
                  <c:v>2987</c:v>
                </c:pt>
                <c:pt idx="6">
                  <c:v>2755</c:v>
                </c:pt>
                <c:pt idx="7">
                  <c:v>2690</c:v>
                </c:pt>
                <c:pt idx="8">
                  <c:v>2510</c:v>
                </c:pt>
              </c:numCache>
            </c:numRef>
          </c:val>
        </c:ser>
        <c:dLbls>
          <c:showLegendKey val="0"/>
          <c:showVal val="0"/>
          <c:showCatName val="0"/>
          <c:showSerName val="0"/>
          <c:showPercent val="0"/>
          <c:showBubbleSize val="0"/>
        </c:dLbls>
        <c:gapWidth val="219"/>
        <c:overlap val="-27"/>
        <c:axId val="153600384"/>
        <c:axId val="153601920"/>
      </c:barChart>
      <c:catAx>
        <c:axId val="153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601920"/>
        <c:crosses val="autoZero"/>
        <c:auto val="1"/>
        <c:lblAlgn val="ctr"/>
        <c:lblOffset val="100"/>
        <c:noMultiLvlLbl val="0"/>
      </c:catAx>
      <c:valAx>
        <c:axId val="15360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60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dPt>
          <c:dPt>
            <c:idx val="2"/>
            <c:invertIfNegative val="0"/>
            <c:bubble3D val="0"/>
            <c:spPr>
              <a:solidFill>
                <a:schemeClr val="accent2"/>
              </a:solidFill>
              <a:ln>
                <a:noFill/>
              </a:ln>
              <a:effectLst/>
            </c:spPr>
          </c:dPt>
          <c:dPt>
            <c:idx val="4"/>
            <c:invertIfNegative val="0"/>
            <c:bubble3D val="0"/>
            <c:spPr>
              <a:solidFill>
                <a:schemeClr val="accent6"/>
              </a:solidFill>
              <a:ln>
                <a:noFill/>
              </a:ln>
              <a:effectLst/>
            </c:spPr>
          </c:dPt>
          <c:dPt>
            <c:idx val="5"/>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INFO!$T$54:$Y$55</c:f>
              <c:multiLvlStrCache>
                <c:ptCount val="6"/>
                <c:lvl>
                  <c:pt idx="0">
                    <c:v>Miasto Legnica</c:v>
                  </c:pt>
                  <c:pt idx="1">
                    <c:v>Dolny Śląsk</c:v>
                  </c:pt>
                  <c:pt idx="2">
                    <c:v>Polska</c:v>
                  </c:pt>
                  <c:pt idx="3">
                    <c:v>Miasto Legnica</c:v>
                  </c:pt>
                  <c:pt idx="4">
                    <c:v>Dolny Śląsk</c:v>
                  </c:pt>
                  <c:pt idx="5">
                    <c:v>Polska</c:v>
                  </c:pt>
                </c:lvl>
                <c:lvl>
                  <c:pt idx="0">
                    <c:v>Zasadnicze Szkoły Zawodowe</c:v>
                  </c:pt>
                  <c:pt idx="3">
                    <c:v>Technika, szkoły policealne</c:v>
                  </c:pt>
                </c:lvl>
              </c:multiLvlStrCache>
            </c:multiLvlStrRef>
          </c:cat>
          <c:val>
            <c:numRef>
              <c:f>INFO!$T$56:$Y$56</c:f>
              <c:numCache>
                <c:formatCode>General</c:formatCode>
                <c:ptCount val="6"/>
                <c:pt idx="0">
                  <c:v>82.6</c:v>
                </c:pt>
                <c:pt idx="1">
                  <c:v>68.900000000000006</c:v>
                </c:pt>
                <c:pt idx="2">
                  <c:v>79.599999999999994</c:v>
                </c:pt>
                <c:pt idx="3">
                  <c:v>66.36</c:v>
                </c:pt>
                <c:pt idx="4">
                  <c:v>62.3</c:v>
                </c:pt>
                <c:pt idx="5">
                  <c:v>65.099999999999994</c:v>
                </c:pt>
              </c:numCache>
            </c:numRef>
          </c:val>
        </c:ser>
        <c:dLbls>
          <c:showLegendKey val="0"/>
          <c:showVal val="0"/>
          <c:showCatName val="0"/>
          <c:showSerName val="0"/>
          <c:showPercent val="0"/>
          <c:showBubbleSize val="0"/>
        </c:dLbls>
        <c:gapWidth val="219"/>
        <c:overlap val="-27"/>
        <c:axId val="153816064"/>
        <c:axId val="153817856"/>
      </c:barChart>
      <c:catAx>
        <c:axId val="1538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817856"/>
        <c:crosses val="autoZero"/>
        <c:auto val="1"/>
        <c:lblAlgn val="ctr"/>
        <c:lblOffset val="100"/>
        <c:noMultiLvlLbl val="0"/>
      </c:catAx>
      <c:valAx>
        <c:axId val="15381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81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to atrakcyjny, zróżnicowany i bogaty rynek pracy, zapewniony dzięki rozwiniętemu i innowacyjnemu sektorowi usług oraz sektorowi małych i średnich przedsiębiorstw produkcyjnych i handlowych</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9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900" b="0" i="0" u="none">
              <a:solidFill>
                <a:schemeClr val="accent3">
                  <a:lumMod val="75000"/>
                </a:schemeClr>
              </a:solidFill>
            </a:rPr>
            <a:t>Mocne strony:</a:t>
          </a:r>
          <a:endParaRPr lang="pl-PL" sz="900">
            <a:solidFill>
              <a:schemeClr val="accent3">
                <a:lumMod val="75000"/>
              </a:schemeClr>
            </a:solidFill>
          </a:endParaRP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9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900">
              <a:solidFill>
                <a:schemeClr val="bg2">
                  <a:lumMod val="25000"/>
                </a:schemeClr>
              </a:solidFill>
            </a:rPr>
            <a:t>Zagrożenia:</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EB3CC920-D00D-4C73-9FB0-B7D99DB49B98}">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Dostępność terenów inwestycyjnych, w tym w ramach Legnickiej Specjalnej Strefy Ekonomicznej</a:t>
          </a:r>
          <a:endParaRPr lang="pl-PL" sz="800">
            <a:solidFill>
              <a:schemeClr val="accent3">
                <a:lumMod val="75000"/>
              </a:schemeClr>
            </a:solidFill>
          </a:endParaRPr>
        </a:p>
      </dgm:t>
    </dgm:pt>
    <dgm:pt modelId="{910AFEC1-58DC-4B0F-99B7-A2F465F81A8C}" type="parTrans" cxnId="{F857BA13-D3CA-4392-A585-5D0EDBF04B65}">
      <dgm:prSet/>
      <dgm:spPr/>
      <dgm:t>
        <a:bodyPr/>
        <a:lstStyle/>
        <a:p>
          <a:endParaRPr lang="pl-PL"/>
        </a:p>
      </dgm:t>
    </dgm:pt>
    <dgm:pt modelId="{58D3DB5C-1E50-4A9C-A02D-86F9129AF7A7}" type="sibTrans" cxnId="{F857BA13-D3CA-4392-A585-5D0EDBF04B65}">
      <dgm:prSet/>
      <dgm:spPr/>
      <dgm:t>
        <a:bodyPr/>
        <a:lstStyle/>
        <a:p>
          <a:endParaRPr lang="pl-PL"/>
        </a:p>
      </dgm:t>
    </dgm:pt>
    <dgm:pt modelId="{0032FF78-74A7-437E-8049-D29EEB5173AC}">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Korzystny rynek pracy. Relatywnie niski poziom bezrobocia, wzrastająca liczba zarejestrowanych podmiotów gospodarczych</a:t>
          </a:r>
          <a:endParaRPr lang="pl-PL" sz="800">
            <a:solidFill>
              <a:schemeClr val="accent3">
                <a:lumMod val="75000"/>
              </a:schemeClr>
            </a:solidFill>
          </a:endParaRPr>
        </a:p>
      </dgm:t>
    </dgm:pt>
    <dgm:pt modelId="{F62ADE04-02D2-45D4-9E2C-F04AFFE2E983}" type="parTrans" cxnId="{89280E36-7908-4A76-80E1-9CF2A465DF7C}">
      <dgm:prSet/>
      <dgm:spPr/>
      <dgm:t>
        <a:bodyPr/>
        <a:lstStyle/>
        <a:p>
          <a:endParaRPr lang="pl-PL"/>
        </a:p>
      </dgm:t>
    </dgm:pt>
    <dgm:pt modelId="{D3F70FB2-2500-47A0-830F-E02EBFB963B0}" type="sibTrans" cxnId="{89280E36-7908-4A76-80E1-9CF2A465DF7C}">
      <dgm:prSet/>
      <dgm:spPr/>
      <dgm:t>
        <a:bodyPr/>
        <a:lstStyle/>
        <a:p>
          <a:endParaRPr lang="pl-PL"/>
        </a:p>
      </dgm:t>
    </dgm:pt>
    <dgm:pt modelId="{16D466CF-D259-4826-AFC9-AB08B490D61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Liczne instytucje otoczenia biznesu</a:t>
          </a:r>
        </a:p>
        <a:p>
          <a:endParaRPr lang="pl-PL" sz="800" b="0" i="0" u="none"/>
        </a:p>
        <a:p>
          <a:r>
            <a:rPr lang="pl-PL" sz="800" b="0" i="0" u="none"/>
            <a:t>  </a:t>
          </a:r>
          <a:endParaRPr lang="pl-PL" sz="800">
            <a:solidFill>
              <a:schemeClr val="accent3">
                <a:lumMod val="75000"/>
              </a:schemeClr>
            </a:solidFill>
          </a:endParaRPr>
        </a:p>
      </dgm:t>
    </dgm:pt>
    <dgm:pt modelId="{304F2E2C-3A98-4251-88F2-E539595CD877}" type="parTrans" cxnId="{ED566E14-148B-4AF7-8B4C-71B0D954DFBC}">
      <dgm:prSet/>
      <dgm:spPr/>
      <dgm:t>
        <a:bodyPr/>
        <a:lstStyle/>
        <a:p>
          <a:endParaRPr lang="pl-PL"/>
        </a:p>
      </dgm:t>
    </dgm:pt>
    <dgm:pt modelId="{358B692B-C95D-44FB-B0CB-FFB80FA73377}" type="sibTrans" cxnId="{ED566E14-148B-4AF7-8B4C-71B0D954DFBC}">
      <dgm:prSet/>
      <dgm:spPr/>
      <dgm:t>
        <a:bodyPr/>
        <a:lstStyle/>
        <a:p>
          <a:endParaRPr lang="pl-PL"/>
        </a:p>
      </dgm:t>
    </dgm:pt>
    <dgm:pt modelId="{8D73CBB3-7BBF-4E0B-800F-DDE9BC8DF341}">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Relatywnie niskie średnie dochody mieszkańców</a:t>
          </a:r>
          <a:endParaRPr lang="pl-PL" sz="800">
            <a:solidFill>
              <a:srgbClr val="FF0000"/>
            </a:solidFill>
          </a:endParaRPr>
        </a:p>
      </dgm:t>
    </dgm:pt>
    <dgm:pt modelId="{48AD3A72-8490-4D1F-8DEC-21AFA052AF5A}" type="parTrans" cxnId="{7CB65A4C-EC25-44B2-8D77-538848D12F27}">
      <dgm:prSet/>
      <dgm:spPr/>
      <dgm:t>
        <a:bodyPr/>
        <a:lstStyle/>
        <a:p>
          <a:endParaRPr lang="pl-PL"/>
        </a:p>
      </dgm:t>
    </dgm:pt>
    <dgm:pt modelId="{0AB12D3E-26F8-4573-AA45-0335FB12DF00}" type="sibTrans" cxnId="{7CB65A4C-EC25-44B2-8D77-538848D12F27}">
      <dgm:prSet/>
      <dgm:spPr/>
      <dgm:t>
        <a:bodyPr/>
        <a:lstStyle/>
        <a:p>
          <a:endParaRPr lang="pl-PL"/>
        </a:p>
      </dgm:t>
    </dgm:pt>
    <dgm:pt modelId="{2F1EB40E-3A69-4476-893E-D8FDDB1C7319}">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3D0D287E-789D-4A81-AF74-7D6AC608E2F7}" type="parTrans" cxnId="{28256E72-15B0-4774-8830-0C056DF85A25}">
      <dgm:prSet/>
      <dgm:spPr/>
      <dgm:t>
        <a:bodyPr/>
        <a:lstStyle/>
        <a:p>
          <a:endParaRPr lang="pl-PL"/>
        </a:p>
      </dgm:t>
    </dgm:pt>
    <dgm:pt modelId="{77D064B3-021A-4144-80BE-CB7731ED8BA6}" type="sibTrans" cxnId="{28256E72-15B0-4774-8830-0C056DF85A25}">
      <dgm:prSet/>
      <dgm:spPr/>
      <dgm:t>
        <a:bodyPr/>
        <a:lstStyle/>
        <a:p>
          <a:endParaRPr lang="pl-PL"/>
        </a:p>
      </dgm:t>
    </dgm:pt>
    <dgm:pt modelId="{60B7D2A1-76CF-45BE-8F98-099F81F637AA}">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Działalność krajowego potentata KGHM: rynek pracy, nowe inwestycje, przedsiębiorstwa kooperujące, wysokie stawki wynagrodzeń, wysokie emerytury górnicze</a:t>
          </a:r>
          <a:endParaRPr lang="pl-PL" sz="800">
            <a:solidFill>
              <a:schemeClr val="accent1">
                <a:lumMod val="75000"/>
              </a:schemeClr>
            </a:solidFill>
          </a:endParaRPr>
        </a:p>
      </dgm:t>
    </dgm:pt>
    <dgm:pt modelId="{A002D182-9B3F-41EE-9FE3-9C8FECC0BE23}" type="parTrans" cxnId="{F90E7497-4578-45CA-B9FB-BC872069D203}">
      <dgm:prSet/>
      <dgm:spPr/>
      <dgm:t>
        <a:bodyPr/>
        <a:lstStyle/>
        <a:p>
          <a:endParaRPr lang="pl-PL"/>
        </a:p>
      </dgm:t>
    </dgm:pt>
    <dgm:pt modelId="{B41C758F-563D-4363-84BF-0288C38CCAA4}" type="sibTrans" cxnId="{F90E7497-4578-45CA-B9FB-BC872069D203}">
      <dgm:prSet/>
      <dgm:spPr/>
      <dgm:t>
        <a:bodyPr/>
        <a:lstStyle/>
        <a:p>
          <a:endParaRPr lang="pl-PL"/>
        </a:p>
      </dgm:t>
    </dgm:pt>
    <dgm:pt modelId="{B0D031B8-78B6-43A4-9520-99399CB324DD}">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Przedłużenie funkcjonowania LSSE do 2026 r., utrzymanie ulg inwestycyjnych dla nowych firm</a:t>
          </a:r>
          <a:endParaRPr lang="pl-PL" sz="800">
            <a:solidFill>
              <a:schemeClr val="accent1">
                <a:lumMod val="75000"/>
              </a:schemeClr>
            </a:solidFill>
          </a:endParaRPr>
        </a:p>
      </dgm:t>
    </dgm:pt>
    <dgm:pt modelId="{4127F4AE-35AF-464A-9302-CC4849E2766E}" type="parTrans" cxnId="{F81D1F64-239A-42DA-9EB2-915631423C7E}">
      <dgm:prSet/>
      <dgm:spPr/>
      <dgm:t>
        <a:bodyPr/>
        <a:lstStyle/>
        <a:p>
          <a:endParaRPr lang="pl-PL"/>
        </a:p>
      </dgm:t>
    </dgm:pt>
    <dgm:pt modelId="{42D389FE-C6CD-46B0-B0C1-9746596BE88E}" type="sibTrans" cxnId="{F81D1F64-239A-42DA-9EB2-915631423C7E}">
      <dgm:prSet/>
      <dgm:spPr/>
      <dgm:t>
        <a:bodyPr/>
        <a:lstStyle/>
        <a:p>
          <a:endParaRPr lang="pl-PL"/>
        </a:p>
      </dgm:t>
    </dgm:pt>
    <dgm:pt modelId="{4599FD8C-A8BD-49C4-A0A2-B0493977978C}">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Dynamicznie rozwijający się rynek usług świadczonych i pobieranych za pomocą usług teleinformatycznych umożliwiający mniejszym ośrodkom miejskim funkcjonowanie na rynku globalnym</a:t>
          </a:r>
          <a:endParaRPr lang="pl-PL" sz="800">
            <a:solidFill>
              <a:schemeClr val="accent1">
                <a:lumMod val="75000"/>
              </a:schemeClr>
            </a:solidFill>
          </a:endParaRPr>
        </a:p>
      </dgm:t>
    </dgm:pt>
    <dgm:pt modelId="{AEEA10CB-9A13-49AC-A674-34AD88959F4E}" type="parTrans" cxnId="{91479672-60D0-4900-8D3B-562CFA22F4AB}">
      <dgm:prSet/>
      <dgm:spPr/>
      <dgm:t>
        <a:bodyPr/>
        <a:lstStyle/>
        <a:p>
          <a:endParaRPr lang="pl-PL"/>
        </a:p>
      </dgm:t>
    </dgm:pt>
    <dgm:pt modelId="{88C2EDF9-D4B9-4032-ABEA-7E26D9B0518E}" type="sibTrans" cxnId="{91479672-60D0-4900-8D3B-562CFA22F4AB}">
      <dgm:prSet/>
      <dgm:spPr/>
      <dgm:t>
        <a:bodyPr/>
        <a:lstStyle/>
        <a:p>
          <a:endParaRPr lang="pl-PL"/>
        </a:p>
      </dgm:t>
    </dgm:pt>
    <dgm:pt modelId="{EB691BBF-7387-442A-8FE2-3FA9161EEC26}">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Utrzymanie się niekorzystnych zjawisk gospodarczych spowodowanych światowym kryzysem gospodarczym</a:t>
          </a:r>
          <a:endParaRPr lang="pl-PL" sz="800">
            <a:solidFill>
              <a:schemeClr val="bg2">
                <a:lumMod val="25000"/>
              </a:schemeClr>
            </a:solidFill>
          </a:endParaRPr>
        </a:p>
      </dgm:t>
    </dgm:pt>
    <dgm:pt modelId="{A73AA64B-296E-42A7-9F69-6F8EFFFAA9BC}" type="parTrans" cxnId="{C63571A4-2E80-42BB-A0EA-F8869ABB61F8}">
      <dgm:prSet/>
      <dgm:spPr/>
      <dgm:t>
        <a:bodyPr/>
        <a:lstStyle/>
        <a:p>
          <a:endParaRPr lang="pl-PL"/>
        </a:p>
      </dgm:t>
    </dgm:pt>
    <dgm:pt modelId="{893C8691-BC5B-4171-AAF6-E01286C2DBE8}" type="sibTrans" cxnId="{C63571A4-2E80-42BB-A0EA-F8869ABB61F8}">
      <dgm:prSet/>
      <dgm:spPr/>
      <dgm:t>
        <a:bodyPr/>
        <a:lstStyle/>
        <a:p>
          <a:endParaRPr lang="pl-PL"/>
        </a:p>
      </dgm:t>
    </dgm:pt>
    <dgm:pt modelId="{3E383453-981D-4D85-AD42-8E1172BDA75B}">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Brak wypracowanych praktyk w zakresie transferu technologii i współpracy pomiędzy sektorem naukowo-badawczym, a przedsiębiorstwami powodujący utrzymywanie się niskiego poziomu innowacyjności w kraju. </a:t>
          </a:r>
          <a:endParaRPr lang="pl-PL" sz="800">
            <a:solidFill>
              <a:schemeClr val="bg2">
                <a:lumMod val="25000"/>
              </a:schemeClr>
            </a:solidFill>
          </a:endParaRPr>
        </a:p>
      </dgm:t>
    </dgm:pt>
    <dgm:pt modelId="{F733FE10-ABB5-4B9C-8168-3A6B70A50FC6}" type="parTrans" cxnId="{F76B4C6C-C217-4769-9A80-24044E49DD68}">
      <dgm:prSet/>
      <dgm:spPr/>
      <dgm:t>
        <a:bodyPr/>
        <a:lstStyle/>
        <a:p>
          <a:endParaRPr lang="pl-PL"/>
        </a:p>
      </dgm:t>
    </dgm:pt>
    <dgm:pt modelId="{3D2278D0-A169-4743-8A98-E51EF8B90516}" type="sibTrans" cxnId="{F76B4C6C-C217-4769-9A80-24044E49DD68}">
      <dgm:prSet/>
      <dgm:spPr/>
      <dgm:t>
        <a:bodyPr/>
        <a:lstStyle/>
        <a:p>
          <a:endParaRPr lang="pl-PL"/>
        </a:p>
      </dgm:t>
    </dgm:pt>
    <dgm:pt modelId="{4F660DC7-1135-4F4D-B2DA-32A79D559A32}">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Migracje mieszkańców Legnicy do ościennych gmin i Wrocławia, w tym wysoko wykwalifikowanych specjalistów</a:t>
          </a:r>
          <a:endParaRPr lang="pl-PL" sz="800">
            <a:solidFill>
              <a:schemeClr val="bg2">
                <a:lumMod val="25000"/>
              </a:schemeClr>
            </a:solidFill>
          </a:endParaRPr>
        </a:p>
      </dgm:t>
    </dgm:pt>
    <dgm:pt modelId="{7C6E3C6C-5339-42F4-B9BA-917D77DA8AC2}" type="parTrans" cxnId="{B8DC65AC-E8FC-44AD-A58B-F84CAB8B712E}">
      <dgm:prSet/>
      <dgm:spPr/>
      <dgm:t>
        <a:bodyPr/>
        <a:lstStyle/>
        <a:p>
          <a:endParaRPr lang="pl-PL"/>
        </a:p>
      </dgm:t>
    </dgm:pt>
    <dgm:pt modelId="{5C55DBB0-2813-456A-9568-9CC58D95BD8E}" type="sibTrans" cxnId="{B8DC65AC-E8FC-44AD-A58B-F84CAB8B712E}">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70370" custScaleY="38388" custLinFactNeighborX="0" custLinFactNeighborY="-27616"/>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custAng="20463876" custLinFactNeighborX="-4933" custLinFactNeighborY="32872"/>
      <dgm:spPr/>
      <dgm:t>
        <a:bodyPr/>
        <a:lstStyle/>
        <a:p>
          <a:endParaRPr lang="pl-PL"/>
        </a:p>
      </dgm:t>
    </dgm:pt>
    <dgm:pt modelId="{1C8AB41D-24DC-4091-AEFF-E52AEEF470CC}" type="pres">
      <dgm:prSet presAssocID="{2E10DDA2-C3CC-477D-9BDD-C126C84E5A17}" presName="node" presStyleLbl="node1" presStyleIdx="0" presStyleCnt="4" custScaleX="192113" custScaleY="40743" custRadScaleRad="66453" custRadScaleInc="-17307">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92113" custScaleY="83525" custRadScaleRad="126943" custRadScaleInc="-13974">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89222" custScaleY="135246" custRadScaleRad="139541" custRadScaleInc="8098">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3" presStyleCnt="4"/>
      <dgm:spPr/>
      <dgm:t>
        <a:bodyPr/>
        <a:lstStyle/>
        <a:p>
          <a:endParaRPr lang="pl-PL"/>
        </a:p>
      </dgm:t>
    </dgm:pt>
    <dgm:pt modelId="{0705A7DC-BA1D-47B6-986E-36DB063A45C7}" type="pres">
      <dgm:prSet presAssocID="{D20E421B-DFB4-45C3-BA00-49FA0E1CC344}" presName="node" presStyleLbl="node1" presStyleIdx="3" presStyleCnt="4" custScaleX="192113" custScaleY="109824" custRadScaleRad="69265" custRadScaleInc="38596">
        <dgm:presLayoutVars>
          <dgm:bulletEnabled val="1"/>
        </dgm:presLayoutVars>
      </dgm:prSet>
      <dgm:spPr/>
      <dgm:t>
        <a:bodyPr/>
        <a:lstStyle/>
        <a:p>
          <a:endParaRPr lang="pl-PL"/>
        </a:p>
      </dgm:t>
    </dgm:pt>
  </dgm:ptLst>
  <dgm:cxnLst>
    <dgm:cxn modelId="{AEE872B1-F8E7-480D-A852-C750695B22EC}" srcId="{E0DE7FC3-05DD-41F8-A93B-17E37FBA99A2}" destId="{2E10DDA2-C3CC-477D-9BDD-C126C84E5A17}" srcOrd="0" destOrd="0" parTransId="{B68BCCBA-4CDD-4BDE-B444-4DE7199F6CE9}" sibTransId="{D30FB8F5-C61B-47A3-9A69-8533E1E5498A}"/>
    <dgm:cxn modelId="{23CE77D3-10A0-4FA4-9945-8C175D494DCA}" type="presOf" srcId="{65ABCF01-7144-4C18-A595-A44C05FACFFF}" destId="{23B2D597-4BCD-4CBB-8167-C9AF0A7E6FF6}" srcOrd="0" destOrd="0" presId="urn:microsoft.com/office/officeart/2005/8/layout/radial4"/>
    <dgm:cxn modelId="{F90E7497-4578-45CA-B9FB-BC872069D203}" srcId="{D4AD5703-DE06-44C7-B060-E21C427613C5}" destId="{60B7D2A1-76CF-45BE-8F98-099F81F637AA}" srcOrd="1" destOrd="0" parTransId="{A002D182-9B3F-41EE-9FE3-9C8FECC0BE23}" sibTransId="{B41C758F-563D-4363-84BF-0288C38CCAA4}"/>
    <dgm:cxn modelId="{F54935E7-2D79-44E0-8008-E263C7B44248}" type="presOf" srcId="{2F1EB40E-3A69-4476-893E-D8FDDB1C7319}" destId="{37840515-5973-4B60-9470-DCC494E77099}" srcOrd="0" destOrd="1" presId="urn:microsoft.com/office/officeart/2005/8/layout/radial4"/>
    <dgm:cxn modelId="{3B1E4921-DD00-4679-9550-21C2D4A7D1E5}" srcId="{E0DE7FC3-05DD-41F8-A93B-17E37FBA99A2}" destId="{D4AD5703-DE06-44C7-B060-E21C427613C5}" srcOrd="2" destOrd="0" parTransId="{65ABCF01-7144-4C18-A595-A44C05FACFFF}" sibTransId="{3A330B5E-C9BB-42E4-B972-0A169D971D62}"/>
    <dgm:cxn modelId="{6D3CD6FD-EC2C-4054-8D53-DDCB28A4B217}" type="presOf" srcId="{8D73CBB3-7BBF-4E0B-800F-DDE9BC8DF341}" destId="{1C8AB41D-24DC-4091-AEFF-E52AEEF470CC}" srcOrd="0" destOrd="1" presId="urn:microsoft.com/office/officeart/2005/8/layout/radial4"/>
    <dgm:cxn modelId="{AF578D8D-E922-4735-9536-07F2953BB339}" type="presOf" srcId="{D20E421B-DFB4-45C3-BA00-49FA0E1CC344}" destId="{0705A7DC-BA1D-47B6-986E-36DB063A45C7}" srcOrd="0" destOrd="0" presId="urn:microsoft.com/office/officeart/2005/8/layout/radial4"/>
    <dgm:cxn modelId="{8796C4C3-184D-4EB0-B997-B15784A1854D}" type="presOf" srcId="{3E383453-981D-4D85-AD42-8E1172BDA75B}" destId="{0705A7DC-BA1D-47B6-986E-36DB063A45C7}" srcOrd="0" destOrd="2" presId="urn:microsoft.com/office/officeart/2005/8/layout/radial4"/>
    <dgm:cxn modelId="{ED566E14-148B-4AF7-8B4C-71B0D954DFBC}" srcId="{53FB7279-8AB2-41F2-9E6E-538C3EA3557B}" destId="{16D466CF-D259-4826-AFC9-AB08B490D613}" srcOrd="2" destOrd="0" parTransId="{304F2E2C-3A98-4251-88F2-E539595CD877}" sibTransId="{358B692B-C95D-44FB-B0CB-FFB80FA73377}"/>
    <dgm:cxn modelId="{91479672-60D0-4900-8D3B-562CFA22F4AB}" srcId="{D4AD5703-DE06-44C7-B060-E21C427613C5}" destId="{4599FD8C-A8BD-49C4-A0A2-B0493977978C}" srcOrd="3" destOrd="0" parTransId="{AEEA10CB-9A13-49AC-A674-34AD88959F4E}" sibTransId="{88C2EDF9-D4B9-4032-ABEA-7E26D9B0518E}"/>
    <dgm:cxn modelId="{D0E6113C-9E38-4DE5-ADCF-B5ADA147B0AE}" type="presOf" srcId="{2E10DDA2-C3CC-477D-9BDD-C126C84E5A17}" destId="{1C8AB41D-24DC-4091-AEFF-E52AEEF470CC}" srcOrd="0" destOrd="0" presId="urn:microsoft.com/office/officeart/2005/8/layout/radial4"/>
    <dgm:cxn modelId="{F3387D5C-0A8E-44D9-8696-733865FE082E}" srcId="{E0DE7FC3-05DD-41F8-A93B-17E37FBA99A2}" destId="{53FB7279-8AB2-41F2-9E6E-538C3EA3557B}" srcOrd="1" destOrd="0" parTransId="{1E708C46-3FA4-47BE-91B6-298260E2983A}" sibTransId="{9D1654F8-85CB-4E50-8554-00121DB246C9}"/>
    <dgm:cxn modelId="{0A8BD6E1-E216-4326-939A-A46CCCFF216C}" type="presOf" srcId="{9B6FA2A3-388A-44C1-ADFC-66A57833DEC1}" destId="{62222EA0-69AD-435D-B846-D23728F3081C}" srcOrd="0" destOrd="0" presId="urn:microsoft.com/office/officeart/2005/8/layout/radial4"/>
    <dgm:cxn modelId="{B6D70A49-8ED5-4C5A-BB96-B6DDE329EF85}" type="presOf" srcId="{1E708C46-3FA4-47BE-91B6-298260E2983A}" destId="{4079F557-B870-4692-B361-17B891DAF6D5}" srcOrd="0" destOrd="0" presId="urn:microsoft.com/office/officeart/2005/8/layout/radial4"/>
    <dgm:cxn modelId="{E3777684-31CF-4A90-8EB6-F6B1C1C89C8D}" srcId="{E0DE7FC3-05DD-41F8-A93B-17E37FBA99A2}" destId="{D20E421B-DFB4-45C3-BA00-49FA0E1CC344}" srcOrd="3" destOrd="0" parTransId="{DA013B53-CE7E-47E8-AD95-056724E186A9}" sibTransId="{0C698FC3-B64E-41D5-90E6-DDD60C7432B2}"/>
    <dgm:cxn modelId="{F81D1F64-239A-42DA-9EB2-915631423C7E}" srcId="{D4AD5703-DE06-44C7-B060-E21C427613C5}" destId="{B0D031B8-78B6-43A4-9520-99399CB324DD}" srcOrd="2" destOrd="0" parTransId="{4127F4AE-35AF-464A-9302-CC4849E2766E}" sibTransId="{42D389FE-C6CD-46B0-B0C1-9746596BE88E}"/>
    <dgm:cxn modelId="{7CB65A4C-EC25-44B2-8D77-538848D12F27}" srcId="{2E10DDA2-C3CC-477D-9BDD-C126C84E5A17}" destId="{8D73CBB3-7BBF-4E0B-800F-DDE9BC8DF341}" srcOrd="0" destOrd="0" parTransId="{48AD3A72-8490-4D1F-8DEC-21AFA052AF5A}" sibTransId="{0AB12D3E-26F8-4573-AA45-0335FB12DF00}"/>
    <dgm:cxn modelId="{B8DC65AC-E8FC-44AD-A58B-F84CAB8B712E}" srcId="{D20E421B-DFB4-45C3-BA00-49FA0E1CC344}" destId="{4F660DC7-1135-4F4D-B2DA-32A79D559A32}" srcOrd="2" destOrd="0" parTransId="{7C6E3C6C-5339-42F4-B9BA-917D77DA8AC2}" sibTransId="{5C55DBB0-2813-456A-9568-9CC58D95BD8E}"/>
    <dgm:cxn modelId="{28256E72-15B0-4774-8830-0C056DF85A25}" srcId="{D4AD5703-DE06-44C7-B060-E21C427613C5}" destId="{2F1EB40E-3A69-4476-893E-D8FDDB1C7319}" srcOrd="0" destOrd="0" parTransId="{3D0D287E-789D-4A81-AF74-7D6AC608E2F7}" sibTransId="{77D064B3-021A-4144-80BE-CB7731ED8BA6}"/>
    <dgm:cxn modelId="{BF1B2564-14D0-4478-A617-FE32BE2A4926}" type="presOf" srcId="{E0DE7FC3-05DD-41F8-A93B-17E37FBA99A2}" destId="{E2B26D40-CEB8-480B-9958-6903BBB4B7DE}" srcOrd="0" destOrd="0" presId="urn:microsoft.com/office/officeart/2005/8/layout/radial4"/>
    <dgm:cxn modelId="{6822A947-C170-4231-8D96-FBBFD4330BB3}" type="presOf" srcId="{0032FF78-74A7-437E-8049-D29EEB5173AC}" destId="{62E613A9-F5C4-4D27-AD94-D5DF52CC0829}" srcOrd="0" destOrd="2" presId="urn:microsoft.com/office/officeart/2005/8/layout/radial4"/>
    <dgm:cxn modelId="{19BB1AAF-CEBF-497D-BEF5-7564D37A1C8A}" type="presOf" srcId="{4F660DC7-1135-4F4D-B2DA-32A79D559A32}" destId="{0705A7DC-BA1D-47B6-986E-36DB063A45C7}" srcOrd="0" destOrd="3" presId="urn:microsoft.com/office/officeart/2005/8/layout/radial4"/>
    <dgm:cxn modelId="{F573D898-5C7E-4FF7-89B9-EE13C914995B}" type="presOf" srcId="{D4AD5703-DE06-44C7-B060-E21C427613C5}" destId="{37840515-5973-4B60-9470-DCC494E77099}"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5C5FC503-0B9B-4114-B24A-01A42ABD4EA2}" type="presOf" srcId="{EB691BBF-7387-442A-8FE2-3FA9161EEC26}" destId="{0705A7DC-BA1D-47B6-986E-36DB063A45C7}" srcOrd="0" destOrd="1" presId="urn:microsoft.com/office/officeart/2005/8/layout/radial4"/>
    <dgm:cxn modelId="{C63571A4-2E80-42BB-A0EA-F8869ABB61F8}" srcId="{D20E421B-DFB4-45C3-BA00-49FA0E1CC344}" destId="{EB691BBF-7387-442A-8FE2-3FA9161EEC26}" srcOrd="0" destOrd="0" parTransId="{A73AA64B-296E-42A7-9F69-6F8EFFFAA9BC}" sibTransId="{893C8691-BC5B-4171-AAF6-E01286C2DBE8}"/>
    <dgm:cxn modelId="{2E51F1D2-DCAF-49DA-BFF4-25070C8E4D9B}" type="presOf" srcId="{4599FD8C-A8BD-49C4-A0A2-B0493977978C}" destId="{37840515-5973-4B60-9470-DCC494E77099}" srcOrd="0" destOrd="4" presId="urn:microsoft.com/office/officeart/2005/8/layout/radial4"/>
    <dgm:cxn modelId="{F857BA13-D3CA-4392-A585-5D0EDBF04B65}" srcId="{53FB7279-8AB2-41F2-9E6E-538C3EA3557B}" destId="{EB3CC920-D00D-4C73-9FB0-B7D99DB49B98}" srcOrd="0" destOrd="0" parTransId="{910AFEC1-58DC-4B0F-99B7-A2F465F81A8C}" sibTransId="{58D3DB5C-1E50-4A9C-A02D-86F9129AF7A7}"/>
    <dgm:cxn modelId="{A8E05358-B273-4FEC-BF70-F157CF105FAF}" type="presOf" srcId="{16D466CF-D259-4826-AFC9-AB08B490D613}" destId="{62E613A9-F5C4-4D27-AD94-D5DF52CC0829}" srcOrd="0" destOrd="3" presId="urn:microsoft.com/office/officeart/2005/8/layout/radial4"/>
    <dgm:cxn modelId="{89280E36-7908-4A76-80E1-9CF2A465DF7C}" srcId="{53FB7279-8AB2-41F2-9E6E-538C3EA3557B}" destId="{0032FF78-74A7-437E-8049-D29EEB5173AC}" srcOrd="1" destOrd="0" parTransId="{F62ADE04-02D2-45D4-9E2C-F04AFFE2E983}" sibTransId="{D3F70FB2-2500-47A0-830F-E02EBFB963B0}"/>
    <dgm:cxn modelId="{E337C862-5BF9-4051-862B-C299654D2A5F}" type="presOf" srcId="{53FB7279-8AB2-41F2-9E6E-538C3EA3557B}" destId="{62E613A9-F5C4-4D27-AD94-D5DF52CC0829}" srcOrd="0" destOrd="0" presId="urn:microsoft.com/office/officeart/2005/8/layout/radial4"/>
    <dgm:cxn modelId="{4E28009D-ED39-4345-8986-228BEE9278FF}" type="presOf" srcId="{DA013B53-CE7E-47E8-AD95-056724E186A9}" destId="{CBEC65E8-103E-43F6-920E-1F4E5107EC87}" srcOrd="0" destOrd="0" presId="urn:microsoft.com/office/officeart/2005/8/layout/radial4"/>
    <dgm:cxn modelId="{7FB17DA5-2693-4C8F-ADCA-DE909D89199A}" type="presOf" srcId="{EB3CC920-D00D-4C73-9FB0-B7D99DB49B98}" destId="{62E613A9-F5C4-4D27-AD94-D5DF52CC0829}" srcOrd="0" destOrd="1" presId="urn:microsoft.com/office/officeart/2005/8/layout/radial4"/>
    <dgm:cxn modelId="{C5D77A34-76CB-43E0-A8FA-0DCF9DD1EB74}" type="presOf" srcId="{B0D031B8-78B6-43A4-9520-99399CB324DD}" destId="{37840515-5973-4B60-9470-DCC494E77099}" srcOrd="0" destOrd="3" presId="urn:microsoft.com/office/officeart/2005/8/layout/radial4"/>
    <dgm:cxn modelId="{A12B3004-59BE-48C0-A590-AA4EE7FC9619}" type="presOf" srcId="{60B7D2A1-76CF-45BE-8F98-099F81F637AA}" destId="{37840515-5973-4B60-9470-DCC494E77099}" srcOrd="0" destOrd="2" presId="urn:microsoft.com/office/officeart/2005/8/layout/radial4"/>
    <dgm:cxn modelId="{F76B4C6C-C217-4769-9A80-24044E49DD68}" srcId="{D20E421B-DFB4-45C3-BA00-49FA0E1CC344}" destId="{3E383453-981D-4D85-AD42-8E1172BDA75B}" srcOrd="1" destOrd="0" parTransId="{F733FE10-ABB5-4B9C-8168-3A6B70A50FC6}" sibTransId="{3D2278D0-A169-4743-8A98-E51EF8B90516}"/>
    <dgm:cxn modelId="{805CA1A0-7945-48A8-8923-99A1F6E4FD85}" type="presOf" srcId="{B68BCCBA-4CDD-4BDE-B444-4DE7199F6CE9}" destId="{8392C9FF-A8EA-439E-A648-53E7E32E0AA6}" srcOrd="0" destOrd="0" presId="urn:microsoft.com/office/officeart/2005/8/layout/radial4"/>
    <dgm:cxn modelId="{83E8BF66-275A-4231-B4C1-68DEB9C85C5A}" type="presParOf" srcId="{62222EA0-69AD-435D-B846-D23728F3081C}" destId="{E2B26D40-CEB8-480B-9958-6903BBB4B7DE}" srcOrd="0" destOrd="0" presId="urn:microsoft.com/office/officeart/2005/8/layout/radial4"/>
    <dgm:cxn modelId="{1C28584B-A9CE-48F1-A963-D05C0B334812}" type="presParOf" srcId="{62222EA0-69AD-435D-B846-D23728F3081C}" destId="{8392C9FF-A8EA-439E-A648-53E7E32E0AA6}" srcOrd="1" destOrd="0" presId="urn:microsoft.com/office/officeart/2005/8/layout/radial4"/>
    <dgm:cxn modelId="{5205A0F1-0A0C-499C-A0D2-D036A55649AA}" type="presParOf" srcId="{62222EA0-69AD-435D-B846-D23728F3081C}" destId="{1C8AB41D-24DC-4091-AEFF-E52AEEF470CC}" srcOrd="2" destOrd="0" presId="urn:microsoft.com/office/officeart/2005/8/layout/radial4"/>
    <dgm:cxn modelId="{B7B8E6E9-0C9A-44AB-8DF5-6AEFDED19868}" type="presParOf" srcId="{62222EA0-69AD-435D-B846-D23728F3081C}" destId="{4079F557-B870-4692-B361-17B891DAF6D5}" srcOrd="3" destOrd="0" presId="urn:microsoft.com/office/officeart/2005/8/layout/radial4"/>
    <dgm:cxn modelId="{E6A75FAB-F8D7-4250-BBFB-EEA3DDFDABB9}" type="presParOf" srcId="{62222EA0-69AD-435D-B846-D23728F3081C}" destId="{62E613A9-F5C4-4D27-AD94-D5DF52CC0829}" srcOrd="4" destOrd="0" presId="urn:microsoft.com/office/officeart/2005/8/layout/radial4"/>
    <dgm:cxn modelId="{D5989064-CFC6-49F9-8E31-E1A48591DBE1}" type="presParOf" srcId="{62222EA0-69AD-435D-B846-D23728F3081C}" destId="{23B2D597-4BCD-4CBB-8167-C9AF0A7E6FF6}" srcOrd="5" destOrd="0" presId="urn:microsoft.com/office/officeart/2005/8/layout/radial4"/>
    <dgm:cxn modelId="{B55BE0B4-5344-4424-85D5-1679638F5EAE}" type="presParOf" srcId="{62222EA0-69AD-435D-B846-D23728F3081C}" destId="{37840515-5973-4B60-9470-DCC494E77099}" srcOrd="6" destOrd="0" presId="urn:microsoft.com/office/officeart/2005/8/layout/radial4"/>
    <dgm:cxn modelId="{DFDC8D3C-4254-442A-9432-A2C9ABDC38DB}" type="presParOf" srcId="{62222EA0-69AD-435D-B846-D23728F3081C}" destId="{CBEC65E8-103E-43F6-920E-1F4E5107EC87}" srcOrd="7" destOrd="0" presId="urn:microsoft.com/office/officeart/2005/8/layout/radial4"/>
    <dgm:cxn modelId="{6C0033FC-07E0-499F-AF5A-CB212A3DECE6}" type="presParOf" srcId="{62222EA0-69AD-435D-B846-D23728F3081C}" destId="{0705A7DC-BA1D-47B6-986E-36DB063A45C7}" srcOrd="8" destOrd="0" presId="urn:microsoft.com/office/officeart/2005/8/layout/radial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499EBFF-DDAD-435F-8A66-54730B61CE1C}" type="doc">
      <dgm:prSet loTypeId="urn:diagrams.loki3.com/BracketList+Icon" loCatId="list" qsTypeId="urn:microsoft.com/office/officeart/2005/8/quickstyle/simple1" qsCatId="simple" csTypeId="urn:microsoft.com/office/officeart/2005/8/colors/colorful1" csCatId="colorful" phldr="1"/>
      <dgm:spPr/>
      <dgm:t>
        <a:bodyPr/>
        <a:lstStyle/>
        <a:p>
          <a:endParaRPr lang="pl-PL"/>
        </a:p>
      </dgm:t>
    </dgm:pt>
    <dgm:pt modelId="{E431E831-154D-4A9A-9CCF-60410F831BBA}">
      <dgm:prSet phldrT="[Tekst]" custT="1"/>
      <dgm:spPr/>
      <dgm:t>
        <a:bodyPr/>
        <a:lstStyle/>
        <a:p>
          <a:pPr algn="just"/>
          <a:r>
            <a:rPr lang="pl-PL" sz="1100" b="1"/>
            <a:t>Cel strategiczny I  - </a:t>
          </a:r>
          <a:r>
            <a:rPr lang="pl-PL" sz="1100" b="1" i="1"/>
            <a:t>Rozwój nowoczesnej gospodarki opartej na innowacjach oraz podnoszenie atrakcyjności inwestycyjnej Miasta</a:t>
          </a:r>
        </a:p>
      </dgm:t>
    </dgm:pt>
    <dgm:pt modelId="{981688F9-5B84-4658-A6BF-84F12C2FF1C0}" type="parTrans" cxnId="{00916185-58BE-42F9-AF85-EA062AB63707}">
      <dgm:prSet/>
      <dgm:spPr/>
      <dgm:t>
        <a:bodyPr/>
        <a:lstStyle/>
        <a:p>
          <a:endParaRPr lang="pl-PL"/>
        </a:p>
      </dgm:t>
    </dgm:pt>
    <dgm:pt modelId="{826045D5-960E-40DD-8FC3-E7499A5B9762}" type="sibTrans" cxnId="{00916185-58BE-42F9-AF85-EA062AB63707}">
      <dgm:prSet/>
      <dgm:spPr/>
      <dgm:t>
        <a:bodyPr/>
        <a:lstStyle/>
        <a:p>
          <a:endParaRPr lang="pl-PL"/>
        </a:p>
      </dgm:t>
    </dgm:pt>
    <dgm:pt modelId="{0127D5BD-484F-463B-A2FE-7271F56D3D41}">
      <dgm:prSet phldrT="[Tekst]" custT="1"/>
      <dgm:spPr/>
      <dgm:t>
        <a:bodyPr/>
        <a:lstStyle/>
        <a:p>
          <a:pPr algn="just"/>
          <a:r>
            <a:rPr lang="pl-PL" sz="1000" b="1"/>
            <a:t>Cel Operacyjny I.1 - Modernizacja i rozbudowa układu transportu publicznego o znaczeniu regionalnym i ponadlokalnym</a:t>
          </a:r>
        </a:p>
      </dgm:t>
    </dgm:pt>
    <dgm:pt modelId="{16150783-F392-4A7A-872E-5952E6AA6927}" type="parTrans" cxnId="{AD9032AD-F816-46E2-91F4-5FF8E22EB99F}">
      <dgm:prSet/>
      <dgm:spPr/>
      <dgm:t>
        <a:bodyPr/>
        <a:lstStyle/>
        <a:p>
          <a:endParaRPr lang="pl-PL"/>
        </a:p>
      </dgm:t>
    </dgm:pt>
    <dgm:pt modelId="{08F38218-3525-4E03-AFEA-E2DFE7767E53}" type="sibTrans" cxnId="{AD9032AD-F816-46E2-91F4-5FF8E22EB99F}">
      <dgm:prSet/>
      <dgm:spPr/>
      <dgm:t>
        <a:bodyPr/>
        <a:lstStyle/>
        <a:p>
          <a:endParaRPr lang="pl-PL"/>
        </a:p>
      </dgm:t>
    </dgm:pt>
    <dgm:pt modelId="{9580442D-6AE7-49E0-9EA8-60E06E63ED51}">
      <dgm:prSet phldrT="[Tekst]" custT="1"/>
      <dgm:spPr/>
      <dgm:t>
        <a:bodyPr/>
        <a:lstStyle/>
        <a:p>
          <a:pPr algn="just"/>
          <a:r>
            <a:rPr lang="pl-PL" sz="1000" b="1"/>
            <a:t>Cel operacyjny I.2 - Rozbudowa i modernizacja infrastruktury technicznej dla istniejących i nowych terenów inwestycyjnych</a:t>
          </a:r>
        </a:p>
      </dgm:t>
    </dgm:pt>
    <dgm:pt modelId="{DEA7724A-5FD4-47E7-854D-FAEB2EBD1324}" type="parTrans" cxnId="{8A70D338-3E7A-44F2-8031-8D65F8073271}">
      <dgm:prSet/>
      <dgm:spPr/>
      <dgm:t>
        <a:bodyPr/>
        <a:lstStyle/>
        <a:p>
          <a:endParaRPr lang="pl-PL"/>
        </a:p>
      </dgm:t>
    </dgm:pt>
    <dgm:pt modelId="{970479DD-2F9E-4B5B-898F-FEE454D37B89}" type="sibTrans" cxnId="{8A70D338-3E7A-44F2-8031-8D65F8073271}">
      <dgm:prSet/>
      <dgm:spPr/>
      <dgm:t>
        <a:bodyPr/>
        <a:lstStyle/>
        <a:p>
          <a:endParaRPr lang="pl-PL"/>
        </a:p>
      </dgm:t>
    </dgm:pt>
    <dgm:pt modelId="{FB0F8787-BE73-4453-AAAC-184A1CD15F91}">
      <dgm:prSet phldrT="[Tekst]" custT="1"/>
      <dgm:spPr/>
      <dgm:t>
        <a:bodyPr/>
        <a:lstStyle/>
        <a:p>
          <a:pPr algn="l"/>
          <a:r>
            <a:rPr lang="pl-PL" sz="1100" b="1" i="0"/>
            <a:t>Cel strategiczny II - </a:t>
          </a:r>
          <a:r>
            <a:rPr lang="pl-PL" sz="1100" b="1" i="1"/>
            <a:t>Wzrost znaczenia Legnicy jako regionalnego ośrodka edukacji, kultury, turystyki i sportu </a:t>
          </a:r>
        </a:p>
      </dgm:t>
    </dgm:pt>
    <dgm:pt modelId="{E8CA7B54-7803-4A98-8E91-AC69E7BB8B3F}" type="parTrans" cxnId="{091C8CA0-D5E0-4EB3-8E79-F064E7ABD552}">
      <dgm:prSet/>
      <dgm:spPr/>
      <dgm:t>
        <a:bodyPr/>
        <a:lstStyle/>
        <a:p>
          <a:endParaRPr lang="pl-PL"/>
        </a:p>
      </dgm:t>
    </dgm:pt>
    <dgm:pt modelId="{88508BB9-6E98-4A2B-A18E-735717C7B035}" type="sibTrans" cxnId="{091C8CA0-D5E0-4EB3-8E79-F064E7ABD552}">
      <dgm:prSet/>
      <dgm:spPr/>
      <dgm:t>
        <a:bodyPr/>
        <a:lstStyle/>
        <a:p>
          <a:endParaRPr lang="pl-PL"/>
        </a:p>
      </dgm:t>
    </dgm:pt>
    <dgm:pt modelId="{FD26BBC1-262E-447E-9630-D25D847E489A}">
      <dgm:prSet phldrT="[Tekst]" custT="1"/>
      <dgm:spPr/>
      <dgm:t>
        <a:bodyPr/>
        <a:lstStyle/>
        <a:p>
          <a:pPr algn="just"/>
          <a:r>
            <a:rPr lang="pl-PL" sz="1000" b="1"/>
            <a:t>Cel operacyjny II.1 - Dostosowanie oferty edukacyjnej do potrzeb rynku pracy</a:t>
          </a:r>
        </a:p>
      </dgm:t>
    </dgm:pt>
    <dgm:pt modelId="{3BBE964E-4F3B-4941-9693-722120E7B40C}" type="parTrans" cxnId="{E7E37CAF-C766-4F52-B433-289C972359CF}">
      <dgm:prSet/>
      <dgm:spPr/>
      <dgm:t>
        <a:bodyPr/>
        <a:lstStyle/>
        <a:p>
          <a:endParaRPr lang="pl-PL"/>
        </a:p>
      </dgm:t>
    </dgm:pt>
    <dgm:pt modelId="{18773515-0687-4FEE-93CF-3AF003C2FF37}" type="sibTrans" cxnId="{E7E37CAF-C766-4F52-B433-289C972359CF}">
      <dgm:prSet/>
      <dgm:spPr/>
      <dgm:t>
        <a:bodyPr/>
        <a:lstStyle/>
        <a:p>
          <a:endParaRPr lang="pl-PL"/>
        </a:p>
      </dgm:t>
    </dgm:pt>
    <dgm:pt modelId="{54D32593-4879-4F3B-B02D-EDD321134A6C}">
      <dgm:prSet phldrT="[Tekst]"/>
      <dgm:spPr/>
      <dgm:t>
        <a:bodyPr/>
        <a:lstStyle/>
        <a:p>
          <a:pPr algn="just"/>
          <a:r>
            <a:rPr lang="pl-PL" sz="1000" b="1"/>
            <a:t>Cel operacyjny II.2 - Implementacja nowoczesnych technologii </a:t>
          </a:r>
          <a:br>
            <a:rPr lang="pl-PL" sz="1000" b="1"/>
          </a:br>
          <a:r>
            <a:rPr lang="pl-PL" sz="1000" b="1"/>
            <a:t>w edukacji, służąca rozwojowi kompetencji cyfrowych dzieci </a:t>
          </a:r>
          <a:br>
            <a:rPr lang="pl-PL" sz="1000" b="1"/>
          </a:br>
          <a:r>
            <a:rPr lang="pl-PL" sz="1000" b="1"/>
            <a:t>i młodzieży</a:t>
          </a:r>
        </a:p>
      </dgm:t>
    </dgm:pt>
    <dgm:pt modelId="{72AA7E1B-1CD8-40CB-BA12-371B08543895}" type="parTrans" cxnId="{6DC01910-5366-48ED-8A36-C5513E142AB8}">
      <dgm:prSet/>
      <dgm:spPr/>
      <dgm:t>
        <a:bodyPr/>
        <a:lstStyle/>
        <a:p>
          <a:endParaRPr lang="pl-PL"/>
        </a:p>
      </dgm:t>
    </dgm:pt>
    <dgm:pt modelId="{0BB434B1-61CA-4C9B-BE49-EE1CCC77745C}" type="sibTrans" cxnId="{6DC01910-5366-48ED-8A36-C5513E142AB8}">
      <dgm:prSet/>
      <dgm:spPr/>
      <dgm:t>
        <a:bodyPr/>
        <a:lstStyle/>
        <a:p>
          <a:endParaRPr lang="pl-PL"/>
        </a:p>
      </dgm:t>
    </dgm:pt>
    <dgm:pt modelId="{8FECDE86-8410-4C2B-8D22-C8AD16518848}">
      <dgm:prSet phldrT="[Tekst]" custT="1"/>
      <dgm:spPr/>
      <dgm:t>
        <a:bodyPr/>
        <a:lstStyle/>
        <a:p>
          <a:pPr algn="l"/>
          <a:r>
            <a:rPr lang="pl-PL" sz="1100" b="1"/>
            <a:t>Cel strategiczny III - </a:t>
          </a:r>
          <a:r>
            <a:rPr lang="pl-PL" sz="1100" b="1" i="1"/>
            <a:t>Poprawa jakości </a:t>
          </a:r>
          <a:br>
            <a:rPr lang="pl-PL" sz="1100" b="1" i="1"/>
          </a:br>
          <a:r>
            <a:rPr lang="pl-PL" sz="1100" b="1" i="1"/>
            <a:t>i warunków życia Legniczan</a:t>
          </a:r>
        </a:p>
      </dgm:t>
    </dgm:pt>
    <dgm:pt modelId="{BA6B4A75-98B2-4085-9C63-078A9516237B}" type="parTrans" cxnId="{1F5A7BDD-7A67-4709-BE26-CFF9AE2F5C94}">
      <dgm:prSet/>
      <dgm:spPr/>
      <dgm:t>
        <a:bodyPr/>
        <a:lstStyle/>
        <a:p>
          <a:endParaRPr lang="pl-PL"/>
        </a:p>
      </dgm:t>
    </dgm:pt>
    <dgm:pt modelId="{B9F2816C-E273-431B-8DBB-D73A29929FAB}" type="sibTrans" cxnId="{1F5A7BDD-7A67-4709-BE26-CFF9AE2F5C94}">
      <dgm:prSet/>
      <dgm:spPr/>
      <dgm:t>
        <a:bodyPr/>
        <a:lstStyle/>
        <a:p>
          <a:endParaRPr lang="pl-PL"/>
        </a:p>
      </dgm:t>
    </dgm:pt>
    <dgm:pt modelId="{F994C10E-C0F3-4D74-A118-272E61240A22}">
      <dgm:prSet phldrT="[Tekst]" custT="1"/>
      <dgm:spPr/>
      <dgm:t>
        <a:bodyPr/>
        <a:lstStyle/>
        <a:p>
          <a:pPr algn="just"/>
          <a:r>
            <a:rPr lang="pl-PL" sz="1000" b="1" i="0" u="none"/>
            <a:t>Cel operacyjny III.1 - Podniesienie jakości usług społecznych i ochrony zdrowia</a:t>
          </a:r>
          <a:endParaRPr lang="pl-PL" sz="1000"/>
        </a:p>
      </dgm:t>
    </dgm:pt>
    <dgm:pt modelId="{2256222E-47AF-4A84-8941-7CD873AD6EEF}" type="parTrans" cxnId="{675AA978-50F8-491C-8C37-60BD187154B8}">
      <dgm:prSet/>
      <dgm:spPr/>
      <dgm:t>
        <a:bodyPr/>
        <a:lstStyle/>
        <a:p>
          <a:endParaRPr lang="pl-PL"/>
        </a:p>
      </dgm:t>
    </dgm:pt>
    <dgm:pt modelId="{412D3908-8EF4-4673-8968-D5E9F0B887D8}" type="sibTrans" cxnId="{675AA978-50F8-491C-8C37-60BD187154B8}">
      <dgm:prSet/>
      <dgm:spPr/>
      <dgm:t>
        <a:bodyPr/>
        <a:lstStyle/>
        <a:p>
          <a:endParaRPr lang="pl-PL"/>
        </a:p>
      </dgm:t>
    </dgm:pt>
    <dgm:pt modelId="{9D7EB1B5-530A-4D9D-BA61-C7E813A10502}">
      <dgm:prSet phldrT="[Tekst]" custT="1"/>
      <dgm:spPr/>
      <dgm:t>
        <a:bodyPr/>
        <a:lstStyle/>
        <a:p>
          <a:pPr algn="l"/>
          <a:r>
            <a:rPr lang="pl-PL" sz="1100" b="1"/>
            <a:t>Cel strategiczny IV - </a:t>
          </a:r>
          <a:r>
            <a:rPr lang="pl-PL" sz="1100" b="1" i="1"/>
            <a:t>Kształtowanie atrakcyjnej przestrzeni publicznej </a:t>
          </a:r>
          <a:br>
            <a:rPr lang="pl-PL" sz="1100" b="1" i="1"/>
          </a:br>
          <a:r>
            <a:rPr lang="pl-PL" sz="1100" b="1" i="1"/>
            <a:t>i zachowanie obiektów dziedzictwa kulturowego</a:t>
          </a:r>
        </a:p>
      </dgm:t>
    </dgm:pt>
    <dgm:pt modelId="{CB9BD639-6C18-4E4D-A686-14876F463246}" type="parTrans" cxnId="{5FD41CF7-35F0-4BEA-AFF3-0E0AC45BB816}">
      <dgm:prSet/>
      <dgm:spPr/>
      <dgm:t>
        <a:bodyPr/>
        <a:lstStyle/>
        <a:p>
          <a:endParaRPr lang="pl-PL"/>
        </a:p>
      </dgm:t>
    </dgm:pt>
    <dgm:pt modelId="{CEA5B1E5-E55C-4035-B32B-F071F05F6B88}" type="sibTrans" cxnId="{5FD41CF7-35F0-4BEA-AFF3-0E0AC45BB816}">
      <dgm:prSet/>
      <dgm:spPr/>
      <dgm:t>
        <a:bodyPr/>
        <a:lstStyle/>
        <a:p>
          <a:endParaRPr lang="pl-PL"/>
        </a:p>
      </dgm:t>
    </dgm:pt>
    <dgm:pt modelId="{EF32EE0C-3150-4D58-A396-08A507018D12}">
      <dgm:prSet phldrT="[Tekst]" custT="1"/>
      <dgm:spPr/>
      <dgm:t>
        <a:bodyPr/>
        <a:lstStyle/>
        <a:p>
          <a:pPr algn="l"/>
          <a:r>
            <a:rPr lang="pl-PL" sz="1100" b="1"/>
            <a:t>Cel strategiczny V - </a:t>
          </a:r>
          <a:r>
            <a:rPr lang="pl-PL" sz="1100" b="1" i="1"/>
            <a:t>Ochrona</a:t>
          </a:r>
          <a:br>
            <a:rPr lang="pl-PL" sz="1100" b="1" i="1"/>
          </a:br>
          <a:r>
            <a:rPr lang="pl-PL" sz="1100" b="1" i="1"/>
            <a:t> i kształtowanie środowiska przyrodniczego </a:t>
          </a:r>
        </a:p>
      </dgm:t>
    </dgm:pt>
    <dgm:pt modelId="{BEC9B535-7F0A-42AE-A3C9-356AC4CB60FA}" type="parTrans" cxnId="{5AE2C523-7D1A-49C1-9C1C-A9905FC2168A}">
      <dgm:prSet/>
      <dgm:spPr/>
      <dgm:t>
        <a:bodyPr/>
        <a:lstStyle/>
        <a:p>
          <a:endParaRPr lang="pl-PL"/>
        </a:p>
      </dgm:t>
    </dgm:pt>
    <dgm:pt modelId="{01B17AAA-55E0-4289-840B-46C1BE85B17E}" type="sibTrans" cxnId="{5AE2C523-7D1A-49C1-9C1C-A9905FC2168A}">
      <dgm:prSet/>
      <dgm:spPr/>
      <dgm:t>
        <a:bodyPr/>
        <a:lstStyle/>
        <a:p>
          <a:endParaRPr lang="pl-PL"/>
        </a:p>
      </dgm:t>
    </dgm:pt>
    <dgm:pt modelId="{78CDCBE6-586B-4188-ACED-FBA6EB4C8AA4}">
      <dgm:prSet phldrT="[Tekst]" custT="1"/>
      <dgm:spPr/>
      <dgm:t>
        <a:bodyPr/>
        <a:lstStyle/>
        <a:p>
          <a:pPr algn="just"/>
          <a:r>
            <a:rPr lang="pl-PL" sz="1000" b="1" i="0" u="none"/>
            <a:t>Cel operacyjny IV.1 - Rozwój przestrzeni publicznych sprzyjających aktywizacji lokalnych społeczności</a:t>
          </a:r>
          <a:endParaRPr lang="pl-PL" sz="1000"/>
        </a:p>
      </dgm:t>
    </dgm:pt>
    <dgm:pt modelId="{4B638DC5-D29C-44FC-A142-D77AC19B0FA7}" type="parTrans" cxnId="{0006314A-09B9-4436-B6B5-723DDFC28098}">
      <dgm:prSet/>
      <dgm:spPr/>
      <dgm:t>
        <a:bodyPr/>
        <a:lstStyle/>
        <a:p>
          <a:endParaRPr lang="pl-PL"/>
        </a:p>
      </dgm:t>
    </dgm:pt>
    <dgm:pt modelId="{8E0877B2-521F-45BF-8591-7B1CD34A0572}" type="sibTrans" cxnId="{0006314A-09B9-4436-B6B5-723DDFC28098}">
      <dgm:prSet/>
      <dgm:spPr/>
      <dgm:t>
        <a:bodyPr/>
        <a:lstStyle/>
        <a:p>
          <a:endParaRPr lang="pl-PL"/>
        </a:p>
      </dgm:t>
    </dgm:pt>
    <dgm:pt modelId="{F6E969E9-4489-46DC-82F9-EA1FF893F6DB}">
      <dgm:prSet phldrT="[Tekst]" custT="1"/>
      <dgm:spPr/>
      <dgm:t>
        <a:bodyPr/>
        <a:lstStyle/>
        <a:p>
          <a:pPr algn="just"/>
          <a:r>
            <a:rPr lang="pl-PL" sz="1000" b="1"/>
            <a:t>Cel operacyjny I.3 - Rozwój technologii oraz usług publicznych</a:t>
          </a:r>
          <a:br>
            <a:rPr lang="pl-PL" sz="1000" b="1"/>
          </a:br>
          <a:r>
            <a:rPr lang="pl-PL" sz="1000" b="1"/>
            <a:t> i komercyjnych świadczonych elektronicznie</a:t>
          </a:r>
        </a:p>
      </dgm:t>
    </dgm:pt>
    <dgm:pt modelId="{BEEB863F-63F1-417B-AD1E-6C156FABA2DF}" type="parTrans" cxnId="{E6F22254-FABB-4112-B56D-E2C64EB94B04}">
      <dgm:prSet/>
      <dgm:spPr/>
      <dgm:t>
        <a:bodyPr/>
        <a:lstStyle/>
        <a:p>
          <a:endParaRPr lang="pl-PL"/>
        </a:p>
      </dgm:t>
    </dgm:pt>
    <dgm:pt modelId="{C1234251-DCCD-40A2-888F-4275EED69E9B}" type="sibTrans" cxnId="{E6F22254-FABB-4112-B56D-E2C64EB94B04}">
      <dgm:prSet/>
      <dgm:spPr/>
      <dgm:t>
        <a:bodyPr/>
        <a:lstStyle/>
        <a:p>
          <a:endParaRPr lang="pl-PL"/>
        </a:p>
      </dgm:t>
    </dgm:pt>
    <dgm:pt modelId="{4A22EC92-615C-4A4A-BF57-AC6A5DB534DB}">
      <dgm:prSet phldrT="[Tekst]" custT="1"/>
      <dgm:spPr/>
      <dgm:t>
        <a:bodyPr/>
        <a:lstStyle/>
        <a:p>
          <a:pPr algn="just"/>
          <a:r>
            <a:rPr lang="pl-PL" sz="1000" b="1"/>
            <a:t>Cel operacyjny I.4 - Tworzenie "klimatu dla biznesu" - Legnica centrum konferencyjno-biznesowym</a:t>
          </a:r>
        </a:p>
      </dgm:t>
    </dgm:pt>
    <dgm:pt modelId="{BBAF9286-C033-4BCE-B9F0-9AD49BB22F62}" type="parTrans" cxnId="{4D4F9569-5A8F-4098-BA0B-3181AAAC3DCB}">
      <dgm:prSet/>
      <dgm:spPr/>
      <dgm:t>
        <a:bodyPr/>
        <a:lstStyle/>
        <a:p>
          <a:endParaRPr lang="pl-PL"/>
        </a:p>
      </dgm:t>
    </dgm:pt>
    <dgm:pt modelId="{2A4DD634-2CF5-474C-B189-AB98BFE326B3}" type="sibTrans" cxnId="{4D4F9569-5A8F-4098-BA0B-3181AAAC3DCB}">
      <dgm:prSet/>
      <dgm:spPr/>
      <dgm:t>
        <a:bodyPr/>
        <a:lstStyle/>
        <a:p>
          <a:endParaRPr lang="pl-PL"/>
        </a:p>
      </dgm:t>
    </dgm:pt>
    <dgm:pt modelId="{420287A3-196B-494D-910C-1032AB0E1290}">
      <dgm:prSet phldrT="[Tekst]" custT="1"/>
      <dgm:spPr/>
      <dgm:t>
        <a:bodyPr/>
        <a:lstStyle/>
        <a:p>
          <a:pPr algn="just"/>
          <a:r>
            <a:rPr lang="pl-PL" sz="1000" b="1"/>
            <a:t>Cel operacyjny II.3 - Rozbudowa oferty pozalekcyjnej i pozaszkolnej dla dzieci i młodzieży</a:t>
          </a:r>
        </a:p>
      </dgm:t>
    </dgm:pt>
    <dgm:pt modelId="{C9446040-10F6-458C-9A18-E9E9277308E5}" type="parTrans" cxnId="{959E0D4B-00BC-4703-A1D2-2CDF2CAA349A}">
      <dgm:prSet/>
      <dgm:spPr/>
      <dgm:t>
        <a:bodyPr/>
        <a:lstStyle/>
        <a:p>
          <a:endParaRPr lang="pl-PL"/>
        </a:p>
      </dgm:t>
    </dgm:pt>
    <dgm:pt modelId="{5321FECA-115A-4B7C-AE98-07C9987F0533}" type="sibTrans" cxnId="{959E0D4B-00BC-4703-A1D2-2CDF2CAA349A}">
      <dgm:prSet/>
      <dgm:spPr/>
      <dgm:t>
        <a:bodyPr/>
        <a:lstStyle/>
        <a:p>
          <a:endParaRPr lang="pl-PL"/>
        </a:p>
      </dgm:t>
    </dgm:pt>
    <dgm:pt modelId="{B8DB1F22-34D4-471F-B5F3-8C96F61F9E20}">
      <dgm:prSet phldrT="[Tekst]" custT="1"/>
      <dgm:spPr/>
      <dgm:t>
        <a:bodyPr/>
        <a:lstStyle/>
        <a:p>
          <a:pPr algn="just"/>
          <a:r>
            <a:rPr lang="pl-PL" sz="1000" b="1" i="0" u="none"/>
            <a:t>Cel operacyjny II.4 - Rozwój edukacji ustawicznej i innych form podnoszenia kwalifikacji dla osób pozostających na rynku pracy</a:t>
          </a:r>
          <a:endParaRPr lang="pl-PL" sz="1000"/>
        </a:p>
      </dgm:t>
    </dgm:pt>
    <dgm:pt modelId="{2E1CCAE4-0FE5-4E59-8EE3-D918F0D3E3AE}" type="parTrans" cxnId="{40EE095C-88EE-47BB-8D70-CB41B7E49E30}">
      <dgm:prSet/>
      <dgm:spPr/>
      <dgm:t>
        <a:bodyPr/>
        <a:lstStyle/>
        <a:p>
          <a:endParaRPr lang="pl-PL"/>
        </a:p>
      </dgm:t>
    </dgm:pt>
    <dgm:pt modelId="{FEF02D2A-BA16-4AF2-A13F-8FFF1992000A}" type="sibTrans" cxnId="{40EE095C-88EE-47BB-8D70-CB41B7E49E30}">
      <dgm:prSet/>
      <dgm:spPr/>
      <dgm:t>
        <a:bodyPr/>
        <a:lstStyle/>
        <a:p>
          <a:endParaRPr lang="pl-PL"/>
        </a:p>
      </dgm:t>
    </dgm:pt>
    <dgm:pt modelId="{0F171B99-795F-40E4-B3D8-9B49F1D40CD2}">
      <dgm:prSet phldrT="[Tekst]" custT="1"/>
      <dgm:spPr/>
      <dgm:t>
        <a:bodyPr/>
        <a:lstStyle/>
        <a:p>
          <a:pPr algn="just"/>
          <a:r>
            <a:rPr lang="pl-PL" sz="1000" b="1" i="0" u="none"/>
            <a:t>Cel operacyjny II.5 - Rozwój infrastruktury usług kultury, turystyki i sportu o znaczeniu ponadlokalnym</a:t>
          </a:r>
          <a:endParaRPr lang="pl-PL" sz="1000"/>
        </a:p>
      </dgm:t>
    </dgm:pt>
    <dgm:pt modelId="{C8EEC59D-5DBE-48CA-BFF8-783209481E8E}" type="parTrans" cxnId="{F88FA627-DFF3-469B-AB5B-2EA4DE7B7A6E}">
      <dgm:prSet/>
      <dgm:spPr/>
      <dgm:t>
        <a:bodyPr/>
        <a:lstStyle/>
        <a:p>
          <a:endParaRPr lang="pl-PL"/>
        </a:p>
      </dgm:t>
    </dgm:pt>
    <dgm:pt modelId="{0E277F07-6224-454F-B6CD-1160A645FC75}" type="sibTrans" cxnId="{F88FA627-DFF3-469B-AB5B-2EA4DE7B7A6E}">
      <dgm:prSet/>
      <dgm:spPr/>
      <dgm:t>
        <a:bodyPr/>
        <a:lstStyle/>
        <a:p>
          <a:endParaRPr lang="pl-PL"/>
        </a:p>
      </dgm:t>
    </dgm:pt>
    <dgm:pt modelId="{6500B96C-9B2B-4D93-9703-21DFE9244C13}">
      <dgm:prSet phldrT="[Tekst]" custT="1"/>
      <dgm:spPr/>
      <dgm:t>
        <a:bodyPr/>
        <a:lstStyle/>
        <a:p>
          <a:pPr algn="just"/>
          <a:r>
            <a:rPr lang="pl-PL" sz="1000" b="1" i="0" u="none"/>
            <a:t>Cel operacyjny II.6 - Kulturalna i sportowa aktywizacja dzieci</a:t>
          </a:r>
          <a:br>
            <a:rPr lang="pl-PL" sz="1000" b="1" i="0" u="none"/>
          </a:br>
          <a:r>
            <a:rPr lang="pl-PL" sz="1000" b="1" i="0" u="none"/>
            <a:t> i młodzieży, w tym szczególnie młodzieży akademickiej</a:t>
          </a:r>
          <a:endParaRPr lang="pl-PL" sz="1000"/>
        </a:p>
      </dgm:t>
    </dgm:pt>
    <dgm:pt modelId="{2A541F79-8265-48EC-8D2F-E9D1294300CA}" type="parTrans" cxnId="{20D48552-7BE7-4723-921E-47A7AD1587A7}">
      <dgm:prSet/>
      <dgm:spPr/>
      <dgm:t>
        <a:bodyPr/>
        <a:lstStyle/>
        <a:p>
          <a:endParaRPr lang="pl-PL"/>
        </a:p>
      </dgm:t>
    </dgm:pt>
    <dgm:pt modelId="{02BB50C1-C191-4A6E-B108-37474DC8C625}" type="sibTrans" cxnId="{20D48552-7BE7-4723-921E-47A7AD1587A7}">
      <dgm:prSet/>
      <dgm:spPr/>
      <dgm:t>
        <a:bodyPr/>
        <a:lstStyle/>
        <a:p>
          <a:endParaRPr lang="pl-PL"/>
        </a:p>
      </dgm:t>
    </dgm:pt>
    <dgm:pt modelId="{8886DD8F-477D-4955-98AD-7D6FD611EAD7}">
      <dgm:prSet phldrT="[Tekst]" custT="1"/>
      <dgm:spPr/>
      <dgm:t>
        <a:bodyPr/>
        <a:lstStyle/>
        <a:p>
          <a:pPr algn="just"/>
          <a:r>
            <a:rPr lang="pl-PL" sz="1000" b="1" i="0" u="none"/>
            <a:t>Cel operacyjny II.7 - Wykorzystanie technologii teleinfromatycznych </a:t>
          </a:r>
          <a:br>
            <a:rPr lang="pl-PL" sz="1000" b="1" i="0" u="none"/>
          </a:br>
          <a:r>
            <a:rPr lang="pl-PL" sz="1000" b="1" i="0" u="none"/>
            <a:t>w rozwoju usług kultury i jej promocji</a:t>
          </a:r>
          <a:endParaRPr lang="pl-PL" sz="1000"/>
        </a:p>
      </dgm:t>
    </dgm:pt>
    <dgm:pt modelId="{A10101D9-ADB6-411C-AB6C-583167552634}" type="parTrans" cxnId="{D090E2F5-D491-49A2-9D27-39D9E6B1003E}">
      <dgm:prSet/>
      <dgm:spPr/>
      <dgm:t>
        <a:bodyPr/>
        <a:lstStyle/>
        <a:p>
          <a:endParaRPr lang="pl-PL"/>
        </a:p>
      </dgm:t>
    </dgm:pt>
    <dgm:pt modelId="{B1106687-E073-4846-BB3C-BCA672C636C4}" type="sibTrans" cxnId="{D090E2F5-D491-49A2-9D27-39D9E6B1003E}">
      <dgm:prSet/>
      <dgm:spPr/>
      <dgm:t>
        <a:bodyPr/>
        <a:lstStyle/>
        <a:p>
          <a:endParaRPr lang="pl-PL"/>
        </a:p>
      </dgm:t>
    </dgm:pt>
    <dgm:pt modelId="{244BFD8E-D3A9-49EC-914C-AE082E770032}">
      <dgm:prSet phldrT="[Tekst]" custT="1"/>
      <dgm:spPr/>
      <dgm:t>
        <a:bodyPr/>
        <a:lstStyle/>
        <a:p>
          <a:pPr algn="just"/>
          <a:r>
            <a:rPr lang="pl-PL" sz="1000" b="1" i="0" u="none"/>
            <a:t>Cel operacyjny II.8 - Wspieranie kultury i edukacji mniejszości narodowych jako ważnego elementu atrakcyjności miasta</a:t>
          </a:r>
          <a:endParaRPr lang="pl-PL" sz="1000"/>
        </a:p>
      </dgm:t>
    </dgm:pt>
    <dgm:pt modelId="{3CF6C938-8C63-4B47-9B86-020AFD0B24B1}" type="parTrans" cxnId="{C06C7F91-B56C-43DE-BCFC-1BB4C8154B28}">
      <dgm:prSet/>
      <dgm:spPr/>
      <dgm:t>
        <a:bodyPr/>
        <a:lstStyle/>
        <a:p>
          <a:endParaRPr lang="pl-PL"/>
        </a:p>
      </dgm:t>
    </dgm:pt>
    <dgm:pt modelId="{F1080D90-E816-4B91-B3D8-CD516275FD58}" type="sibTrans" cxnId="{C06C7F91-B56C-43DE-BCFC-1BB4C8154B28}">
      <dgm:prSet/>
      <dgm:spPr/>
      <dgm:t>
        <a:bodyPr/>
        <a:lstStyle/>
        <a:p>
          <a:endParaRPr lang="pl-PL"/>
        </a:p>
      </dgm:t>
    </dgm:pt>
    <dgm:pt modelId="{F8D27C62-FD6C-47E3-9C6E-4A3317D45F60}">
      <dgm:prSet phldrT="[Tekst]" custT="1"/>
      <dgm:spPr/>
      <dgm:t>
        <a:bodyPr/>
        <a:lstStyle/>
        <a:p>
          <a:pPr algn="just"/>
          <a:r>
            <a:rPr lang="pl-PL" sz="1000" b="1" i="0" u="none"/>
            <a:t>Cel operacyjny III.3 -Zapewnienie bezpieczeństwa mieszkańcom </a:t>
          </a:r>
          <a:br>
            <a:rPr lang="pl-PL" sz="1000" b="1" i="0" u="none"/>
          </a:br>
          <a:r>
            <a:rPr lang="pl-PL" sz="1000" b="1" i="0" u="none"/>
            <a:t>i ich mieniu</a:t>
          </a:r>
          <a:endParaRPr lang="pl-PL" sz="1000"/>
        </a:p>
      </dgm:t>
    </dgm:pt>
    <dgm:pt modelId="{F04EB39D-99A3-4485-AEDA-6EC9BDC1EFE1}" type="parTrans" cxnId="{4123281A-A0A4-4293-B347-D5B9076C6466}">
      <dgm:prSet/>
      <dgm:spPr/>
      <dgm:t>
        <a:bodyPr/>
        <a:lstStyle/>
        <a:p>
          <a:endParaRPr lang="pl-PL"/>
        </a:p>
      </dgm:t>
    </dgm:pt>
    <dgm:pt modelId="{2248A7BC-ED35-4F17-9591-A1F102644815}" type="sibTrans" cxnId="{4123281A-A0A4-4293-B347-D5B9076C6466}">
      <dgm:prSet/>
      <dgm:spPr/>
      <dgm:t>
        <a:bodyPr/>
        <a:lstStyle/>
        <a:p>
          <a:endParaRPr lang="pl-PL"/>
        </a:p>
      </dgm:t>
    </dgm:pt>
    <dgm:pt modelId="{BA0D8555-4D73-4B75-ABFC-D83BEF3E7DD0}">
      <dgm:prSet phldrT="[Tekst]" custT="1"/>
      <dgm:spPr/>
      <dgm:t>
        <a:bodyPr/>
        <a:lstStyle/>
        <a:p>
          <a:pPr algn="just"/>
          <a:r>
            <a:rPr lang="pl-PL" sz="1000" b="1" i="0" u="none"/>
            <a:t>Cel operacyjny IV.2 - Rewitalizacja obszarów zdegradowanych</a:t>
          </a:r>
          <a:endParaRPr lang="pl-PL" sz="1000"/>
        </a:p>
      </dgm:t>
    </dgm:pt>
    <dgm:pt modelId="{01999060-2D40-4166-8110-9542881346A9}" type="parTrans" cxnId="{CE0D6F59-17F8-4AE7-BB05-B6E55C8CF811}">
      <dgm:prSet/>
      <dgm:spPr/>
      <dgm:t>
        <a:bodyPr/>
        <a:lstStyle/>
        <a:p>
          <a:endParaRPr lang="pl-PL"/>
        </a:p>
      </dgm:t>
    </dgm:pt>
    <dgm:pt modelId="{BDDA4096-1EF4-4AF6-885E-37B9F725CE60}" type="sibTrans" cxnId="{CE0D6F59-17F8-4AE7-BB05-B6E55C8CF811}">
      <dgm:prSet/>
      <dgm:spPr/>
      <dgm:t>
        <a:bodyPr/>
        <a:lstStyle/>
        <a:p>
          <a:endParaRPr lang="pl-PL"/>
        </a:p>
      </dgm:t>
    </dgm:pt>
    <dgm:pt modelId="{B39C1FD3-3D9C-4C8A-864B-875DE4281C54}">
      <dgm:prSet phldrT="[Tekst]" custT="1"/>
      <dgm:spPr/>
      <dgm:t>
        <a:bodyPr/>
        <a:lstStyle/>
        <a:p>
          <a:pPr algn="just"/>
          <a:r>
            <a:rPr lang="pl-PL" sz="1000" b="1" i="0" u="none"/>
            <a:t>Cel operacyjny IV.3 - Ochrona i adaptacja obiektów o wysokiej wartości architektonicznej i historycznej na potrzeby usług publicznych i rozwoju turystyki</a:t>
          </a:r>
          <a:endParaRPr lang="pl-PL" sz="1000"/>
        </a:p>
      </dgm:t>
    </dgm:pt>
    <dgm:pt modelId="{7DACE564-16EF-4F28-8327-9A2CBE491E5E}" type="parTrans" cxnId="{C1E3C5D4-A8EC-4C41-BB10-4BF77375A312}">
      <dgm:prSet/>
      <dgm:spPr/>
      <dgm:t>
        <a:bodyPr/>
        <a:lstStyle/>
        <a:p>
          <a:endParaRPr lang="pl-PL"/>
        </a:p>
      </dgm:t>
    </dgm:pt>
    <dgm:pt modelId="{CA1F75A1-5CC7-456A-9127-3D7DB81BC7A9}" type="sibTrans" cxnId="{C1E3C5D4-A8EC-4C41-BB10-4BF77375A312}">
      <dgm:prSet/>
      <dgm:spPr/>
      <dgm:t>
        <a:bodyPr/>
        <a:lstStyle/>
        <a:p>
          <a:endParaRPr lang="pl-PL"/>
        </a:p>
      </dgm:t>
    </dgm:pt>
    <dgm:pt modelId="{4EFAC92F-B4B7-40E9-8255-2A2B5407BF4A}">
      <dgm:prSet phldrT="[Tekst]" custT="1"/>
      <dgm:spPr/>
      <dgm:t>
        <a:bodyPr/>
        <a:lstStyle/>
        <a:p>
          <a:pPr algn="just"/>
          <a:r>
            <a:rPr lang="pl-PL" sz="1000" b="1" i="0" u="none"/>
            <a:t>Cel operacyjny V.1 -  Ochrona terenów cennych przyrodniczo i ich adaptacja na potrzeby edukacyjne  oraz adaptacja zaniedbanych terenów zieleni na potrzeby rekreacji</a:t>
          </a:r>
          <a:endParaRPr lang="pl-PL" sz="1000"/>
        </a:p>
      </dgm:t>
    </dgm:pt>
    <dgm:pt modelId="{AC2A923E-1D81-48D5-8AD1-2FD23C9FE1BA}" type="parTrans" cxnId="{F3EB3AEA-B901-4B17-A5A2-479167B626F7}">
      <dgm:prSet/>
      <dgm:spPr/>
      <dgm:t>
        <a:bodyPr/>
        <a:lstStyle/>
        <a:p>
          <a:endParaRPr lang="pl-PL"/>
        </a:p>
      </dgm:t>
    </dgm:pt>
    <dgm:pt modelId="{445A30CC-98FC-47DB-A6C5-47813113AC02}" type="sibTrans" cxnId="{F3EB3AEA-B901-4B17-A5A2-479167B626F7}">
      <dgm:prSet/>
      <dgm:spPr/>
      <dgm:t>
        <a:bodyPr/>
        <a:lstStyle/>
        <a:p>
          <a:endParaRPr lang="pl-PL"/>
        </a:p>
      </dgm:t>
    </dgm:pt>
    <dgm:pt modelId="{9950BA9D-E6BB-4F4D-B1D4-5E1DA449336A}">
      <dgm:prSet phldrT="[Tekst]" custT="1"/>
      <dgm:spPr/>
      <dgm:t>
        <a:bodyPr/>
        <a:lstStyle/>
        <a:p>
          <a:pPr algn="just"/>
          <a:r>
            <a:rPr lang="pl-PL" sz="1000" b="1" i="0" u="none"/>
            <a:t>Cel operacyjny V.2 - Zintegrowanie i wzmocnienie systemów przeciwdziałania oraz ograniczania skutków powodzi i innych zjawisk ekstremalnych</a:t>
          </a:r>
          <a:endParaRPr lang="pl-PL" sz="1000"/>
        </a:p>
      </dgm:t>
    </dgm:pt>
    <dgm:pt modelId="{A288ED34-F2BB-4E84-B287-54E6DA11E889}" type="parTrans" cxnId="{1BB8549D-FE2C-4505-879D-2BC5B8BDB01E}">
      <dgm:prSet/>
      <dgm:spPr/>
      <dgm:t>
        <a:bodyPr/>
        <a:lstStyle/>
        <a:p>
          <a:endParaRPr lang="pl-PL"/>
        </a:p>
      </dgm:t>
    </dgm:pt>
    <dgm:pt modelId="{53915692-82F7-4477-B4EB-6790E27FE471}" type="sibTrans" cxnId="{1BB8549D-FE2C-4505-879D-2BC5B8BDB01E}">
      <dgm:prSet/>
      <dgm:spPr/>
      <dgm:t>
        <a:bodyPr/>
        <a:lstStyle/>
        <a:p>
          <a:endParaRPr lang="pl-PL"/>
        </a:p>
      </dgm:t>
    </dgm:pt>
    <dgm:pt modelId="{63C4B6C3-C4E9-4540-BE2B-1ADB2B893613}">
      <dgm:prSet phldrT="[Tekst]" custT="1"/>
      <dgm:spPr/>
      <dgm:t>
        <a:bodyPr/>
        <a:lstStyle/>
        <a:p>
          <a:pPr algn="just"/>
          <a:r>
            <a:rPr lang="pl-PL" sz="1000" b="1" i="0" u="none"/>
            <a:t>Cel operacyjny V.3 - Zwiększenie wykorzystania technologii efektywnych energetycznie i rozwiązań służących ograniczeniu emisji zanieczyszczeń i substancji szkodliwych, w tym CO₂</a:t>
          </a:r>
          <a:endParaRPr lang="pl-PL" sz="1000"/>
        </a:p>
      </dgm:t>
    </dgm:pt>
    <dgm:pt modelId="{9651923B-AAC7-4745-851E-B80ED139E09A}" type="parTrans" cxnId="{A1EAFAAE-5236-443A-B0B9-700EA88E0A59}">
      <dgm:prSet/>
      <dgm:spPr/>
      <dgm:t>
        <a:bodyPr/>
        <a:lstStyle/>
        <a:p>
          <a:endParaRPr lang="pl-PL"/>
        </a:p>
      </dgm:t>
    </dgm:pt>
    <dgm:pt modelId="{EB074CCF-C8A6-4E7A-A02D-4D3CC83822CA}" type="sibTrans" cxnId="{A1EAFAAE-5236-443A-B0B9-700EA88E0A59}">
      <dgm:prSet/>
      <dgm:spPr/>
      <dgm:t>
        <a:bodyPr/>
        <a:lstStyle/>
        <a:p>
          <a:endParaRPr lang="pl-PL"/>
        </a:p>
      </dgm:t>
    </dgm:pt>
    <dgm:pt modelId="{8D3AC65A-6E55-4F62-9E29-9BE345B78B22}">
      <dgm:prSet phldrT="[Tekst]" custT="1"/>
      <dgm:spPr/>
      <dgm:t>
        <a:bodyPr/>
        <a:lstStyle/>
        <a:p>
          <a:pPr algn="just"/>
          <a:r>
            <a:rPr lang="pl-PL" sz="1000" b="1" i="0" u="none"/>
            <a:t>Cel operacyjny V.4 - Kształtowanie świadomości ekologicznej mieszkańców</a:t>
          </a:r>
          <a:endParaRPr lang="pl-PL" sz="1000"/>
        </a:p>
      </dgm:t>
    </dgm:pt>
    <dgm:pt modelId="{207C8447-8A45-4D45-8ED6-50A8D5885BA2}" type="parTrans" cxnId="{8EFEC50A-2CEC-48CF-87C8-11AB5B8CDC7E}">
      <dgm:prSet/>
      <dgm:spPr/>
      <dgm:t>
        <a:bodyPr/>
        <a:lstStyle/>
        <a:p>
          <a:endParaRPr lang="pl-PL"/>
        </a:p>
      </dgm:t>
    </dgm:pt>
    <dgm:pt modelId="{7D0E8D12-4207-4331-8924-61FDC7F35AFC}" type="sibTrans" cxnId="{8EFEC50A-2CEC-48CF-87C8-11AB5B8CDC7E}">
      <dgm:prSet/>
      <dgm:spPr/>
      <dgm:t>
        <a:bodyPr/>
        <a:lstStyle/>
        <a:p>
          <a:endParaRPr lang="pl-PL"/>
        </a:p>
      </dgm:t>
    </dgm:pt>
    <dgm:pt modelId="{673AAB50-B15F-4C9F-82B9-F57AC3EEDEC6}">
      <dgm:prSet phldrT="[Tekst]" custT="1"/>
      <dgm:spPr/>
      <dgm:t>
        <a:bodyPr/>
        <a:lstStyle/>
        <a:p>
          <a:pPr algn="just"/>
          <a:r>
            <a:rPr lang="pl-PL" sz="1000" b="1" i="0" u="none"/>
            <a:t>Cel operacyjny V.5 - Rozwój infrastruktury dla gospodarki odpadami</a:t>
          </a:r>
          <a:endParaRPr lang="pl-PL" sz="1000"/>
        </a:p>
      </dgm:t>
    </dgm:pt>
    <dgm:pt modelId="{C89C24A3-21BD-41D2-BEB9-99E1CE288492}" type="parTrans" cxnId="{1E45721E-2F3D-4DEC-B2E7-BA1B105C1FC9}">
      <dgm:prSet/>
      <dgm:spPr/>
      <dgm:t>
        <a:bodyPr/>
        <a:lstStyle/>
        <a:p>
          <a:endParaRPr lang="pl-PL"/>
        </a:p>
      </dgm:t>
    </dgm:pt>
    <dgm:pt modelId="{3E408248-BB96-471E-B147-66B9AC42ED08}" type="sibTrans" cxnId="{1E45721E-2F3D-4DEC-B2E7-BA1B105C1FC9}">
      <dgm:prSet/>
      <dgm:spPr/>
      <dgm:t>
        <a:bodyPr/>
        <a:lstStyle/>
        <a:p>
          <a:endParaRPr lang="pl-PL"/>
        </a:p>
      </dgm:t>
    </dgm:pt>
    <dgm:pt modelId="{46B08B2D-A604-499F-87F7-D7FD5799082E}">
      <dgm:prSet phldrT="[Tekst]" custT="1"/>
      <dgm:spPr/>
      <dgm:t>
        <a:bodyPr/>
        <a:lstStyle/>
        <a:p>
          <a:pPr algn="just"/>
          <a:r>
            <a:rPr lang="pl-PL" sz="1000" b="1" i="0" u="none"/>
            <a:t>Cel operacyjny III.2 - Rozwój oferty i infrastruktury dla osób starszych </a:t>
          </a:r>
          <a:endParaRPr lang="pl-PL" sz="1000"/>
        </a:p>
      </dgm:t>
    </dgm:pt>
    <dgm:pt modelId="{A147E777-5649-45E4-94C4-432611D15263}" type="parTrans" cxnId="{05A7DE65-680A-4AC8-B946-5DDF031F7020}">
      <dgm:prSet/>
      <dgm:spPr/>
      <dgm:t>
        <a:bodyPr/>
        <a:lstStyle/>
        <a:p>
          <a:endParaRPr lang="pl-PL"/>
        </a:p>
      </dgm:t>
    </dgm:pt>
    <dgm:pt modelId="{3F2063A1-D77C-4B8B-B8F7-44D7368F775D}" type="sibTrans" cxnId="{05A7DE65-680A-4AC8-B946-5DDF031F7020}">
      <dgm:prSet/>
      <dgm:spPr/>
      <dgm:t>
        <a:bodyPr/>
        <a:lstStyle/>
        <a:p>
          <a:endParaRPr lang="pl-PL"/>
        </a:p>
      </dgm:t>
    </dgm:pt>
    <dgm:pt modelId="{0529CBD7-7633-48CF-B036-A6F4B6153DC2}">
      <dgm:prSet phldrT="[Tekst]" custT="1"/>
      <dgm:spPr/>
      <dgm:t>
        <a:bodyPr/>
        <a:lstStyle/>
        <a:p>
          <a:pPr algn="just"/>
          <a:r>
            <a:rPr lang="pl-PL" sz="1000" b="1" i="0" u="none"/>
            <a:t>Cel operacyjny III.5 - Modernizacja i rozwój infrastruktury</a:t>
          </a:r>
          <a:br>
            <a:rPr lang="pl-PL" sz="1000" b="1" i="0" u="none"/>
          </a:br>
          <a:r>
            <a:rPr lang="pl-PL" sz="1000" b="1" i="0" u="none"/>
            <a:t> technicznej i zarządzania usługami komunalnymi</a:t>
          </a:r>
          <a:endParaRPr lang="pl-PL" sz="1000"/>
        </a:p>
      </dgm:t>
    </dgm:pt>
    <dgm:pt modelId="{119114E9-4747-40D8-96D7-DF9B13604F86}" type="parTrans" cxnId="{634FC4E6-530A-46A3-9A49-E330B623A60B}">
      <dgm:prSet/>
      <dgm:spPr/>
      <dgm:t>
        <a:bodyPr/>
        <a:lstStyle/>
        <a:p>
          <a:endParaRPr lang="pl-PL"/>
        </a:p>
      </dgm:t>
    </dgm:pt>
    <dgm:pt modelId="{AE8E0378-DE6B-4C84-A171-58566B74202C}" type="sibTrans" cxnId="{634FC4E6-530A-46A3-9A49-E330B623A60B}">
      <dgm:prSet/>
      <dgm:spPr/>
      <dgm:t>
        <a:bodyPr/>
        <a:lstStyle/>
        <a:p>
          <a:endParaRPr lang="pl-PL"/>
        </a:p>
      </dgm:t>
    </dgm:pt>
    <dgm:pt modelId="{77A6FEAB-9040-4412-A6D6-B8B2654D1936}">
      <dgm:prSet phldrT="[Tekst]" custT="1"/>
      <dgm:spPr/>
      <dgm:t>
        <a:bodyPr/>
        <a:lstStyle/>
        <a:p>
          <a:pPr algn="just"/>
          <a:r>
            <a:rPr lang="pl-PL" sz="1000" b="1" i="0" u="none"/>
            <a:t>Cel operacyjny III.4  - Modernizacja wewnętrznego układu komunikacyjnego</a:t>
          </a:r>
          <a:endParaRPr lang="pl-PL" sz="1000"/>
        </a:p>
      </dgm:t>
    </dgm:pt>
    <dgm:pt modelId="{2E286622-95A3-41AF-BA67-BF6CB9538082}" type="parTrans" cxnId="{5335166D-822C-4A1E-9533-6AFBA82E80D9}">
      <dgm:prSet/>
      <dgm:spPr/>
      <dgm:t>
        <a:bodyPr/>
        <a:lstStyle/>
        <a:p>
          <a:endParaRPr lang="pl-PL"/>
        </a:p>
      </dgm:t>
    </dgm:pt>
    <dgm:pt modelId="{8CBEE44F-4158-41A7-BA0D-AE2DDFA3CE2E}" type="sibTrans" cxnId="{5335166D-822C-4A1E-9533-6AFBA82E80D9}">
      <dgm:prSet/>
      <dgm:spPr/>
      <dgm:t>
        <a:bodyPr/>
        <a:lstStyle/>
        <a:p>
          <a:endParaRPr lang="pl-PL"/>
        </a:p>
      </dgm:t>
    </dgm:pt>
    <dgm:pt modelId="{9B3A9BE2-86C5-4462-AB71-7A58B852F273}" type="pres">
      <dgm:prSet presAssocID="{0499EBFF-DDAD-435F-8A66-54730B61CE1C}" presName="Name0" presStyleCnt="0">
        <dgm:presLayoutVars>
          <dgm:dir/>
          <dgm:animLvl val="lvl"/>
          <dgm:resizeHandles val="exact"/>
        </dgm:presLayoutVars>
      </dgm:prSet>
      <dgm:spPr/>
      <dgm:t>
        <a:bodyPr/>
        <a:lstStyle/>
        <a:p>
          <a:endParaRPr lang="pl-PL"/>
        </a:p>
      </dgm:t>
    </dgm:pt>
    <dgm:pt modelId="{CF2E420F-5439-41A0-ADF4-0AABC184A459}" type="pres">
      <dgm:prSet presAssocID="{E431E831-154D-4A9A-9CCF-60410F831BBA}" presName="linNode" presStyleCnt="0"/>
      <dgm:spPr/>
    </dgm:pt>
    <dgm:pt modelId="{F1C0823C-FB88-48C1-A013-749C90A40A7A}" type="pres">
      <dgm:prSet presAssocID="{E431E831-154D-4A9A-9CCF-60410F831BBA}" presName="parTx" presStyleLbl="revTx" presStyleIdx="0" presStyleCnt="5">
        <dgm:presLayoutVars>
          <dgm:chMax val="1"/>
          <dgm:bulletEnabled val="1"/>
        </dgm:presLayoutVars>
      </dgm:prSet>
      <dgm:spPr/>
      <dgm:t>
        <a:bodyPr/>
        <a:lstStyle/>
        <a:p>
          <a:endParaRPr lang="pl-PL"/>
        </a:p>
      </dgm:t>
    </dgm:pt>
    <dgm:pt modelId="{35751DF6-74B7-4174-A7B3-1FF68B260B33}" type="pres">
      <dgm:prSet presAssocID="{E431E831-154D-4A9A-9CCF-60410F831BBA}" presName="bracket" presStyleLbl="parChTrans1D1" presStyleIdx="0" presStyleCnt="5"/>
      <dgm:spPr/>
    </dgm:pt>
    <dgm:pt modelId="{53BF3998-F650-435C-ADE0-94E14BE14CD4}" type="pres">
      <dgm:prSet presAssocID="{E431E831-154D-4A9A-9CCF-60410F831BBA}" presName="spH" presStyleCnt="0"/>
      <dgm:spPr/>
    </dgm:pt>
    <dgm:pt modelId="{B55F7031-64E6-4E84-84FD-D2414A6AA4CB}" type="pres">
      <dgm:prSet presAssocID="{E431E831-154D-4A9A-9CCF-60410F831BBA}" presName="desTx" presStyleLbl="node1" presStyleIdx="0" presStyleCnt="5">
        <dgm:presLayoutVars>
          <dgm:bulletEnabled val="1"/>
        </dgm:presLayoutVars>
      </dgm:prSet>
      <dgm:spPr/>
      <dgm:t>
        <a:bodyPr/>
        <a:lstStyle/>
        <a:p>
          <a:endParaRPr lang="pl-PL"/>
        </a:p>
      </dgm:t>
    </dgm:pt>
    <dgm:pt modelId="{A16B330C-04BE-42C4-A2C1-BD486E47E62C}" type="pres">
      <dgm:prSet presAssocID="{826045D5-960E-40DD-8FC3-E7499A5B9762}" presName="spV" presStyleCnt="0"/>
      <dgm:spPr/>
    </dgm:pt>
    <dgm:pt modelId="{1AC6B3D2-354F-4899-838E-B3E327520E22}" type="pres">
      <dgm:prSet presAssocID="{FB0F8787-BE73-4453-AAAC-184A1CD15F91}" presName="linNode" presStyleCnt="0"/>
      <dgm:spPr/>
    </dgm:pt>
    <dgm:pt modelId="{184D25E3-6A64-44FE-877A-FEF604F447BF}" type="pres">
      <dgm:prSet presAssocID="{FB0F8787-BE73-4453-AAAC-184A1CD15F91}" presName="parTx" presStyleLbl="revTx" presStyleIdx="1" presStyleCnt="5">
        <dgm:presLayoutVars>
          <dgm:chMax val="1"/>
          <dgm:bulletEnabled val="1"/>
        </dgm:presLayoutVars>
      </dgm:prSet>
      <dgm:spPr/>
      <dgm:t>
        <a:bodyPr/>
        <a:lstStyle/>
        <a:p>
          <a:endParaRPr lang="pl-PL"/>
        </a:p>
      </dgm:t>
    </dgm:pt>
    <dgm:pt modelId="{092B5771-03DE-4821-B153-5C0B06A11423}" type="pres">
      <dgm:prSet presAssocID="{FB0F8787-BE73-4453-AAAC-184A1CD15F91}" presName="bracket" presStyleLbl="parChTrans1D1" presStyleIdx="1" presStyleCnt="5"/>
      <dgm:spPr/>
    </dgm:pt>
    <dgm:pt modelId="{0F384784-5962-4969-B32F-38E56E9A3C5C}" type="pres">
      <dgm:prSet presAssocID="{FB0F8787-BE73-4453-AAAC-184A1CD15F91}" presName="spH" presStyleCnt="0"/>
      <dgm:spPr/>
    </dgm:pt>
    <dgm:pt modelId="{019E1B34-6EC2-4272-8DFF-D6949A04C2C7}" type="pres">
      <dgm:prSet presAssocID="{FB0F8787-BE73-4453-AAAC-184A1CD15F91}" presName="desTx" presStyleLbl="node1" presStyleIdx="1" presStyleCnt="5">
        <dgm:presLayoutVars>
          <dgm:bulletEnabled val="1"/>
        </dgm:presLayoutVars>
      </dgm:prSet>
      <dgm:spPr/>
      <dgm:t>
        <a:bodyPr/>
        <a:lstStyle/>
        <a:p>
          <a:endParaRPr lang="pl-PL"/>
        </a:p>
      </dgm:t>
    </dgm:pt>
    <dgm:pt modelId="{1B8074C2-D2C0-4B3C-A35A-CD305F389E96}" type="pres">
      <dgm:prSet presAssocID="{88508BB9-6E98-4A2B-A18E-735717C7B035}" presName="spV" presStyleCnt="0"/>
      <dgm:spPr/>
    </dgm:pt>
    <dgm:pt modelId="{3B4F2AA3-846E-4649-9B44-7CC453FE3EA2}" type="pres">
      <dgm:prSet presAssocID="{8FECDE86-8410-4C2B-8D22-C8AD16518848}" presName="linNode" presStyleCnt="0"/>
      <dgm:spPr/>
    </dgm:pt>
    <dgm:pt modelId="{B9F5D5B1-EC98-4887-8CED-9033B1D16B8E}" type="pres">
      <dgm:prSet presAssocID="{8FECDE86-8410-4C2B-8D22-C8AD16518848}" presName="parTx" presStyleLbl="revTx" presStyleIdx="2" presStyleCnt="5">
        <dgm:presLayoutVars>
          <dgm:chMax val="1"/>
          <dgm:bulletEnabled val="1"/>
        </dgm:presLayoutVars>
      </dgm:prSet>
      <dgm:spPr/>
      <dgm:t>
        <a:bodyPr/>
        <a:lstStyle/>
        <a:p>
          <a:endParaRPr lang="pl-PL"/>
        </a:p>
      </dgm:t>
    </dgm:pt>
    <dgm:pt modelId="{0421244B-670D-433E-B2CF-B90A14721F18}" type="pres">
      <dgm:prSet presAssocID="{8FECDE86-8410-4C2B-8D22-C8AD16518848}" presName="bracket" presStyleLbl="parChTrans1D1" presStyleIdx="2" presStyleCnt="5"/>
      <dgm:spPr/>
    </dgm:pt>
    <dgm:pt modelId="{1FC03570-3EE5-417C-BB5D-15FA06FB7BA2}" type="pres">
      <dgm:prSet presAssocID="{8FECDE86-8410-4C2B-8D22-C8AD16518848}" presName="spH" presStyleCnt="0"/>
      <dgm:spPr/>
    </dgm:pt>
    <dgm:pt modelId="{60D007F9-519D-4C9B-A141-0F463A89A706}" type="pres">
      <dgm:prSet presAssocID="{8FECDE86-8410-4C2B-8D22-C8AD16518848}" presName="desTx" presStyleLbl="node1" presStyleIdx="2" presStyleCnt="5">
        <dgm:presLayoutVars>
          <dgm:bulletEnabled val="1"/>
        </dgm:presLayoutVars>
      </dgm:prSet>
      <dgm:spPr/>
      <dgm:t>
        <a:bodyPr/>
        <a:lstStyle/>
        <a:p>
          <a:endParaRPr lang="pl-PL"/>
        </a:p>
      </dgm:t>
    </dgm:pt>
    <dgm:pt modelId="{93EC343B-A078-44B0-A404-B7AA77E43F33}" type="pres">
      <dgm:prSet presAssocID="{B9F2816C-E273-431B-8DBB-D73A29929FAB}" presName="spV" presStyleCnt="0"/>
      <dgm:spPr/>
    </dgm:pt>
    <dgm:pt modelId="{CF49A395-6B3C-4CD5-949D-D02095956959}" type="pres">
      <dgm:prSet presAssocID="{9D7EB1B5-530A-4D9D-BA61-C7E813A10502}" presName="linNode" presStyleCnt="0"/>
      <dgm:spPr/>
    </dgm:pt>
    <dgm:pt modelId="{9FD2BBF7-92B6-4C19-A286-D4966A533C66}" type="pres">
      <dgm:prSet presAssocID="{9D7EB1B5-530A-4D9D-BA61-C7E813A10502}" presName="parTx" presStyleLbl="revTx" presStyleIdx="3" presStyleCnt="5">
        <dgm:presLayoutVars>
          <dgm:chMax val="1"/>
          <dgm:bulletEnabled val="1"/>
        </dgm:presLayoutVars>
      </dgm:prSet>
      <dgm:spPr/>
      <dgm:t>
        <a:bodyPr/>
        <a:lstStyle/>
        <a:p>
          <a:endParaRPr lang="pl-PL"/>
        </a:p>
      </dgm:t>
    </dgm:pt>
    <dgm:pt modelId="{73C08AF0-A1B9-48CF-8719-1067C841E3DD}" type="pres">
      <dgm:prSet presAssocID="{9D7EB1B5-530A-4D9D-BA61-C7E813A10502}" presName="bracket" presStyleLbl="parChTrans1D1" presStyleIdx="3" presStyleCnt="5"/>
      <dgm:spPr/>
    </dgm:pt>
    <dgm:pt modelId="{81AFCE8A-685C-4B43-9A84-30183FCD721E}" type="pres">
      <dgm:prSet presAssocID="{9D7EB1B5-530A-4D9D-BA61-C7E813A10502}" presName="spH" presStyleCnt="0"/>
      <dgm:spPr/>
    </dgm:pt>
    <dgm:pt modelId="{3BCAB3D4-81BC-4215-8DB9-B3FB45C216B5}" type="pres">
      <dgm:prSet presAssocID="{9D7EB1B5-530A-4D9D-BA61-C7E813A10502}" presName="desTx" presStyleLbl="node1" presStyleIdx="3" presStyleCnt="5">
        <dgm:presLayoutVars>
          <dgm:bulletEnabled val="1"/>
        </dgm:presLayoutVars>
      </dgm:prSet>
      <dgm:spPr/>
      <dgm:t>
        <a:bodyPr/>
        <a:lstStyle/>
        <a:p>
          <a:endParaRPr lang="pl-PL"/>
        </a:p>
      </dgm:t>
    </dgm:pt>
    <dgm:pt modelId="{1EFF9A3E-758B-4936-AB78-084A8C81D8D0}" type="pres">
      <dgm:prSet presAssocID="{CEA5B1E5-E55C-4035-B32B-F071F05F6B88}" presName="spV" presStyleCnt="0"/>
      <dgm:spPr/>
    </dgm:pt>
    <dgm:pt modelId="{ED34FA88-F554-4C86-A6C2-0FA1FCA4B177}" type="pres">
      <dgm:prSet presAssocID="{EF32EE0C-3150-4D58-A396-08A507018D12}" presName="linNode" presStyleCnt="0"/>
      <dgm:spPr/>
    </dgm:pt>
    <dgm:pt modelId="{46F10133-0730-473B-AE7D-6820BA5697E3}" type="pres">
      <dgm:prSet presAssocID="{EF32EE0C-3150-4D58-A396-08A507018D12}" presName="parTx" presStyleLbl="revTx" presStyleIdx="4" presStyleCnt="5">
        <dgm:presLayoutVars>
          <dgm:chMax val="1"/>
          <dgm:bulletEnabled val="1"/>
        </dgm:presLayoutVars>
      </dgm:prSet>
      <dgm:spPr/>
      <dgm:t>
        <a:bodyPr/>
        <a:lstStyle/>
        <a:p>
          <a:endParaRPr lang="pl-PL"/>
        </a:p>
      </dgm:t>
    </dgm:pt>
    <dgm:pt modelId="{EEF4B8F5-8718-47ED-9B7E-76BABF1C9BEE}" type="pres">
      <dgm:prSet presAssocID="{EF32EE0C-3150-4D58-A396-08A507018D12}" presName="bracket" presStyleLbl="parChTrans1D1" presStyleIdx="4" presStyleCnt="5"/>
      <dgm:spPr/>
    </dgm:pt>
    <dgm:pt modelId="{3C108F2F-A003-4914-ABFF-13E88CC0FA91}" type="pres">
      <dgm:prSet presAssocID="{EF32EE0C-3150-4D58-A396-08A507018D12}" presName="spH" presStyleCnt="0"/>
      <dgm:spPr/>
    </dgm:pt>
    <dgm:pt modelId="{754492A3-1CFB-4180-87EE-C292A7A3B7A8}" type="pres">
      <dgm:prSet presAssocID="{EF32EE0C-3150-4D58-A396-08A507018D12}" presName="desTx" presStyleLbl="node1" presStyleIdx="4" presStyleCnt="5">
        <dgm:presLayoutVars>
          <dgm:bulletEnabled val="1"/>
        </dgm:presLayoutVars>
      </dgm:prSet>
      <dgm:spPr/>
      <dgm:t>
        <a:bodyPr/>
        <a:lstStyle/>
        <a:p>
          <a:endParaRPr lang="pl-PL"/>
        </a:p>
      </dgm:t>
    </dgm:pt>
  </dgm:ptLst>
  <dgm:cxnLst>
    <dgm:cxn modelId="{F88FA627-DFF3-469B-AB5B-2EA4DE7B7A6E}" srcId="{FB0F8787-BE73-4453-AAAC-184A1CD15F91}" destId="{0F171B99-795F-40E4-B3D8-9B49F1D40CD2}" srcOrd="4" destOrd="0" parTransId="{C8EEC59D-5DBE-48CA-BFF8-783209481E8E}" sibTransId="{0E277F07-6224-454F-B6CD-1160A645FC75}"/>
    <dgm:cxn modelId="{7AB13142-84D4-4504-BA0D-1217769D4F02}" type="presOf" srcId="{9D7EB1B5-530A-4D9D-BA61-C7E813A10502}" destId="{9FD2BBF7-92B6-4C19-A286-D4966A533C66}" srcOrd="0" destOrd="0" presId="urn:diagrams.loki3.com/BracketList+Icon"/>
    <dgm:cxn modelId="{15F5F515-C5B9-4B79-A690-2E45FE03FA3E}" type="presOf" srcId="{673AAB50-B15F-4C9F-82B9-F57AC3EEDEC6}" destId="{754492A3-1CFB-4180-87EE-C292A7A3B7A8}" srcOrd="0" destOrd="4" presId="urn:diagrams.loki3.com/BracketList+Icon"/>
    <dgm:cxn modelId="{1870425D-7449-4526-A337-192CF112DD97}" type="presOf" srcId="{4EFAC92F-B4B7-40E9-8255-2A2B5407BF4A}" destId="{754492A3-1CFB-4180-87EE-C292A7A3B7A8}" srcOrd="0" destOrd="0" presId="urn:diagrams.loki3.com/BracketList+Icon"/>
    <dgm:cxn modelId="{F3EB3AEA-B901-4B17-A5A2-479167B626F7}" srcId="{EF32EE0C-3150-4D58-A396-08A507018D12}" destId="{4EFAC92F-B4B7-40E9-8255-2A2B5407BF4A}" srcOrd="0" destOrd="0" parTransId="{AC2A923E-1D81-48D5-8AD1-2FD23C9FE1BA}" sibTransId="{445A30CC-98FC-47DB-A6C5-47813113AC02}"/>
    <dgm:cxn modelId="{6DC01910-5366-48ED-8A36-C5513E142AB8}" srcId="{FB0F8787-BE73-4453-AAAC-184A1CD15F91}" destId="{54D32593-4879-4F3B-B02D-EDD321134A6C}" srcOrd="1" destOrd="0" parTransId="{72AA7E1B-1CD8-40CB-BA12-371B08543895}" sibTransId="{0BB434B1-61CA-4C9B-BE49-EE1CCC77745C}"/>
    <dgm:cxn modelId="{20D48552-7BE7-4723-921E-47A7AD1587A7}" srcId="{FB0F8787-BE73-4453-AAAC-184A1CD15F91}" destId="{6500B96C-9B2B-4D93-9703-21DFE9244C13}" srcOrd="5" destOrd="0" parTransId="{2A541F79-8265-48EC-8D2F-E9D1294300CA}" sibTransId="{02BB50C1-C191-4A6E-B108-37474DC8C625}"/>
    <dgm:cxn modelId="{2FCC60D9-27A6-4797-81C7-570B68AE77F2}" type="presOf" srcId="{8D3AC65A-6E55-4F62-9E29-9BE345B78B22}" destId="{754492A3-1CFB-4180-87EE-C292A7A3B7A8}" srcOrd="0" destOrd="3" presId="urn:diagrams.loki3.com/BracketList+Icon"/>
    <dgm:cxn modelId="{634FC4E6-530A-46A3-9A49-E330B623A60B}" srcId="{8FECDE86-8410-4C2B-8D22-C8AD16518848}" destId="{0529CBD7-7633-48CF-B036-A6F4B6153DC2}" srcOrd="4" destOrd="0" parTransId="{119114E9-4747-40D8-96D7-DF9B13604F86}" sibTransId="{AE8E0378-DE6B-4C84-A171-58566B74202C}"/>
    <dgm:cxn modelId="{68B45C5A-BA3B-4A0A-95EE-0B0E3E637A5A}" type="presOf" srcId="{0529CBD7-7633-48CF-B036-A6F4B6153DC2}" destId="{60D007F9-519D-4C9B-A141-0F463A89A706}" srcOrd="0" destOrd="4" presId="urn:diagrams.loki3.com/BracketList+Icon"/>
    <dgm:cxn modelId="{2DC4C221-449A-4A78-A081-9DF74C747588}" type="presOf" srcId="{0127D5BD-484F-463B-A2FE-7271F56D3D41}" destId="{B55F7031-64E6-4E84-84FD-D2414A6AA4CB}" srcOrd="0" destOrd="0" presId="urn:diagrams.loki3.com/BracketList+Icon"/>
    <dgm:cxn modelId="{C504A1DD-00C5-4253-9D04-866C3DFFBF2E}" type="presOf" srcId="{0499EBFF-DDAD-435F-8A66-54730B61CE1C}" destId="{9B3A9BE2-86C5-4462-AB71-7A58B852F273}" srcOrd="0" destOrd="0" presId="urn:diagrams.loki3.com/BracketList+Icon"/>
    <dgm:cxn modelId="{49B18E9D-977A-4EDF-BCA4-891163FBE829}" type="presOf" srcId="{63C4B6C3-C4E9-4540-BE2B-1ADB2B893613}" destId="{754492A3-1CFB-4180-87EE-C292A7A3B7A8}" srcOrd="0" destOrd="2" presId="urn:diagrams.loki3.com/BracketList+Icon"/>
    <dgm:cxn modelId="{8EFEC50A-2CEC-48CF-87C8-11AB5B8CDC7E}" srcId="{EF32EE0C-3150-4D58-A396-08A507018D12}" destId="{8D3AC65A-6E55-4F62-9E29-9BE345B78B22}" srcOrd="3" destOrd="0" parTransId="{207C8447-8A45-4D45-8ED6-50A8D5885BA2}" sibTransId="{7D0E8D12-4207-4331-8924-61FDC7F35AFC}"/>
    <dgm:cxn modelId="{05A7DE65-680A-4AC8-B946-5DDF031F7020}" srcId="{8FECDE86-8410-4C2B-8D22-C8AD16518848}" destId="{46B08B2D-A604-499F-87F7-D7FD5799082E}" srcOrd="1" destOrd="0" parTransId="{A147E777-5649-45E4-94C4-432611D15263}" sibTransId="{3F2063A1-D77C-4B8B-B8F7-44D7368F775D}"/>
    <dgm:cxn modelId="{E6F22254-FABB-4112-B56D-E2C64EB94B04}" srcId="{E431E831-154D-4A9A-9CCF-60410F831BBA}" destId="{F6E969E9-4489-46DC-82F9-EA1FF893F6DB}" srcOrd="2" destOrd="0" parTransId="{BEEB863F-63F1-417B-AD1E-6C156FABA2DF}" sibTransId="{C1234251-DCCD-40A2-888F-4275EED69E9B}"/>
    <dgm:cxn modelId="{5A3A961C-2508-4382-996E-83C259D7B543}" type="presOf" srcId="{F994C10E-C0F3-4D74-A118-272E61240A22}" destId="{60D007F9-519D-4C9B-A141-0F463A89A706}" srcOrd="0" destOrd="0" presId="urn:diagrams.loki3.com/BracketList+Icon"/>
    <dgm:cxn modelId="{AD9032AD-F816-46E2-91F4-5FF8E22EB99F}" srcId="{E431E831-154D-4A9A-9CCF-60410F831BBA}" destId="{0127D5BD-484F-463B-A2FE-7271F56D3D41}" srcOrd="0" destOrd="0" parTransId="{16150783-F392-4A7A-872E-5952E6AA6927}" sibTransId="{08F38218-3525-4E03-AFEA-E2DFE7767E53}"/>
    <dgm:cxn modelId="{40EE095C-88EE-47BB-8D70-CB41B7E49E30}" srcId="{FB0F8787-BE73-4453-AAAC-184A1CD15F91}" destId="{B8DB1F22-34D4-471F-B5F3-8C96F61F9E20}" srcOrd="3" destOrd="0" parTransId="{2E1CCAE4-0FE5-4E59-8EE3-D918F0D3E3AE}" sibTransId="{FEF02D2A-BA16-4AF2-A13F-8FFF1992000A}"/>
    <dgm:cxn modelId="{5FD41CF7-35F0-4BEA-AFF3-0E0AC45BB816}" srcId="{0499EBFF-DDAD-435F-8A66-54730B61CE1C}" destId="{9D7EB1B5-530A-4D9D-BA61-C7E813A10502}" srcOrd="3" destOrd="0" parTransId="{CB9BD639-6C18-4E4D-A686-14876F463246}" sibTransId="{CEA5B1E5-E55C-4035-B32B-F071F05F6B88}"/>
    <dgm:cxn modelId="{7B4F2DBC-A8BC-4C11-9EC5-E7F540B4EBF1}" type="presOf" srcId="{BA0D8555-4D73-4B75-ABFC-D83BEF3E7DD0}" destId="{3BCAB3D4-81BC-4215-8DB9-B3FB45C216B5}" srcOrd="0" destOrd="1" presId="urn:diagrams.loki3.com/BracketList+Icon"/>
    <dgm:cxn modelId="{CE0D6F59-17F8-4AE7-BB05-B6E55C8CF811}" srcId="{9D7EB1B5-530A-4D9D-BA61-C7E813A10502}" destId="{BA0D8555-4D73-4B75-ABFC-D83BEF3E7DD0}" srcOrd="1" destOrd="0" parTransId="{01999060-2D40-4166-8110-9542881346A9}" sibTransId="{BDDA4096-1EF4-4AF6-885E-37B9F725CE60}"/>
    <dgm:cxn modelId="{BAD25327-47C4-4B6C-81B1-C3758A3BD751}" type="presOf" srcId="{E431E831-154D-4A9A-9CCF-60410F831BBA}" destId="{F1C0823C-FB88-48C1-A013-749C90A40A7A}" srcOrd="0" destOrd="0" presId="urn:diagrams.loki3.com/BracketList+Icon"/>
    <dgm:cxn modelId="{5AE2C523-7D1A-49C1-9C1C-A9905FC2168A}" srcId="{0499EBFF-DDAD-435F-8A66-54730B61CE1C}" destId="{EF32EE0C-3150-4D58-A396-08A507018D12}" srcOrd="4" destOrd="0" parTransId="{BEC9B535-7F0A-42AE-A3C9-356AC4CB60FA}" sibTransId="{01B17AAA-55E0-4289-840B-46C1BE85B17E}"/>
    <dgm:cxn modelId="{D090E2F5-D491-49A2-9D27-39D9E6B1003E}" srcId="{FB0F8787-BE73-4453-AAAC-184A1CD15F91}" destId="{8886DD8F-477D-4955-98AD-7D6FD611EAD7}" srcOrd="6" destOrd="0" parTransId="{A10101D9-ADB6-411C-AB6C-583167552634}" sibTransId="{B1106687-E073-4846-BB3C-BCA672C636C4}"/>
    <dgm:cxn modelId="{9021D75D-B077-47F6-A031-8012B8544D6B}" type="presOf" srcId="{EF32EE0C-3150-4D58-A396-08A507018D12}" destId="{46F10133-0730-473B-AE7D-6820BA5697E3}" srcOrd="0" destOrd="0" presId="urn:diagrams.loki3.com/BracketList+Icon"/>
    <dgm:cxn modelId="{4D4F9569-5A8F-4098-BA0B-3181AAAC3DCB}" srcId="{E431E831-154D-4A9A-9CCF-60410F831BBA}" destId="{4A22EC92-615C-4A4A-BF57-AC6A5DB534DB}" srcOrd="3" destOrd="0" parTransId="{BBAF9286-C033-4BCE-B9F0-9AD49BB22F62}" sibTransId="{2A4DD634-2CF5-474C-B189-AB98BFE326B3}"/>
    <dgm:cxn modelId="{8A70D338-3E7A-44F2-8031-8D65F8073271}" srcId="{E431E831-154D-4A9A-9CCF-60410F831BBA}" destId="{9580442D-6AE7-49E0-9EA8-60E06E63ED51}" srcOrd="1" destOrd="0" parTransId="{DEA7724A-5FD4-47E7-854D-FAEB2EBD1324}" sibTransId="{970479DD-2F9E-4B5B-898F-FEE454D37B89}"/>
    <dgm:cxn modelId="{5335166D-822C-4A1E-9533-6AFBA82E80D9}" srcId="{8FECDE86-8410-4C2B-8D22-C8AD16518848}" destId="{77A6FEAB-9040-4412-A6D6-B8B2654D1936}" srcOrd="3" destOrd="0" parTransId="{2E286622-95A3-41AF-BA67-BF6CB9538082}" sibTransId="{8CBEE44F-4158-41A7-BA0D-AE2DDFA3CE2E}"/>
    <dgm:cxn modelId="{D36E969B-133B-443A-B776-FFFFC9C454B5}" type="presOf" srcId="{8886DD8F-477D-4955-98AD-7D6FD611EAD7}" destId="{019E1B34-6EC2-4272-8DFF-D6949A04C2C7}" srcOrd="0" destOrd="6" presId="urn:diagrams.loki3.com/BracketList+Icon"/>
    <dgm:cxn modelId="{675AA978-50F8-491C-8C37-60BD187154B8}" srcId="{8FECDE86-8410-4C2B-8D22-C8AD16518848}" destId="{F994C10E-C0F3-4D74-A118-272E61240A22}" srcOrd="0" destOrd="0" parTransId="{2256222E-47AF-4A84-8941-7CD873AD6EEF}" sibTransId="{412D3908-8EF4-4673-8968-D5E9F0B887D8}"/>
    <dgm:cxn modelId="{0287E949-4AEF-4B40-88D2-75D07F3D7564}" type="presOf" srcId="{420287A3-196B-494D-910C-1032AB0E1290}" destId="{019E1B34-6EC2-4272-8DFF-D6949A04C2C7}" srcOrd="0" destOrd="2" presId="urn:diagrams.loki3.com/BracketList+Icon"/>
    <dgm:cxn modelId="{E7E37CAF-C766-4F52-B433-289C972359CF}" srcId="{FB0F8787-BE73-4453-AAAC-184A1CD15F91}" destId="{FD26BBC1-262E-447E-9630-D25D847E489A}" srcOrd="0" destOrd="0" parTransId="{3BBE964E-4F3B-4941-9693-722120E7B40C}" sibTransId="{18773515-0687-4FEE-93CF-3AF003C2FF37}"/>
    <dgm:cxn modelId="{85F8C071-A2F1-4B25-8480-1BA06EBEE365}" type="presOf" srcId="{9950BA9D-E6BB-4F4D-B1D4-5E1DA449336A}" destId="{754492A3-1CFB-4180-87EE-C292A7A3B7A8}" srcOrd="0" destOrd="1" presId="urn:diagrams.loki3.com/BracketList+Icon"/>
    <dgm:cxn modelId="{C06C7F91-B56C-43DE-BCFC-1BB4C8154B28}" srcId="{FB0F8787-BE73-4453-AAAC-184A1CD15F91}" destId="{244BFD8E-D3A9-49EC-914C-AE082E770032}" srcOrd="7" destOrd="0" parTransId="{3CF6C938-8C63-4B47-9B86-020AFD0B24B1}" sibTransId="{F1080D90-E816-4B91-B3D8-CD516275FD58}"/>
    <dgm:cxn modelId="{5ABFDF21-6ACC-44A1-8E37-DB22ED2FE84A}" type="presOf" srcId="{6500B96C-9B2B-4D93-9703-21DFE9244C13}" destId="{019E1B34-6EC2-4272-8DFF-D6949A04C2C7}" srcOrd="0" destOrd="5" presId="urn:diagrams.loki3.com/BracketList+Icon"/>
    <dgm:cxn modelId="{8BC795F8-249D-47BD-AB63-4F47AF482056}" type="presOf" srcId="{54D32593-4879-4F3B-B02D-EDD321134A6C}" destId="{019E1B34-6EC2-4272-8DFF-D6949A04C2C7}" srcOrd="0" destOrd="1" presId="urn:diagrams.loki3.com/BracketList+Icon"/>
    <dgm:cxn modelId="{4123281A-A0A4-4293-B347-D5B9076C6466}" srcId="{8FECDE86-8410-4C2B-8D22-C8AD16518848}" destId="{F8D27C62-FD6C-47E3-9C6E-4A3317D45F60}" srcOrd="2" destOrd="0" parTransId="{F04EB39D-99A3-4485-AEDA-6EC9BDC1EFE1}" sibTransId="{2248A7BC-ED35-4F17-9591-A1F102644815}"/>
    <dgm:cxn modelId="{A1EAFAAE-5236-443A-B0B9-700EA88E0A59}" srcId="{EF32EE0C-3150-4D58-A396-08A507018D12}" destId="{63C4B6C3-C4E9-4540-BE2B-1ADB2B893613}" srcOrd="2" destOrd="0" parTransId="{9651923B-AAC7-4745-851E-B80ED139E09A}" sibTransId="{EB074CCF-C8A6-4E7A-A02D-4D3CC83822CA}"/>
    <dgm:cxn modelId="{8A3E89DA-4092-4967-9BD1-66BEC9050F19}" type="presOf" srcId="{77A6FEAB-9040-4412-A6D6-B8B2654D1936}" destId="{60D007F9-519D-4C9B-A141-0F463A89A706}" srcOrd="0" destOrd="3" presId="urn:diagrams.loki3.com/BracketList+Icon"/>
    <dgm:cxn modelId="{5BCD76FB-6A2D-4882-860E-9A29ABE06088}" type="presOf" srcId="{FD26BBC1-262E-447E-9630-D25D847E489A}" destId="{019E1B34-6EC2-4272-8DFF-D6949A04C2C7}" srcOrd="0" destOrd="0" presId="urn:diagrams.loki3.com/BracketList+Icon"/>
    <dgm:cxn modelId="{678C6E0F-335A-4B98-B04E-6D9A27594020}" type="presOf" srcId="{244BFD8E-D3A9-49EC-914C-AE082E770032}" destId="{019E1B34-6EC2-4272-8DFF-D6949A04C2C7}" srcOrd="0" destOrd="7" presId="urn:diagrams.loki3.com/BracketList+Icon"/>
    <dgm:cxn modelId="{74D44F6D-7BCC-4A43-964A-8778B589D949}" type="presOf" srcId="{FB0F8787-BE73-4453-AAAC-184A1CD15F91}" destId="{184D25E3-6A64-44FE-877A-FEF604F447BF}" srcOrd="0" destOrd="0" presId="urn:diagrams.loki3.com/BracketList+Icon"/>
    <dgm:cxn modelId="{091C8CA0-D5E0-4EB3-8E79-F064E7ABD552}" srcId="{0499EBFF-DDAD-435F-8A66-54730B61CE1C}" destId="{FB0F8787-BE73-4453-AAAC-184A1CD15F91}" srcOrd="1" destOrd="0" parTransId="{E8CA7B54-7803-4A98-8E91-AC69E7BB8B3F}" sibTransId="{88508BB9-6E98-4A2B-A18E-735717C7B035}"/>
    <dgm:cxn modelId="{00916185-58BE-42F9-AF85-EA062AB63707}" srcId="{0499EBFF-DDAD-435F-8A66-54730B61CE1C}" destId="{E431E831-154D-4A9A-9CCF-60410F831BBA}" srcOrd="0" destOrd="0" parTransId="{981688F9-5B84-4658-A6BF-84F12C2FF1C0}" sibTransId="{826045D5-960E-40DD-8FC3-E7499A5B9762}"/>
    <dgm:cxn modelId="{81507E97-FE32-4076-A952-590F0AF0839C}" type="presOf" srcId="{0F171B99-795F-40E4-B3D8-9B49F1D40CD2}" destId="{019E1B34-6EC2-4272-8DFF-D6949A04C2C7}" srcOrd="0" destOrd="4" presId="urn:diagrams.loki3.com/BracketList+Icon"/>
    <dgm:cxn modelId="{2D2545F1-7740-41C5-A4DA-CFEF727D7992}" type="presOf" srcId="{4A22EC92-615C-4A4A-BF57-AC6A5DB534DB}" destId="{B55F7031-64E6-4E84-84FD-D2414A6AA4CB}" srcOrd="0" destOrd="3" presId="urn:diagrams.loki3.com/BracketList+Icon"/>
    <dgm:cxn modelId="{1F5A7BDD-7A67-4709-BE26-CFF9AE2F5C94}" srcId="{0499EBFF-DDAD-435F-8A66-54730B61CE1C}" destId="{8FECDE86-8410-4C2B-8D22-C8AD16518848}" srcOrd="2" destOrd="0" parTransId="{BA6B4A75-98B2-4085-9C63-078A9516237B}" sibTransId="{B9F2816C-E273-431B-8DBB-D73A29929FAB}"/>
    <dgm:cxn modelId="{0006314A-09B9-4436-B6B5-723DDFC28098}" srcId="{9D7EB1B5-530A-4D9D-BA61-C7E813A10502}" destId="{78CDCBE6-586B-4188-ACED-FBA6EB4C8AA4}" srcOrd="0" destOrd="0" parTransId="{4B638DC5-D29C-44FC-A142-D77AC19B0FA7}" sibTransId="{8E0877B2-521F-45BF-8591-7B1CD34A0572}"/>
    <dgm:cxn modelId="{A8E03AE6-44C4-49C5-BDBA-A7AA6A570E1E}" type="presOf" srcId="{9580442D-6AE7-49E0-9EA8-60E06E63ED51}" destId="{B55F7031-64E6-4E84-84FD-D2414A6AA4CB}" srcOrd="0" destOrd="1" presId="urn:diagrams.loki3.com/BracketList+Icon"/>
    <dgm:cxn modelId="{959E0D4B-00BC-4703-A1D2-2CDF2CAA349A}" srcId="{FB0F8787-BE73-4453-AAAC-184A1CD15F91}" destId="{420287A3-196B-494D-910C-1032AB0E1290}" srcOrd="2" destOrd="0" parTransId="{C9446040-10F6-458C-9A18-E9E9277308E5}" sibTransId="{5321FECA-115A-4B7C-AE98-07C9987F0533}"/>
    <dgm:cxn modelId="{2981EC4A-54A7-4EC0-B0A0-3B6B20017B31}" type="presOf" srcId="{B8DB1F22-34D4-471F-B5F3-8C96F61F9E20}" destId="{019E1B34-6EC2-4272-8DFF-D6949A04C2C7}" srcOrd="0" destOrd="3" presId="urn:diagrams.loki3.com/BracketList+Icon"/>
    <dgm:cxn modelId="{C4B3FB54-AB6F-450F-ABC9-55DEE16D724F}" type="presOf" srcId="{78CDCBE6-586B-4188-ACED-FBA6EB4C8AA4}" destId="{3BCAB3D4-81BC-4215-8DB9-B3FB45C216B5}" srcOrd="0" destOrd="0" presId="urn:diagrams.loki3.com/BracketList+Icon"/>
    <dgm:cxn modelId="{1E45721E-2F3D-4DEC-B2E7-BA1B105C1FC9}" srcId="{EF32EE0C-3150-4D58-A396-08A507018D12}" destId="{673AAB50-B15F-4C9F-82B9-F57AC3EEDEC6}" srcOrd="4" destOrd="0" parTransId="{C89C24A3-21BD-41D2-BEB9-99E1CE288492}" sibTransId="{3E408248-BB96-471E-B147-66B9AC42ED08}"/>
    <dgm:cxn modelId="{FC8F14D0-FEAD-4599-B976-326F130339FD}" type="presOf" srcId="{8FECDE86-8410-4C2B-8D22-C8AD16518848}" destId="{B9F5D5B1-EC98-4887-8CED-9033B1D16B8E}" srcOrd="0" destOrd="0" presId="urn:diagrams.loki3.com/BracketList+Icon"/>
    <dgm:cxn modelId="{9B2EB62C-BC56-4A80-8140-865EA59828D8}" type="presOf" srcId="{F8D27C62-FD6C-47E3-9C6E-4A3317D45F60}" destId="{60D007F9-519D-4C9B-A141-0F463A89A706}" srcOrd="0" destOrd="2" presId="urn:diagrams.loki3.com/BracketList+Icon"/>
    <dgm:cxn modelId="{912B6EF1-DD4E-4945-AFEB-B228A1ACD26F}" type="presOf" srcId="{46B08B2D-A604-499F-87F7-D7FD5799082E}" destId="{60D007F9-519D-4C9B-A141-0F463A89A706}" srcOrd="0" destOrd="1" presId="urn:diagrams.loki3.com/BracketList+Icon"/>
    <dgm:cxn modelId="{BE20BC9E-3368-45CE-8B2A-D9CB3B2A4675}" type="presOf" srcId="{B39C1FD3-3D9C-4C8A-864B-875DE4281C54}" destId="{3BCAB3D4-81BC-4215-8DB9-B3FB45C216B5}" srcOrd="0" destOrd="2" presId="urn:diagrams.loki3.com/BracketList+Icon"/>
    <dgm:cxn modelId="{1BB8549D-FE2C-4505-879D-2BC5B8BDB01E}" srcId="{EF32EE0C-3150-4D58-A396-08A507018D12}" destId="{9950BA9D-E6BB-4F4D-B1D4-5E1DA449336A}" srcOrd="1" destOrd="0" parTransId="{A288ED34-F2BB-4E84-B287-54E6DA11E889}" sibTransId="{53915692-82F7-4477-B4EB-6790E27FE471}"/>
    <dgm:cxn modelId="{9C8D87F7-0FDC-4D16-ABE9-9D3A2F3BE25C}" type="presOf" srcId="{F6E969E9-4489-46DC-82F9-EA1FF893F6DB}" destId="{B55F7031-64E6-4E84-84FD-D2414A6AA4CB}" srcOrd="0" destOrd="2" presId="urn:diagrams.loki3.com/BracketList+Icon"/>
    <dgm:cxn modelId="{C1E3C5D4-A8EC-4C41-BB10-4BF77375A312}" srcId="{9D7EB1B5-530A-4D9D-BA61-C7E813A10502}" destId="{B39C1FD3-3D9C-4C8A-864B-875DE4281C54}" srcOrd="2" destOrd="0" parTransId="{7DACE564-16EF-4F28-8327-9A2CBE491E5E}" sibTransId="{CA1F75A1-5CC7-456A-9127-3D7DB81BC7A9}"/>
    <dgm:cxn modelId="{CDA17818-CFF2-4440-B76C-14F4DE916DE8}" type="presParOf" srcId="{9B3A9BE2-86C5-4462-AB71-7A58B852F273}" destId="{CF2E420F-5439-41A0-ADF4-0AABC184A459}" srcOrd="0" destOrd="0" presId="urn:diagrams.loki3.com/BracketList+Icon"/>
    <dgm:cxn modelId="{A21EE95D-A6A1-45C8-A8BB-B6C9C3E8E8A0}" type="presParOf" srcId="{CF2E420F-5439-41A0-ADF4-0AABC184A459}" destId="{F1C0823C-FB88-48C1-A013-749C90A40A7A}" srcOrd="0" destOrd="0" presId="urn:diagrams.loki3.com/BracketList+Icon"/>
    <dgm:cxn modelId="{1CF4F1A0-1768-4CCB-8AA5-1E45D67297EF}" type="presParOf" srcId="{CF2E420F-5439-41A0-ADF4-0AABC184A459}" destId="{35751DF6-74B7-4174-A7B3-1FF68B260B33}" srcOrd="1" destOrd="0" presId="urn:diagrams.loki3.com/BracketList+Icon"/>
    <dgm:cxn modelId="{5F1F8F17-52A9-413C-8CDE-14CE8F430484}" type="presParOf" srcId="{CF2E420F-5439-41A0-ADF4-0AABC184A459}" destId="{53BF3998-F650-435C-ADE0-94E14BE14CD4}" srcOrd="2" destOrd="0" presId="urn:diagrams.loki3.com/BracketList+Icon"/>
    <dgm:cxn modelId="{DA59A108-1F27-4E55-BBD6-6E947686123B}" type="presParOf" srcId="{CF2E420F-5439-41A0-ADF4-0AABC184A459}" destId="{B55F7031-64E6-4E84-84FD-D2414A6AA4CB}" srcOrd="3" destOrd="0" presId="urn:diagrams.loki3.com/BracketList+Icon"/>
    <dgm:cxn modelId="{5B2FBB3A-0778-4968-A982-4BDB491AECD0}" type="presParOf" srcId="{9B3A9BE2-86C5-4462-AB71-7A58B852F273}" destId="{A16B330C-04BE-42C4-A2C1-BD486E47E62C}" srcOrd="1" destOrd="0" presId="urn:diagrams.loki3.com/BracketList+Icon"/>
    <dgm:cxn modelId="{CDC81B04-2EE5-40A6-AF5D-4CDE6C61CBB3}" type="presParOf" srcId="{9B3A9BE2-86C5-4462-AB71-7A58B852F273}" destId="{1AC6B3D2-354F-4899-838E-B3E327520E22}" srcOrd="2" destOrd="0" presId="urn:diagrams.loki3.com/BracketList+Icon"/>
    <dgm:cxn modelId="{7E8E4896-C1B9-4F98-AC9C-E820A9CC77E8}" type="presParOf" srcId="{1AC6B3D2-354F-4899-838E-B3E327520E22}" destId="{184D25E3-6A64-44FE-877A-FEF604F447BF}" srcOrd="0" destOrd="0" presId="urn:diagrams.loki3.com/BracketList+Icon"/>
    <dgm:cxn modelId="{7C357D36-71FB-4325-BFCB-DA51CAC2B533}" type="presParOf" srcId="{1AC6B3D2-354F-4899-838E-B3E327520E22}" destId="{092B5771-03DE-4821-B153-5C0B06A11423}" srcOrd="1" destOrd="0" presId="urn:diagrams.loki3.com/BracketList+Icon"/>
    <dgm:cxn modelId="{4FC8EC94-3313-48A0-B6F7-A804C43C3055}" type="presParOf" srcId="{1AC6B3D2-354F-4899-838E-B3E327520E22}" destId="{0F384784-5962-4969-B32F-38E56E9A3C5C}" srcOrd="2" destOrd="0" presId="urn:diagrams.loki3.com/BracketList+Icon"/>
    <dgm:cxn modelId="{B643873B-3E43-4DB9-8C49-E16886F37BCD}" type="presParOf" srcId="{1AC6B3D2-354F-4899-838E-B3E327520E22}" destId="{019E1B34-6EC2-4272-8DFF-D6949A04C2C7}" srcOrd="3" destOrd="0" presId="urn:diagrams.loki3.com/BracketList+Icon"/>
    <dgm:cxn modelId="{314AB34A-C361-4A6A-B67E-41B07BA7545A}" type="presParOf" srcId="{9B3A9BE2-86C5-4462-AB71-7A58B852F273}" destId="{1B8074C2-D2C0-4B3C-A35A-CD305F389E96}" srcOrd="3" destOrd="0" presId="urn:diagrams.loki3.com/BracketList+Icon"/>
    <dgm:cxn modelId="{444ED8F6-70B2-4ED1-BB62-755C66E40DFC}" type="presParOf" srcId="{9B3A9BE2-86C5-4462-AB71-7A58B852F273}" destId="{3B4F2AA3-846E-4649-9B44-7CC453FE3EA2}" srcOrd="4" destOrd="0" presId="urn:diagrams.loki3.com/BracketList+Icon"/>
    <dgm:cxn modelId="{2F8D52E5-3140-41BB-ACC0-CFFE1788B4C2}" type="presParOf" srcId="{3B4F2AA3-846E-4649-9B44-7CC453FE3EA2}" destId="{B9F5D5B1-EC98-4887-8CED-9033B1D16B8E}" srcOrd="0" destOrd="0" presId="urn:diagrams.loki3.com/BracketList+Icon"/>
    <dgm:cxn modelId="{73BB7CEF-6237-4475-ACC1-AA47B21E1547}" type="presParOf" srcId="{3B4F2AA3-846E-4649-9B44-7CC453FE3EA2}" destId="{0421244B-670D-433E-B2CF-B90A14721F18}" srcOrd="1" destOrd="0" presId="urn:diagrams.loki3.com/BracketList+Icon"/>
    <dgm:cxn modelId="{BF440A42-AD01-4962-86A5-82025DF9B4EC}" type="presParOf" srcId="{3B4F2AA3-846E-4649-9B44-7CC453FE3EA2}" destId="{1FC03570-3EE5-417C-BB5D-15FA06FB7BA2}" srcOrd="2" destOrd="0" presId="urn:diagrams.loki3.com/BracketList+Icon"/>
    <dgm:cxn modelId="{3C45E46D-8C5B-4BD7-967B-F8552F95E926}" type="presParOf" srcId="{3B4F2AA3-846E-4649-9B44-7CC453FE3EA2}" destId="{60D007F9-519D-4C9B-A141-0F463A89A706}" srcOrd="3" destOrd="0" presId="urn:diagrams.loki3.com/BracketList+Icon"/>
    <dgm:cxn modelId="{E1AE5416-B8E5-4243-AF39-C6B37ADAEEED}" type="presParOf" srcId="{9B3A9BE2-86C5-4462-AB71-7A58B852F273}" destId="{93EC343B-A078-44B0-A404-B7AA77E43F33}" srcOrd="5" destOrd="0" presId="urn:diagrams.loki3.com/BracketList+Icon"/>
    <dgm:cxn modelId="{AE1CC85A-DF83-444F-9856-3262C2FA8500}" type="presParOf" srcId="{9B3A9BE2-86C5-4462-AB71-7A58B852F273}" destId="{CF49A395-6B3C-4CD5-949D-D02095956959}" srcOrd="6" destOrd="0" presId="urn:diagrams.loki3.com/BracketList+Icon"/>
    <dgm:cxn modelId="{23348850-F317-4FEB-986B-D9C949AE0B5A}" type="presParOf" srcId="{CF49A395-6B3C-4CD5-949D-D02095956959}" destId="{9FD2BBF7-92B6-4C19-A286-D4966A533C66}" srcOrd="0" destOrd="0" presId="urn:diagrams.loki3.com/BracketList+Icon"/>
    <dgm:cxn modelId="{3C9BDBFA-1E25-421B-BBC9-7C9EA13F1ED0}" type="presParOf" srcId="{CF49A395-6B3C-4CD5-949D-D02095956959}" destId="{73C08AF0-A1B9-48CF-8719-1067C841E3DD}" srcOrd="1" destOrd="0" presId="urn:diagrams.loki3.com/BracketList+Icon"/>
    <dgm:cxn modelId="{A95999A8-B955-4317-9F51-46DBEE58EBAA}" type="presParOf" srcId="{CF49A395-6B3C-4CD5-949D-D02095956959}" destId="{81AFCE8A-685C-4B43-9A84-30183FCD721E}" srcOrd="2" destOrd="0" presId="urn:diagrams.loki3.com/BracketList+Icon"/>
    <dgm:cxn modelId="{DAE0B2A5-9C41-4705-8474-2739C0D2BDFF}" type="presParOf" srcId="{CF49A395-6B3C-4CD5-949D-D02095956959}" destId="{3BCAB3D4-81BC-4215-8DB9-B3FB45C216B5}" srcOrd="3" destOrd="0" presId="urn:diagrams.loki3.com/BracketList+Icon"/>
    <dgm:cxn modelId="{3F807F47-57EF-481F-978A-573FA30F578B}" type="presParOf" srcId="{9B3A9BE2-86C5-4462-AB71-7A58B852F273}" destId="{1EFF9A3E-758B-4936-AB78-084A8C81D8D0}" srcOrd="7" destOrd="0" presId="urn:diagrams.loki3.com/BracketList+Icon"/>
    <dgm:cxn modelId="{AA514C02-BFBF-4782-A6B0-7B8993EA341A}" type="presParOf" srcId="{9B3A9BE2-86C5-4462-AB71-7A58B852F273}" destId="{ED34FA88-F554-4C86-A6C2-0FA1FCA4B177}" srcOrd="8" destOrd="0" presId="urn:diagrams.loki3.com/BracketList+Icon"/>
    <dgm:cxn modelId="{44F67FFB-4146-409A-8B6B-4D2196387286}" type="presParOf" srcId="{ED34FA88-F554-4C86-A6C2-0FA1FCA4B177}" destId="{46F10133-0730-473B-AE7D-6820BA5697E3}" srcOrd="0" destOrd="0" presId="urn:diagrams.loki3.com/BracketList+Icon"/>
    <dgm:cxn modelId="{81D6C203-C81B-4E50-924D-A629C7B2CC6D}" type="presParOf" srcId="{ED34FA88-F554-4C86-A6C2-0FA1FCA4B177}" destId="{EEF4B8F5-8718-47ED-9B7E-76BABF1C9BEE}" srcOrd="1" destOrd="0" presId="urn:diagrams.loki3.com/BracketList+Icon"/>
    <dgm:cxn modelId="{3C4B8D2E-299C-4924-B582-8067E2E3307B}" type="presParOf" srcId="{ED34FA88-F554-4C86-A6C2-0FA1FCA4B177}" destId="{3C108F2F-A003-4914-ABFF-13E88CC0FA91}" srcOrd="2" destOrd="0" presId="urn:diagrams.loki3.com/BracketList+Icon"/>
    <dgm:cxn modelId="{CAF092E2-3A85-4823-A61E-491CA4F2C6E3}" type="presParOf" srcId="{ED34FA88-F554-4C86-A6C2-0FA1FCA4B177}" destId="{754492A3-1CFB-4180-87EE-C292A7A3B7A8}" srcOrd="3" destOrd="0" presId="urn:diagrams.loki3.com/BracketList+Icon"/>
  </dgm:cxnLst>
  <dgm:bg>
    <a:solidFill>
      <a:schemeClr val="bg1"/>
    </a:solidFill>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dgm:style>
          <a:lnRef idx="2">
            <a:schemeClr val="accent2"/>
          </a:lnRef>
          <a:fillRef idx="1">
            <a:schemeClr val="lt1"/>
          </a:fillRef>
          <a:effectRef idx="0">
            <a:schemeClr val="accent2"/>
          </a:effectRef>
          <a:fontRef idx="minor">
            <a:schemeClr val="dk1"/>
          </a:fontRef>
        </dgm:style>
      </dgm:prSet>
      <dgm:spPr>
        <a:ln w="38100"/>
      </dgm:spPr>
      <dgm:t>
        <a:bodyPr/>
        <a:lstStyle/>
        <a:p>
          <a:r>
            <a:rPr lang="pl-PL" b="1">
              <a:solidFill>
                <a:schemeClr val="accent1">
                  <a:lumMod val="50000"/>
                </a:schemeClr>
              </a:solidFill>
              <a:latin typeface="Calibri"/>
              <a:ea typeface="+mn-ea"/>
              <a:cs typeface="+mn-cs"/>
            </a:rPr>
            <a:t>Legnica miastem spotkań biznesu, otwartym na inwestycje i nowych inwestorów, </a:t>
          </a:r>
          <a:r>
            <a:rPr lang="pl-PL" b="1">
              <a:solidFill>
                <a:schemeClr val="accent1">
                  <a:lumMod val="50000"/>
                </a:schemeClr>
              </a:solidFill>
            </a:rPr>
            <a:t>budującym swoją gospodarczą przewagę konkurencyjną w oparciu o wysoką dostępność komunikacyjną </a:t>
          </a:r>
          <a:br>
            <a:rPr lang="pl-PL" b="1">
              <a:solidFill>
                <a:schemeClr val="accent1">
                  <a:lumMod val="50000"/>
                </a:schemeClr>
              </a:solidFill>
            </a:rPr>
          </a:br>
          <a:r>
            <a:rPr lang="pl-PL" b="1">
              <a:solidFill>
                <a:schemeClr val="accent1">
                  <a:lumMod val="50000"/>
                </a:schemeClr>
              </a:solidFill>
            </a:rPr>
            <a:t>i rozbudowaną infrastrukturę sieciową </a:t>
          </a:r>
          <a:endParaRPr lang="pl-PL">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9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9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900">
              <a:solidFill>
                <a:schemeClr val="accent1">
                  <a:lumMod val="75000"/>
                </a:schemeClr>
              </a:solidFill>
            </a:rPr>
            <a:t>Szanse: </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900">
              <a:solidFill>
                <a:schemeClr val="bg2">
                  <a:lumMod val="25000"/>
                </a:schemeClr>
              </a:solidFill>
            </a:rPr>
            <a:t>Zagrożenia:</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F2B56D34-3F4F-4993-AD7C-DC5B88FB26B9}">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Korzystne położenie komunikacyjne Miasta (A4, S3, dr. Nr 94, E-30)</a:t>
          </a:r>
          <a:endParaRPr lang="pl-PL" sz="800">
            <a:solidFill>
              <a:schemeClr val="accent3">
                <a:lumMod val="75000"/>
              </a:schemeClr>
            </a:solidFill>
          </a:endParaRPr>
        </a:p>
      </dgm:t>
    </dgm:pt>
    <dgm:pt modelId="{2A427521-55A6-4536-A214-699C2060D7F0}" type="parTrans" cxnId="{15574A8C-37F1-4CE1-8A34-63309A8F81E7}">
      <dgm:prSet/>
      <dgm:spPr/>
      <dgm:t>
        <a:bodyPr/>
        <a:lstStyle/>
        <a:p>
          <a:endParaRPr lang="pl-PL"/>
        </a:p>
      </dgm:t>
    </dgm:pt>
    <dgm:pt modelId="{E36174D3-4D7D-468F-9C23-810EA92D44A2}" type="sibTrans" cxnId="{15574A8C-37F1-4CE1-8A34-63309A8F81E7}">
      <dgm:prSet/>
      <dgm:spPr/>
      <dgm:t>
        <a:bodyPr/>
        <a:lstStyle/>
        <a:p>
          <a:endParaRPr lang="pl-PL"/>
        </a:p>
      </dgm:t>
    </dgm:pt>
    <dgm:pt modelId="{CDCA078B-AB38-407F-9F3F-D351E3A58F17}">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Bliskość Wrocławia - możliwość korzystania z usług wyższego rzędu, usług metropolitalnych, rynku pracy i dużego rynku konsumenckiego</a:t>
          </a:r>
          <a:endParaRPr lang="pl-PL" sz="800">
            <a:solidFill>
              <a:schemeClr val="accent3">
                <a:lumMod val="75000"/>
              </a:schemeClr>
            </a:solidFill>
          </a:endParaRPr>
        </a:p>
      </dgm:t>
    </dgm:pt>
    <dgm:pt modelId="{A3771730-F28D-4957-A8AE-9AF4C79FE6E4}" type="parTrans" cxnId="{68B9F328-46EB-44E1-AC19-2969B5D9A734}">
      <dgm:prSet/>
      <dgm:spPr/>
      <dgm:t>
        <a:bodyPr/>
        <a:lstStyle/>
        <a:p>
          <a:endParaRPr lang="pl-PL"/>
        </a:p>
      </dgm:t>
    </dgm:pt>
    <dgm:pt modelId="{1D448A4E-961A-4BC6-80CF-809BFAC3E02D}" type="sibTrans" cxnId="{68B9F328-46EB-44E1-AC19-2969B5D9A734}">
      <dgm:prSet/>
      <dgm:spPr/>
      <dgm:t>
        <a:bodyPr/>
        <a:lstStyle/>
        <a:p>
          <a:endParaRPr lang="pl-PL"/>
        </a:p>
      </dgm:t>
    </dgm:pt>
    <dgm:pt modelId="{57E6587F-A2CE-4FCE-AD09-30867BA1AFDF}">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Wysoka dostępność do infrastruktury technicznej i usług komunalnych</a:t>
          </a:r>
          <a:endParaRPr lang="pl-PL" sz="800">
            <a:solidFill>
              <a:schemeClr val="accent3">
                <a:lumMod val="75000"/>
              </a:schemeClr>
            </a:solidFill>
          </a:endParaRPr>
        </a:p>
      </dgm:t>
    </dgm:pt>
    <dgm:pt modelId="{3F92AD4D-A68B-4CCB-A61E-4D7D9FC634F4}" type="parTrans" cxnId="{E4CB1593-D257-41F4-AA47-299E9556D011}">
      <dgm:prSet/>
      <dgm:spPr/>
      <dgm:t>
        <a:bodyPr/>
        <a:lstStyle/>
        <a:p>
          <a:endParaRPr lang="pl-PL"/>
        </a:p>
      </dgm:t>
    </dgm:pt>
    <dgm:pt modelId="{7C39B1A9-5565-41CD-9B1A-22FBCC681A74}" type="sibTrans" cxnId="{E4CB1593-D257-41F4-AA47-299E9556D011}">
      <dgm:prSet/>
      <dgm:spPr/>
      <dgm:t>
        <a:bodyPr/>
        <a:lstStyle/>
        <a:p>
          <a:endParaRPr lang="pl-PL"/>
        </a:p>
      </dgm:t>
    </dgm:pt>
    <dgm:pt modelId="{485D56B7-6F75-44A1-B7FD-26DDF5FD861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Bliskość lotniska we Wrocławiu</a:t>
          </a:r>
          <a:endParaRPr lang="pl-PL" sz="800">
            <a:solidFill>
              <a:schemeClr val="accent3">
                <a:lumMod val="75000"/>
              </a:schemeClr>
            </a:solidFill>
          </a:endParaRPr>
        </a:p>
      </dgm:t>
    </dgm:pt>
    <dgm:pt modelId="{53C72B7B-9DF1-4B29-AB4D-AC3D6640B1A6}" type="parTrans" cxnId="{2CA790C9-108A-485B-922F-A695B1FF6D80}">
      <dgm:prSet/>
      <dgm:spPr/>
      <dgm:t>
        <a:bodyPr/>
        <a:lstStyle/>
        <a:p>
          <a:endParaRPr lang="pl-PL"/>
        </a:p>
      </dgm:t>
    </dgm:pt>
    <dgm:pt modelId="{57639D02-381B-407C-8E52-65F06AC3CBC7}" type="sibTrans" cxnId="{2CA790C9-108A-485B-922F-A695B1FF6D80}">
      <dgm:prSet/>
      <dgm:spPr/>
      <dgm:t>
        <a:bodyPr/>
        <a:lstStyle/>
        <a:p>
          <a:endParaRPr lang="pl-PL"/>
        </a:p>
      </dgm:t>
    </dgm:pt>
    <dgm:pt modelId="{A3C38BEC-F612-42BE-97AD-B03509413D9E}">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Słabe połączenia komunikacji publicznej z sąsiednimi obszarami i okalającymi gminami. Oparcie komunikacji na funkcjonowaniu prywatnych busów</a:t>
          </a:r>
          <a:endParaRPr lang="pl-PL" sz="800">
            <a:solidFill>
              <a:srgbClr val="FF0000"/>
            </a:solidFill>
          </a:endParaRPr>
        </a:p>
      </dgm:t>
    </dgm:pt>
    <dgm:pt modelId="{D488E9FE-BD41-492D-8EA5-E78D92067AB1}" type="parTrans" cxnId="{E4F5BC9F-5840-4199-90E6-2BAC2E1B892B}">
      <dgm:prSet/>
      <dgm:spPr/>
      <dgm:t>
        <a:bodyPr/>
        <a:lstStyle/>
        <a:p>
          <a:endParaRPr lang="pl-PL"/>
        </a:p>
      </dgm:t>
    </dgm:pt>
    <dgm:pt modelId="{F4795FE9-86E1-43DA-BA5B-A803200D6FCA}" type="sibTrans" cxnId="{E4F5BC9F-5840-4199-90E6-2BAC2E1B892B}">
      <dgm:prSet/>
      <dgm:spPr/>
      <dgm:t>
        <a:bodyPr/>
        <a:lstStyle/>
        <a:p>
          <a:endParaRPr lang="pl-PL"/>
        </a:p>
      </dgm:t>
    </dgm:pt>
    <dgm:pt modelId="{C7A40EE3-B2C6-41CB-8E70-783E3C418DC4}">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Duże obciążenie ruchem komunikacyjnym wewnętrznego układu drogowego</a:t>
          </a:r>
          <a:endParaRPr lang="pl-PL" sz="800">
            <a:solidFill>
              <a:srgbClr val="FF0000"/>
            </a:solidFill>
          </a:endParaRPr>
        </a:p>
      </dgm:t>
    </dgm:pt>
    <dgm:pt modelId="{7609D59C-5BB1-4BC9-872F-C2704C095B1D}" type="parTrans" cxnId="{6CFDAAED-9616-464C-8481-F9013D569E46}">
      <dgm:prSet/>
      <dgm:spPr/>
      <dgm:t>
        <a:bodyPr/>
        <a:lstStyle/>
        <a:p>
          <a:endParaRPr lang="pl-PL"/>
        </a:p>
      </dgm:t>
    </dgm:pt>
    <dgm:pt modelId="{263E66D2-6362-47A3-B102-31731E828703}" type="sibTrans" cxnId="{6CFDAAED-9616-464C-8481-F9013D569E46}">
      <dgm:prSet/>
      <dgm:spPr/>
      <dgm:t>
        <a:bodyPr/>
        <a:lstStyle/>
        <a:p>
          <a:endParaRPr lang="pl-PL"/>
        </a:p>
      </dgm:t>
    </dgm:pt>
    <dgm:pt modelId="{54E86EDA-9CF5-43BE-8761-01E05F9C546F}">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15D4F78E-38E0-4876-819C-69FC77C3C5BE}" type="parTrans" cxnId="{5F389096-CF6B-4E06-8E56-B82FC5C288E4}">
      <dgm:prSet/>
      <dgm:spPr/>
      <dgm:t>
        <a:bodyPr/>
        <a:lstStyle/>
        <a:p>
          <a:endParaRPr lang="pl-PL"/>
        </a:p>
      </dgm:t>
    </dgm:pt>
    <dgm:pt modelId="{E042228D-CBCC-4AA6-8960-7683FFB22B74}" type="sibTrans" cxnId="{5F389096-CF6B-4E06-8E56-B82FC5C288E4}">
      <dgm:prSet/>
      <dgm:spPr/>
      <dgm:t>
        <a:bodyPr/>
        <a:lstStyle/>
        <a:p>
          <a:endParaRPr lang="pl-PL"/>
        </a:p>
      </dgm:t>
    </dgm:pt>
    <dgm:pt modelId="{C7C252AF-8FD1-4675-ABE1-97FE58B5D3C4}">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Wzrost znaczenia polityki miejskiej – nowe instrumenty wspierające rozwój miejskich obszarów funkcjonalnych</a:t>
          </a:r>
          <a:endParaRPr lang="pl-PL" sz="800">
            <a:solidFill>
              <a:schemeClr val="accent1">
                <a:lumMod val="75000"/>
              </a:schemeClr>
            </a:solidFill>
          </a:endParaRPr>
        </a:p>
      </dgm:t>
    </dgm:pt>
    <dgm:pt modelId="{488C9BEE-84A1-4AC2-9698-F8AB1AAE4102}" type="parTrans" cxnId="{E230636B-104D-4FE7-8DE0-EED6FE508A81}">
      <dgm:prSet/>
      <dgm:spPr/>
      <dgm:t>
        <a:bodyPr/>
        <a:lstStyle/>
        <a:p>
          <a:endParaRPr lang="pl-PL"/>
        </a:p>
      </dgm:t>
    </dgm:pt>
    <dgm:pt modelId="{25FA74BD-A18A-4FFB-8DDB-4976EB1DDC74}" type="sibTrans" cxnId="{E230636B-104D-4FE7-8DE0-EED6FE508A81}">
      <dgm:prSet/>
      <dgm:spPr/>
      <dgm:t>
        <a:bodyPr/>
        <a:lstStyle/>
        <a:p>
          <a:endParaRPr lang="pl-PL"/>
        </a:p>
      </dgm:t>
    </dgm:pt>
    <dgm:pt modelId="{B20A3C84-A5A3-467A-B37C-2A68558328F4}">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Umiejscowienie Legnicy w ważnych dokumentach strategicznych na szczeblu centralnym i wojewódzkim: Legnica miejskim obszarem funkcjonalnym o znaczeniu regionalnym, położenie w pasmach rozwojowych: Autostradzie Nowej Gospodarki, Legnicko-Głogowskim Obszarze Przemysłowym,Obszarze Rolniczym</a:t>
          </a:r>
          <a:endParaRPr lang="pl-PL" sz="800">
            <a:solidFill>
              <a:schemeClr val="accent1">
                <a:lumMod val="75000"/>
              </a:schemeClr>
            </a:solidFill>
          </a:endParaRPr>
        </a:p>
      </dgm:t>
    </dgm:pt>
    <dgm:pt modelId="{52FFAB7D-F925-4282-9129-9FBB9025208B}" type="parTrans" cxnId="{71ABDF2A-713F-418F-9A24-CB133D0CA470}">
      <dgm:prSet/>
      <dgm:spPr/>
      <dgm:t>
        <a:bodyPr/>
        <a:lstStyle/>
        <a:p>
          <a:endParaRPr lang="pl-PL"/>
        </a:p>
      </dgm:t>
    </dgm:pt>
    <dgm:pt modelId="{1295D2E2-81D8-4F61-80EF-51A53086166F}" type="sibTrans" cxnId="{71ABDF2A-713F-418F-9A24-CB133D0CA470}">
      <dgm:prSet/>
      <dgm:spPr/>
      <dgm:t>
        <a:bodyPr/>
        <a:lstStyle/>
        <a:p>
          <a:endParaRPr lang="pl-PL"/>
        </a:p>
      </dgm:t>
    </dgm:pt>
    <dgm:pt modelId="{18459327-9342-478C-9CC8-2362A928E610}">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Rozbudowa i modernizacja zew. układu komunikacyjnego. Rozbudowa trasy S3, magistrali kolejowej E-30</a:t>
          </a:r>
          <a:endParaRPr lang="pl-PL" sz="800">
            <a:solidFill>
              <a:schemeClr val="accent1">
                <a:lumMod val="75000"/>
              </a:schemeClr>
            </a:solidFill>
          </a:endParaRPr>
        </a:p>
      </dgm:t>
    </dgm:pt>
    <dgm:pt modelId="{02C945B3-A1EA-4CD3-B0D9-F35B0F4A7CED}" type="parTrans" cxnId="{20FD63C1-2831-46AE-B1F6-FCC73CE8E7D9}">
      <dgm:prSet/>
      <dgm:spPr/>
      <dgm:t>
        <a:bodyPr/>
        <a:lstStyle/>
        <a:p>
          <a:endParaRPr lang="pl-PL"/>
        </a:p>
      </dgm:t>
    </dgm:pt>
    <dgm:pt modelId="{6C2C13E1-BBE1-450F-BC53-5550861F1DCB}" type="sibTrans" cxnId="{20FD63C1-2831-46AE-B1F6-FCC73CE8E7D9}">
      <dgm:prSet/>
      <dgm:spPr/>
      <dgm:t>
        <a:bodyPr/>
        <a:lstStyle/>
        <a:p>
          <a:endParaRPr lang="pl-PL"/>
        </a:p>
      </dgm:t>
    </dgm:pt>
    <dgm:pt modelId="{46FC2376-5F8B-4698-BAA8-49519C157BBB}">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Brak pewności co do realizacji zewnętrznych inwestycji drogowych: drogi ekspresowej S-3 na odcinku Legnica-Lubawka, ograniczenia węzłów drogowych na A4 w związku z dostosowaniem A-4 do autostrady płatnej. Od ich realizacji zależeć będzie przekierowanie części ruchu na drogę krajową nr 94 i miasto.</a:t>
          </a:r>
          <a:endParaRPr lang="pl-PL" sz="800">
            <a:solidFill>
              <a:schemeClr val="bg2">
                <a:lumMod val="25000"/>
              </a:schemeClr>
            </a:solidFill>
          </a:endParaRPr>
        </a:p>
      </dgm:t>
    </dgm:pt>
    <dgm:pt modelId="{BDDB3448-70CE-4546-A283-44E4CC9A3389}" type="parTrans" cxnId="{7FE59334-483D-4125-B8C8-36931CA0531C}">
      <dgm:prSet/>
      <dgm:spPr/>
      <dgm:t>
        <a:bodyPr/>
        <a:lstStyle/>
        <a:p>
          <a:endParaRPr lang="pl-PL"/>
        </a:p>
      </dgm:t>
    </dgm:pt>
    <dgm:pt modelId="{1D8287FB-AE71-4BE4-90F9-096C6503D260}" type="sibTrans" cxnId="{7FE59334-483D-4125-B8C8-36931CA0531C}">
      <dgm:prSet/>
      <dgm:spPr/>
      <dgm:t>
        <a:bodyPr/>
        <a:lstStyle/>
        <a:p>
          <a:endParaRPr lang="pl-PL"/>
        </a:p>
      </dgm:t>
    </dgm:pt>
    <dgm:pt modelId="{556A76AF-B52A-43BB-9546-BDA243D34EBD}">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Posiadanie zasobów naturalnych dla rozwoju nowych gałęzi gospodarki: złoża węgla brunatnego, grunty rolnicze o wysokich parametrach jakościowych gleb</a:t>
          </a:r>
          <a:endParaRPr lang="pl-PL" sz="800">
            <a:solidFill>
              <a:schemeClr val="accent1">
                <a:lumMod val="75000"/>
              </a:schemeClr>
            </a:solidFill>
          </a:endParaRPr>
        </a:p>
      </dgm:t>
    </dgm:pt>
    <dgm:pt modelId="{20E9061B-9FD1-4DDC-B2C3-3651F77CE8A8}" type="parTrans" cxnId="{9B42D782-28DF-4690-B0B8-F1F327461606}">
      <dgm:prSet/>
      <dgm:spPr/>
      <dgm:t>
        <a:bodyPr/>
        <a:lstStyle/>
        <a:p>
          <a:endParaRPr lang="pl-PL"/>
        </a:p>
      </dgm:t>
    </dgm:pt>
    <dgm:pt modelId="{E9BB92D8-13B3-4EB4-B7E7-2C458FFC25B1}" type="sibTrans" cxnId="{9B42D782-28DF-4690-B0B8-F1F327461606}">
      <dgm:prSet/>
      <dgm:spPr/>
      <dgm:t>
        <a:bodyPr/>
        <a:lstStyle/>
        <a:p>
          <a:endParaRPr lang="pl-PL"/>
        </a:p>
      </dgm:t>
    </dgm:pt>
    <dgm:pt modelId="{BA11B319-2CDF-4FFA-9C6C-6749C95AECC9}">
      <dgm:prSet custT="1"/>
      <dgm:spPr/>
      <dgm:t>
        <a:bodyPr/>
        <a:lstStyle/>
        <a:p>
          <a:r>
            <a:rPr lang="pl-PL" sz="800" b="0" i="0" u="none">
              <a:solidFill>
                <a:sysClr val="windowText" lastClr="000000">
                  <a:hueOff val="0"/>
                  <a:satOff val="0"/>
                  <a:lumOff val="0"/>
                  <a:alphaOff val="0"/>
                </a:sysClr>
              </a:solidFill>
              <a:latin typeface="Calibri"/>
              <a:ea typeface="+mn-ea"/>
              <a:cs typeface="+mn-cs"/>
            </a:rPr>
            <a:t>Działalność krajowego potentata KGHM: rynek pracy, nowe inwestycje, przedsiębiorstwa kooperujące, wysokie stawki wynagrodzeń, wysokie emerytury górnicze</a:t>
          </a:r>
          <a:endParaRPr lang="pl-PL" sz="800">
            <a:solidFill>
              <a:srgbClr val="5B9BD5">
                <a:lumMod val="75000"/>
              </a:srgbClr>
            </a:solidFill>
            <a:latin typeface="Calibri"/>
            <a:ea typeface="+mn-ea"/>
            <a:cs typeface="+mn-cs"/>
          </a:endParaRPr>
        </a:p>
      </dgm:t>
    </dgm:pt>
    <dgm:pt modelId="{1C80121B-75C0-4EAD-98AF-44C4456CD577}" type="parTrans" cxnId="{A98E459E-0FC6-4ED6-AA77-E4FCF6F0C774}">
      <dgm:prSet/>
      <dgm:spPr/>
      <dgm:t>
        <a:bodyPr/>
        <a:lstStyle/>
        <a:p>
          <a:endParaRPr lang="pl-PL"/>
        </a:p>
      </dgm:t>
    </dgm:pt>
    <dgm:pt modelId="{2DE553B7-2863-4454-BA0E-BF85F6ABCAB3}" type="sibTrans" cxnId="{A98E459E-0FC6-4ED6-AA77-E4FCF6F0C774}">
      <dgm:prSet/>
      <dgm:spPr/>
      <dgm:t>
        <a:bodyPr/>
        <a:lstStyle/>
        <a:p>
          <a:endParaRPr lang="pl-PL"/>
        </a:p>
      </dgm:t>
    </dgm:pt>
    <dgm:pt modelId="{E97A7BDE-665B-42F4-B041-9333892E50D3}">
      <dgm:prSet custT="1"/>
      <dgm:spPr/>
      <dgm:t>
        <a:bodyPr/>
        <a:lstStyle/>
        <a:p>
          <a:r>
            <a:rPr lang="pl-PL" sz="800" b="0" i="0" u="none">
              <a:solidFill>
                <a:sysClr val="windowText" lastClr="000000">
                  <a:hueOff val="0"/>
                  <a:satOff val="0"/>
                  <a:lumOff val="0"/>
                  <a:alphaOff val="0"/>
                </a:sysClr>
              </a:solidFill>
              <a:latin typeface="Calibri"/>
              <a:ea typeface="+mn-ea"/>
              <a:cs typeface="+mn-cs"/>
            </a:rPr>
            <a:t>Przedłużenie funkcjonowania LSSE do 2026 r., utrzymanie ulg inwestycyjnych dla nowych firm</a:t>
          </a:r>
          <a:endParaRPr lang="pl-PL" sz="800">
            <a:solidFill>
              <a:srgbClr val="5B9BD5">
                <a:lumMod val="75000"/>
              </a:srgbClr>
            </a:solidFill>
            <a:latin typeface="Calibri"/>
            <a:ea typeface="+mn-ea"/>
            <a:cs typeface="+mn-cs"/>
          </a:endParaRPr>
        </a:p>
      </dgm:t>
    </dgm:pt>
    <dgm:pt modelId="{359FC0DD-FAB2-45C2-AA44-39EF479F735E}" type="parTrans" cxnId="{BCA2280E-CA88-4B8F-97EF-5208E4B0D399}">
      <dgm:prSet/>
      <dgm:spPr/>
      <dgm:t>
        <a:bodyPr/>
        <a:lstStyle/>
        <a:p>
          <a:endParaRPr lang="pl-PL"/>
        </a:p>
      </dgm:t>
    </dgm:pt>
    <dgm:pt modelId="{E05CF21E-3E04-4698-ADAA-B69D35BCF46D}" type="sibTrans" cxnId="{BCA2280E-CA88-4B8F-97EF-5208E4B0D399}">
      <dgm:prSet/>
      <dgm:spPr/>
      <dgm:t>
        <a:bodyPr/>
        <a:lstStyle/>
        <a:p>
          <a:endParaRPr lang="pl-PL"/>
        </a:p>
      </dgm:t>
    </dgm:pt>
    <dgm:pt modelId="{387DF329-38F2-4C96-BF12-AD800EACCD5C}">
      <dgm:prSet custT="1"/>
      <dgm:spPr/>
      <dgm:t>
        <a:bodyPr/>
        <a:lstStyle/>
        <a:p>
          <a:r>
            <a:rPr lang="pl-PL" sz="800" b="0" i="0" u="none">
              <a:solidFill>
                <a:sysClr val="windowText" lastClr="000000">
                  <a:hueOff val="0"/>
                  <a:satOff val="0"/>
                  <a:lumOff val="0"/>
                  <a:alphaOff val="0"/>
                </a:sysClr>
              </a:solidFill>
              <a:latin typeface="Calibri"/>
              <a:ea typeface="+mn-ea"/>
              <a:cs typeface="+mn-cs"/>
            </a:rPr>
            <a:t>Dynamicznie rozwijający się rynek usług świadczonych i pobieranych za pomocą usług teleinformatycznych umożliwiający mniejszym ośrodkom miejskim funkcjonowaniu na rynku globalnym</a:t>
          </a:r>
          <a:endParaRPr lang="pl-PL" sz="800">
            <a:solidFill>
              <a:srgbClr val="5B9BD5">
                <a:lumMod val="75000"/>
              </a:srgbClr>
            </a:solidFill>
            <a:latin typeface="Calibri"/>
            <a:ea typeface="+mn-ea"/>
            <a:cs typeface="+mn-cs"/>
          </a:endParaRPr>
        </a:p>
      </dgm:t>
    </dgm:pt>
    <dgm:pt modelId="{E6FC65EA-412C-44AC-A51A-4A928BD61A7E}" type="parTrans" cxnId="{76D5EBBC-E95D-4C4C-BB10-93F76F73DD05}">
      <dgm:prSet/>
      <dgm:spPr/>
      <dgm:t>
        <a:bodyPr/>
        <a:lstStyle/>
        <a:p>
          <a:endParaRPr lang="pl-PL"/>
        </a:p>
      </dgm:t>
    </dgm:pt>
    <dgm:pt modelId="{9C474516-D3DA-4125-80B5-B9652BA834C2}" type="sibTrans" cxnId="{76D5EBBC-E95D-4C4C-BB10-93F76F73DD05}">
      <dgm:prSet/>
      <dgm:spPr/>
      <dgm:t>
        <a:bodyPr/>
        <a:lstStyle/>
        <a:p>
          <a:endParaRPr lang="pl-PL"/>
        </a:p>
      </dgm:t>
    </dgm:pt>
    <dgm:pt modelId="{897A0DB3-3676-49F6-B288-32A6502F9EBD}">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Rozbudowana baza hotelowa oraz relatywnie wysoka liczba osób korzystających z noclegów głównie w celach biznesowych</a:t>
          </a:r>
          <a:endParaRPr lang="pl-PL" sz="800">
            <a:solidFill>
              <a:schemeClr val="accent3">
                <a:lumMod val="75000"/>
              </a:schemeClr>
            </a:solidFill>
          </a:endParaRPr>
        </a:p>
      </dgm:t>
    </dgm:pt>
    <dgm:pt modelId="{01D6907C-5622-4148-BCBD-BE80281BE35B}" type="parTrans" cxnId="{EF83F9D1-AF5D-454B-9C8E-EA4962773154}">
      <dgm:prSet/>
      <dgm:spPr/>
      <dgm:t>
        <a:bodyPr/>
        <a:lstStyle/>
        <a:p>
          <a:endParaRPr lang="pl-PL"/>
        </a:p>
      </dgm:t>
    </dgm:pt>
    <dgm:pt modelId="{F454636D-69AD-4058-844C-7F2E961DE8E0}" type="sibTrans" cxnId="{EF83F9D1-AF5D-454B-9C8E-EA4962773154}">
      <dgm:prSet/>
      <dgm:spPr/>
      <dgm:t>
        <a:bodyPr/>
        <a:lstStyle/>
        <a:p>
          <a:endParaRPr lang="pl-PL"/>
        </a:p>
      </dgm:t>
    </dgm:pt>
    <dgm:pt modelId="{35D72112-107D-4A6A-9F65-77375D78F9BD}">
      <dgm:prSet custT="1"/>
      <dgm:spPr/>
      <dgm:t>
        <a:bodyPr/>
        <a:lstStyle/>
        <a:p>
          <a:r>
            <a:rPr lang="pl-PL" sz="800" b="0" i="0" u="none">
              <a:solidFill>
                <a:sysClr val="windowText" lastClr="000000">
                  <a:hueOff val="0"/>
                  <a:satOff val="0"/>
                  <a:lumOff val="0"/>
                  <a:alphaOff val="0"/>
                </a:sysClr>
              </a:solidFill>
              <a:latin typeface="Calibri"/>
              <a:ea typeface="+mn-ea"/>
              <a:cs typeface="+mn-cs"/>
            </a:rPr>
            <a:t>Dostępność terenów inwestycyjnych, w tym w ramach Legnickiej Specjalnej Strefie Ekonomicznej  </a:t>
          </a:r>
          <a:endParaRPr lang="pl-PL" sz="800">
            <a:solidFill>
              <a:srgbClr val="A5A5A5">
                <a:lumMod val="75000"/>
              </a:srgbClr>
            </a:solidFill>
            <a:latin typeface="Calibri"/>
            <a:ea typeface="+mn-ea"/>
            <a:cs typeface="+mn-cs"/>
          </a:endParaRPr>
        </a:p>
      </dgm:t>
    </dgm:pt>
    <dgm:pt modelId="{2EFC8792-81CD-4420-B24E-67079129D607}" type="parTrans" cxnId="{4EE470FD-9B0D-4DB9-BBCB-088677F5AE8F}">
      <dgm:prSet/>
      <dgm:spPr/>
      <dgm:t>
        <a:bodyPr/>
        <a:lstStyle/>
        <a:p>
          <a:endParaRPr lang="pl-PL"/>
        </a:p>
      </dgm:t>
    </dgm:pt>
    <dgm:pt modelId="{AF8D1E91-203A-4BC1-9033-6FCF538EA333}" type="sibTrans" cxnId="{4EE470FD-9B0D-4DB9-BBCB-088677F5AE8F}">
      <dgm:prSet/>
      <dgm:spPr/>
      <dgm:t>
        <a:bodyPr/>
        <a:lstStyle/>
        <a:p>
          <a:endParaRPr lang="pl-PL"/>
        </a:p>
      </dgm:t>
    </dgm:pt>
    <dgm:pt modelId="{CDC52E44-415B-43CA-9BD5-BEE0E6CB5AFB}">
      <dgm:prSet custT="1"/>
      <dgm:spPr/>
      <dgm:t>
        <a:bodyPr/>
        <a:lstStyle/>
        <a:p>
          <a:r>
            <a:rPr lang="pl-PL" sz="800" b="0" i="0" u="none">
              <a:solidFill>
                <a:sysClr val="windowText" lastClr="000000">
                  <a:hueOff val="0"/>
                  <a:satOff val="0"/>
                  <a:lumOff val="0"/>
                  <a:alphaOff val="0"/>
                </a:sysClr>
              </a:solidFill>
              <a:latin typeface="Calibri"/>
              <a:ea typeface="+mn-ea"/>
              <a:cs typeface="+mn-cs"/>
            </a:rPr>
            <a:t>Dostęp do usług administracji ponadlokalnej</a:t>
          </a:r>
          <a:endParaRPr lang="pl-PL" sz="800">
            <a:solidFill>
              <a:srgbClr val="A5A5A5">
                <a:lumMod val="75000"/>
              </a:srgbClr>
            </a:solidFill>
            <a:latin typeface="Calibri"/>
            <a:ea typeface="+mn-ea"/>
            <a:cs typeface="+mn-cs"/>
          </a:endParaRPr>
        </a:p>
      </dgm:t>
    </dgm:pt>
    <dgm:pt modelId="{6EE5DF37-6A7C-44B8-BF6A-89B28248E56A}" type="parTrans" cxnId="{326EDFA0-2463-45B2-9F71-BE6D36AC2FC5}">
      <dgm:prSet/>
      <dgm:spPr/>
      <dgm:t>
        <a:bodyPr/>
        <a:lstStyle/>
        <a:p>
          <a:endParaRPr lang="pl-PL"/>
        </a:p>
      </dgm:t>
    </dgm:pt>
    <dgm:pt modelId="{207C5350-2B9E-4153-8155-76EDA8A861B0}" type="sibTrans" cxnId="{326EDFA0-2463-45B2-9F71-BE6D36AC2FC5}">
      <dgm:prSet/>
      <dgm:spPr/>
      <dgm:t>
        <a:bodyPr/>
        <a:lstStyle/>
        <a:p>
          <a:endParaRPr lang="pl-PL"/>
        </a:p>
      </dgm:t>
    </dgm:pt>
    <dgm:pt modelId="{BE1ED646-A59F-497B-85AC-4C21DDD53AA9}">
      <dgm:prSet custT="1"/>
      <dgm:spPr/>
      <dgm:t>
        <a:bodyPr/>
        <a:lstStyle/>
        <a:p>
          <a:r>
            <a:rPr lang="pl-PL" sz="800" b="0" i="0" u="none">
              <a:solidFill>
                <a:sysClr val="windowText" lastClr="000000">
                  <a:hueOff val="0"/>
                  <a:satOff val="0"/>
                  <a:lumOff val="0"/>
                  <a:alphaOff val="0"/>
                </a:sysClr>
              </a:solidFill>
              <a:latin typeface="Calibri"/>
              <a:ea typeface="+mn-ea"/>
              <a:cs typeface="+mn-cs"/>
            </a:rPr>
            <a:t>Korzystny rynek pracy. Relatywnie niski poziom bezrobocia, wzrastająca liczba zarejestrowanych podmiotów gospodarczych</a:t>
          </a:r>
          <a:endParaRPr lang="pl-PL" sz="800">
            <a:solidFill>
              <a:srgbClr val="A5A5A5">
                <a:lumMod val="75000"/>
              </a:srgbClr>
            </a:solidFill>
            <a:latin typeface="Calibri"/>
            <a:ea typeface="+mn-ea"/>
            <a:cs typeface="+mn-cs"/>
          </a:endParaRPr>
        </a:p>
      </dgm:t>
    </dgm:pt>
    <dgm:pt modelId="{C3F00E99-120C-4834-8B4B-4E25F1486231}" type="parTrans" cxnId="{64E1068E-87A9-424C-B5D6-E8C4F0F6035C}">
      <dgm:prSet/>
      <dgm:spPr/>
      <dgm:t>
        <a:bodyPr/>
        <a:lstStyle/>
        <a:p>
          <a:endParaRPr lang="pl-PL"/>
        </a:p>
      </dgm:t>
    </dgm:pt>
    <dgm:pt modelId="{DD2CBC92-9268-4170-85AF-1A94F2CCA896}" type="sibTrans" cxnId="{64E1068E-87A9-424C-B5D6-E8C4F0F6035C}">
      <dgm:prSet/>
      <dgm:spPr/>
      <dgm:t>
        <a:bodyPr/>
        <a:lstStyle/>
        <a:p>
          <a:endParaRPr lang="pl-PL"/>
        </a:p>
      </dgm:t>
    </dgm:pt>
    <dgm:pt modelId="{EB7346AB-A611-41DF-A41C-52B72607C22A}">
      <dgm:prSet custT="1"/>
      <dgm:spPr/>
      <dgm:t>
        <a:bodyPr/>
        <a:lstStyle/>
        <a:p>
          <a:r>
            <a:rPr lang="pl-PL" sz="800" b="0" i="0" u="none">
              <a:solidFill>
                <a:sysClr val="windowText" lastClr="000000">
                  <a:hueOff val="0"/>
                  <a:satOff val="0"/>
                  <a:lumOff val="0"/>
                  <a:alphaOff val="0"/>
                </a:sysClr>
              </a:solidFill>
              <a:latin typeface="Calibri"/>
              <a:ea typeface="+mn-ea"/>
              <a:cs typeface="+mn-cs"/>
            </a:rPr>
            <a:t>Liczne instytucje otoczenia biznesu</a:t>
          </a:r>
          <a:endParaRPr lang="pl-PL" sz="800">
            <a:solidFill>
              <a:srgbClr val="A5A5A5">
                <a:lumMod val="75000"/>
              </a:srgbClr>
            </a:solidFill>
            <a:latin typeface="Calibri"/>
            <a:ea typeface="+mn-ea"/>
            <a:cs typeface="+mn-cs"/>
          </a:endParaRPr>
        </a:p>
      </dgm:t>
    </dgm:pt>
    <dgm:pt modelId="{2255EC28-B1CC-4BC4-B7E9-0492D3D1895F}" type="parTrans" cxnId="{F569F261-1FCF-4AD1-9E25-9B271B34CD9F}">
      <dgm:prSet/>
      <dgm:spPr/>
      <dgm:t>
        <a:bodyPr/>
        <a:lstStyle/>
        <a:p>
          <a:endParaRPr lang="pl-PL"/>
        </a:p>
      </dgm:t>
    </dgm:pt>
    <dgm:pt modelId="{5500AB0A-BE0C-40BC-90F0-99A11610C78F}" type="sibTrans" cxnId="{F569F261-1FCF-4AD1-9E25-9B271B34CD9F}">
      <dgm:prSet/>
      <dgm:spPr/>
      <dgm:t>
        <a:bodyPr/>
        <a:lstStyle/>
        <a:p>
          <a:endParaRPr lang="pl-PL"/>
        </a:p>
      </dgm:t>
    </dgm:pt>
    <dgm:pt modelId="{A05F9017-311D-4DA3-B199-10F2AE60B14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Brak zaangażowania zagranicznych firrm działających w LSSE  w inicjatwy społeczne miasta</a:t>
          </a:r>
          <a:endParaRPr lang="pl-PL" sz="800">
            <a:solidFill>
              <a:srgbClr val="FF0000"/>
            </a:solidFill>
          </a:endParaRPr>
        </a:p>
      </dgm:t>
    </dgm:pt>
    <dgm:pt modelId="{0406E3D9-6421-4910-A0BC-BB0CE06DC3B3}" type="parTrans" cxnId="{EE192D03-E225-4842-A23C-D95B4116B2D0}">
      <dgm:prSet/>
      <dgm:spPr/>
      <dgm:t>
        <a:bodyPr/>
        <a:lstStyle/>
        <a:p>
          <a:endParaRPr lang="pl-PL"/>
        </a:p>
      </dgm:t>
    </dgm:pt>
    <dgm:pt modelId="{CA522B7F-7182-437C-B0D1-3332F053A7C5}" type="sibTrans" cxnId="{EE192D03-E225-4842-A23C-D95B4116B2D0}">
      <dgm:prSet/>
      <dgm:spPr/>
      <dgm:t>
        <a:bodyPr/>
        <a:lstStyle/>
        <a:p>
          <a:endParaRPr lang="pl-PL"/>
        </a:p>
      </dgm:t>
    </dgm:pt>
    <dgm:pt modelId="{55061E24-F5F0-47CF-8C60-DA55F051344F}">
      <dgm:prSet custT="1"/>
      <dgm:spPr/>
      <dgm:t>
        <a:bodyPr/>
        <a:lstStyle/>
        <a:p>
          <a:r>
            <a:rPr lang="pl-PL" sz="800" b="0" i="0" u="none">
              <a:solidFill>
                <a:sysClr val="windowText" lastClr="000000">
                  <a:hueOff val="0"/>
                  <a:satOff val="0"/>
                  <a:lumOff val="0"/>
                  <a:alphaOff val="0"/>
                </a:sysClr>
              </a:solidFill>
              <a:latin typeface="Calibri"/>
              <a:ea typeface="+mn-ea"/>
              <a:cs typeface="+mn-cs"/>
            </a:rPr>
            <a:t>Utrzymanie się niekorzystnych zjawisk gospodarczych spowodowanych światowym kryzysem gospodarczym</a:t>
          </a:r>
          <a:endParaRPr lang="pl-PL" sz="800">
            <a:solidFill>
              <a:srgbClr val="E7E6E6">
                <a:lumMod val="25000"/>
              </a:srgbClr>
            </a:solidFill>
            <a:latin typeface="Calibri"/>
            <a:ea typeface="+mn-ea"/>
            <a:cs typeface="+mn-cs"/>
          </a:endParaRPr>
        </a:p>
      </dgm:t>
    </dgm:pt>
    <dgm:pt modelId="{E1148F02-189A-4142-84D6-587554446513}" type="parTrans" cxnId="{3E339658-EB55-471A-901B-E3A18D7424FE}">
      <dgm:prSet/>
      <dgm:spPr/>
      <dgm:t>
        <a:bodyPr/>
        <a:lstStyle/>
        <a:p>
          <a:endParaRPr lang="pl-PL"/>
        </a:p>
      </dgm:t>
    </dgm:pt>
    <dgm:pt modelId="{EB5853CB-8739-4633-B293-CCB0D81E8899}" type="sibTrans" cxnId="{3E339658-EB55-471A-901B-E3A18D7424FE}">
      <dgm:prSet/>
      <dgm:spPr/>
      <dgm:t>
        <a:bodyPr/>
        <a:lstStyle/>
        <a:p>
          <a:endParaRPr lang="pl-PL"/>
        </a:p>
      </dgm:t>
    </dgm:pt>
    <dgm:pt modelId="{91B82BE9-6CD4-4BC6-848D-78AD445C760A}">
      <dgm:prSet custT="1"/>
      <dgm:spPr/>
      <dgm:t>
        <a:bodyPr/>
        <a:lstStyle/>
        <a:p>
          <a:r>
            <a:rPr lang="pl-PL" sz="800" b="0" i="0" u="none">
              <a:solidFill>
                <a:sysClr val="windowText" lastClr="000000">
                  <a:hueOff val="0"/>
                  <a:satOff val="0"/>
                  <a:lumOff val="0"/>
                  <a:alphaOff val="0"/>
                </a:sysClr>
              </a:solidFill>
              <a:latin typeface="Calibri"/>
              <a:ea typeface="+mn-ea"/>
              <a:cs typeface="+mn-cs"/>
            </a:rPr>
            <a:t>Migracje mieszkańców Legnicy do ościennych gmin i Wrocławia, w tym wysoko wykwalifikowanych specjalistów</a:t>
          </a:r>
          <a:endParaRPr lang="pl-PL" sz="800">
            <a:solidFill>
              <a:srgbClr val="E7E6E6">
                <a:lumMod val="25000"/>
              </a:srgbClr>
            </a:solidFill>
            <a:latin typeface="Calibri"/>
            <a:ea typeface="+mn-ea"/>
            <a:cs typeface="+mn-cs"/>
          </a:endParaRPr>
        </a:p>
      </dgm:t>
    </dgm:pt>
    <dgm:pt modelId="{09981427-9B90-4D90-97EC-5AF3700BD955}" type="parTrans" cxnId="{CDE28C6D-3577-49CC-8BEC-101D55EA410D}">
      <dgm:prSet/>
      <dgm:spPr/>
      <dgm:t>
        <a:bodyPr/>
        <a:lstStyle/>
        <a:p>
          <a:endParaRPr lang="pl-PL"/>
        </a:p>
      </dgm:t>
    </dgm:pt>
    <dgm:pt modelId="{BCB5F399-90E1-4860-B79F-076455D2AED6}" type="sibTrans" cxnId="{CDE28C6D-3577-49CC-8BEC-101D55EA410D}">
      <dgm:prSet/>
      <dgm:spPr/>
      <dgm:t>
        <a:bodyPr/>
        <a:lstStyle/>
        <a:p>
          <a:endParaRPr lang="pl-PL"/>
        </a:p>
      </dgm:t>
    </dgm:pt>
    <dgm:pt modelId="{C03A98FA-EF6E-474C-BD28-C6DCDAF3976E}">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solidFill>
                <a:sysClr val="windowText" lastClr="000000">
                  <a:hueOff val="0"/>
                  <a:satOff val="0"/>
                  <a:lumOff val="0"/>
                  <a:alphaOff val="0"/>
                </a:sysClr>
              </a:solidFill>
              <a:latin typeface="Calibri"/>
              <a:ea typeface="+mn-ea"/>
              <a:cs typeface="+mn-cs"/>
            </a:rPr>
            <a:t>Brak wypracowanych praktyk w zakresie transferu technologii i współpracy pomiędzy sektorem naukowo-badawczym, a przedsiębiorstwami powodujący utrzymywanie się niskiego poziomu innowacyjności w kraju. </a:t>
          </a:r>
          <a:endParaRPr lang="pl-PL" sz="800">
            <a:solidFill>
              <a:schemeClr val="bg2">
                <a:lumMod val="25000"/>
              </a:schemeClr>
            </a:solidFill>
          </a:endParaRPr>
        </a:p>
      </dgm:t>
    </dgm:pt>
    <dgm:pt modelId="{B5C94C1D-901D-4FAC-A302-35491983AD7C}" type="parTrans" cxnId="{193AD175-7909-46C6-8508-0E255DE1FB29}">
      <dgm:prSet/>
      <dgm:spPr/>
      <dgm:t>
        <a:bodyPr/>
        <a:lstStyle/>
        <a:p>
          <a:endParaRPr lang="pl-PL"/>
        </a:p>
      </dgm:t>
    </dgm:pt>
    <dgm:pt modelId="{540AAD22-DC29-46A9-81ED-82ED9D8B526F}" type="sibTrans" cxnId="{193AD175-7909-46C6-8508-0E255DE1FB29}">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67798" custScaleY="37352" custLinFactNeighborX="-451" custLinFactNeighborY="-33740"/>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dgm:spPr/>
      <dgm:t>
        <a:bodyPr/>
        <a:lstStyle/>
        <a:p>
          <a:endParaRPr lang="pl-PL"/>
        </a:p>
      </dgm:t>
    </dgm:pt>
    <dgm:pt modelId="{1C8AB41D-24DC-4091-AEFF-E52AEEF470CC}" type="pres">
      <dgm:prSet presAssocID="{2E10DDA2-C3CC-477D-9BDD-C126C84E5A17}" presName="node" presStyleLbl="node1" presStyleIdx="0" presStyleCnt="4" custScaleX="188643" custScaleY="99289" custRadScaleRad="64792" custRadScaleInc="-21865">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88643" custScaleY="183151" custRadScaleRad="167691" custRadScaleInc="5681">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88643" custScaleY="251502" custRadScaleRad="185756" custRadScaleInc="-8511">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3" presStyleCnt="4"/>
      <dgm:spPr/>
      <dgm:t>
        <a:bodyPr/>
        <a:lstStyle/>
        <a:p>
          <a:endParaRPr lang="pl-PL"/>
        </a:p>
      </dgm:t>
    </dgm:pt>
    <dgm:pt modelId="{0705A7DC-BA1D-47B6-986E-36DB063A45C7}" type="pres">
      <dgm:prSet presAssocID="{D20E421B-DFB4-45C3-BA00-49FA0E1CC344}" presName="node" presStyleLbl="node1" presStyleIdx="3" presStyleCnt="4" custScaleX="188643" custScaleY="164404" custRadScaleRad="64740" custRadScaleInc="58186">
        <dgm:presLayoutVars>
          <dgm:bulletEnabled val="1"/>
        </dgm:presLayoutVars>
      </dgm:prSet>
      <dgm:spPr/>
      <dgm:t>
        <a:bodyPr/>
        <a:lstStyle/>
        <a:p>
          <a:endParaRPr lang="pl-PL"/>
        </a:p>
      </dgm:t>
    </dgm:pt>
  </dgm:ptLst>
  <dgm:cxnLst>
    <dgm:cxn modelId="{27631255-1A04-447E-A13A-495E5C60F00C}" type="presOf" srcId="{897A0DB3-3676-49F6-B288-32A6502F9EBD}" destId="{62E613A9-F5C4-4D27-AD94-D5DF52CC0829}" srcOrd="0" destOrd="5" presId="urn:microsoft.com/office/officeart/2005/8/layout/radial4"/>
    <dgm:cxn modelId="{7DCB1B92-F6FA-4DC0-A104-6CFB906C5A58}" type="presOf" srcId="{91B82BE9-6CD4-4BC6-848D-78AD445C760A}" destId="{0705A7DC-BA1D-47B6-986E-36DB063A45C7}" srcOrd="0" destOrd="4" presId="urn:microsoft.com/office/officeart/2005/8/layout/radial4"/>
    <dgm:cxn modelId="{93488CAE-5639-4C30-868E-89A6E0E0BFAB}" type="presOf" srcId="{A3C38BEC-F612-42BE-97AD-B03509413D9E}" destId="{1C8AB41D-24DC-4091-AEFF-E52AEEF470CC}" srcOrd="0" destOrd="1" presId="urn:microsoft.com/office/officeart/2005/8/layout/radial4"/>
    <dgm:cxn modelId="{E4CB1593-D257-41F4-AA47-299E9556D011}" srcId="{53FB7279-8AB2-41F2-9E6E-538C3EA3557B}" destId="{57E6587F-A2CE-4FCE-AD09-30867BA1AFDF}" srcOrd="2" destOrd="0" parTransId="{3F92AD4D-A68B-4CCB-A61E-4D7D9FC634F4}" sibTransId="{7C39B1A9-5565-41CD-9B1A-22FBCC681A74}"/>
    <dgm:cxn modelId="{76D5EBBC-E95D-4C4C-BB10-93F76F73DD05}" srcId="{D4AD5703-DE06-44C7-B060-E21C427613C5}" destId="{387DF329-38F2-4C96-BF12-AD800EACCD5C}" srcOrd="7" destOrd="0" parTransId="{E6FC65EA-412C-44AC-A51A-4A928BD61A7E}" sibTransId="{9C474516-D3DA-4125-80B5-B9652BA834C2}"/>
    <dgm:cxn modelId="{7DCD17D4-E330-4439-A33C-C63BE0E0BC51}" type="presOf" srcId="{CDCA078B-AB38-407F-9F3F-D351E3A58F17}" destId="{62E613A9-F5C4-4D27-AD94-D5DF52CC0829}" srcOrd="0" destOrd="2" presId="urn:microsoft.com/office/officeart/2005/8/layout/radial4"/>
    <dgm:cxn modelId="{EF362067-DB38-4B38-BD6F-B7A52A07E38C}" type="presOf" srcId="{55061E24-F5F0-47CF-8C60-DA55F051344F}" destId="{0705A7DC-BA1D-47B6-986E-36DB063A45C7}" srcOrd="0" destOrd="3" presId="urn:microsoft.com/office/officeart/2005/8/layout/radial4"/>
    <dgm:cxn modelId="{326EDFA0-2463-45B2-9F71-BE6D36AC2FC5}" srcId="{53FB7279-8AB2-41F2-9E6E-538C3EA3557B}" destId="{CDC52E44-415B-43CA-9BD5-BEE0E6CB5AFB}" srcOrd="6" destOrd="0" parTransId="{6EE5DF37-6A7C-44B8-BF6A-89B28248E56A}" sibTransId="{207C5350-2B9E-4153-8155-76EDA8A861B0}"/>
    <dgm:cxn modelId="{17BA3F9E-7CB6-4294-907F-2D58218D3DC2}" type="presOf" srcId="{F2B56D34-3F4F-4993-AD7C-DC5B88FB26B9}" destId="{62E613A9-F5C4-4D27-AD94-D5DF52CC0829}" srcOrd="0" destOrd="1" presId="urn:microsoft.com/office/officeart/2005/8/layout/radial4"/>
    <dgm:cxn modelId="{3C6D759F-58A4-46FB-B6F0-9DF7BF4C26FE}" type="presOf" srcId="{BA11B319-2CDF-4FFA-9C6C-6749C95AECC9}" destId="{37840515-5973-4B60-9470-DCC494E77099}" srcOrd="0" destOrd="6" presId="urn:microsoft.com/office/officeart/2005/8/layout/radial4"/>
    <dgm:cxn modelId="{A98E459E-0FC6-4ED6-AA77-E4FCF6F0C774}" srcId="{D4AD5703-DE06-44C7-B060-E21C427613C5}" destId="{BA11B319-2CDF-4FFA-9C6C-6749C95AECC9}" srcOrd="5" destOrd="0" parTransId="{1C80121B-75C0-4EAD-98AF-44C4456CD577}" sibTransId="{2DE553B7-2863-4454-BA0E-BF85F6ABCAB3}"/>
    <dgm:cxn modelId="{F3387D5C-0A8E-44D9-8696-733865FE082E}" srcId="{E0DE7FC3-05DD-41F8-A93B-17E37FBA99A2}" destId="{53FB7279-8AB2-41F2-9E6E-538C3EA3557B}" srcOrd="1" destOrd="0" parTransId="{1E708C46-3FA4-47BE-91B6-298260E2983A}" sibTransId="{9D1654F8-85CB-4E50-8554-00121DB246C9}"/>
    <dgm:cxn modelId="{47CCE989-4255-4363-BEEF-1EFAB3EB7E66}" type="presOf" srcId="{65ABCF01-7144-4C18-A595-A44C05FACFFF}" destId="{23B2D597-4BCD-4CBB-8167-C9AF0A7E6FF6}" srcOrd="0" destOrd="0" presId="urn:microsoft.com/office/officeart/2005/8/layout/radial4"/>
    <dgm:cxn modelId="{CDE28C6D-3577-49CC-8BEC-101D55EA410D}" srcId="{D20E421B-DFB4-45C3-BA00-49FA0E1CC344}" destId="{91B82BE9-6CD4-4BC6-848D-78AD445C760A}" srcOrd="3" destOrd="0" parTransId="{09981427-9B90-4D90-97EC-5AF3700BD955}" sibTransId="{BCB5F399-90E1-4860-B79F-076455D2AED6}"/>
    <dgm:cxn modelId="{E4F5BC9F-5840-4199-90E6-2BAC2E1B892B}" srcId="{2E10DDA2-C3CC-477D-9BDD-C126C84E5A17}" destId="{A3C38BEC-F612-42BE-97AD-B03509413D9E}" srcOrd="0" destOrd="0" parTransId="{D488E9FE-BD41-492D-8EA5-E78D92067AB1}" sibTransId="{F4795FE9-86E1-43DA-BA5B-A803200D6FCA}"/>
    <dgm:cxn modelId="{5E9ABFB0-DA26-48E2-9E2D-762ED27FF661}" type="presOf" srcId="{C7A40EE3-B2C6-41CB-8E70-783E3C418DC4}" destId="{1C8AB41D-24DC-4091-AEFF-E52AEEF470CC}" srcOrd="0" destOrd="2" presId="urn:microsoft.com/office/officeart/2005/8/layout/radial4"/>
    <dgm:cxn modelId="{E230636B-104D-4FE7-8DE0-EED6FE508A81}" srcId="{D4AD5703-DE06-44C7-B060-E21C427613C5}" destId="{C7C252AF-8FD1-4675-ABE1-97FE58B5D3C4}" srcOrd="1" destOrd="0" parTransId="{488C9BEE-84A1-4AC2-9698-F8AB1AAE4102}" sibTransId="{25FA74BD-A18A-4FFB-8DDB-4976EB1DDC74}"/>
    <dgm:cxn modelId="{7A5A0B60-717F-48CE-9814-F51320261AF8}" type="presOf" srcId="{D20E421B-DFB4-45C3-BA00-49FA0E1CC344}" destId="{0705A7DC-BA1D-47B6-986E-36DB063A45C7}" srcOrd="0" destOrd="0" presId="urn:microsoft.com/office/officeart/2005/8/layout/radial4"/>
    <dgm:cxn modelId="{64E1068E-87A9-424C-B5D6-E8C4F0F6035C}" srcId="{53FB7279-8AB2-41F2-9E6E-538C3EA3557B}" destId="{BE1ED646-A59F-497B-85AC-4C21DDD53AA9}" srcOrd="7" destOrd="0" parTransId="{C3F00E99-120C-4834-8B4B-4E25F1486231}" sibTransId="{DD2CBC92-9268-4170-85AF-1A94F2CCA896}"/>
    <dgm:cxn modelId="{5F389096-CF6B-4E06-8E56-B82FC5C288E4}" srcId="{D4AD5703-DE06-44C7-B060-E21C427613C5}" destId="{54E86EDA-9CF5-43BE-8761-01E05F9C546F}" srcOrd="0" destOrd="0" parTransId="{15D4F78E-38E0-4876-819C-69FC77C3C5BE}" sibTransId="{E042228D-CBCC-4AA6-8960-7683FFB22B74}"/>
    <dgm:cxn modelId="{4EE470FD-9B0D-4DB9-BBCB-088677F5AE8F}" srcId="{53FB7279-8AB2-41F2-9E6E-538C3EA3557B}" destId="{35D72112-107D-4A6A-9F65-77375D78F9BD}" srcOrd="5" destOrd="0" parTransId="{2EFC8792-81CD-4420-B24E-67079129D607}" sibTransId="{AF8D1E91-203A-4BC1-9033-6FCF538EA333}"/>
    <dgm:cxn modelId="{15574A8C-37F1-4CE1-8A34-63309A8F81E7}" srcId="{53FB7279-8AB2-41F2-9E6E-538C3EA3557B}" destId="{F2B56D34-3F4F-4993-AD7C-DC5B88FB26B9}" srcOrd="0" destOrd="0" parTransId="{2A427521-55A6-4536-A214-699C2060D7F0}" sibTransId="{E36174D3-4D7D-468F-9C23-810EA92D44A2}"/>
    <dgm:cxn modelId="{6CFDAAED-9616-464C-8481-F9013D569E46}" srcId="{2E10DDA2-C3CC-477D-9BDD-C126C84E5A17}" destId="{C7A40EE3-B2C6-41CB-8E70-783E3C418DC4}" srcOrd="1" destOrd="0" parTransId="{7609D59C-5BB1-4BC9-872F-C2704C095B1D}" sibTransId="{263E66D2-6362-47A3-B102-31731E828703}"/>
    <dgm:cxn modelId="{F2B0C20E-E11F-494F-9C63-2E7D9157CBE9}" type="presOf" srcId="{E0DE7FC3-05DD-41F8-A93B-17E37FBA99A2}" destId="{E2B26D40-CEB8-480B-9958-6903BBB4B7DE}" srcOrd="0" destOrd="0" presId="urn:microsoft.com/office/officeart/2005/8/layout/radial4"/>
    <dgm:cxn modelId="{FDE401E2-C2D5-443C-927B-73AA4358485E}" type="presOf" srcId="{BE1ED646-A59F-497B-85AC-4C21DDD53AA9}" destId="{62E613A9-F5C4-4D27-AD94-D5DF52CC0829}" srcOrd="0" destOrd="8" presId="urn:microsoft.com/office/officeart/2005/8/layout/radial4"/>
    <dgm:cxn modelId="{0DA29C6F-04AB-4A88-A873-BC31C9A2A0AC}" type="presOf" srcId="{CDC52E44-415B-43CA-9BD5-BEE0E6CB5AFB}" destId="{62E613A9-F5C4-4D27-AD94-D5DF52CC0829}" srcOrd="0" destOrd="7" presId="urn:microsoft.com/office/officeart/2005/8/layout/radial4"/>
    <dgm:cxn modelId="{2D4C426C-3808-480C-A469-9BD30B654D88}" type="presOf" srcId="{9B6FA2A3-388A-44C1-ADFC-66A57833DEC1}" destId="{62222EA0-69AD-435D-B846-D23728F3081C}" srcOrd="0" destOrd="0" presId="urn:microsoft.com/office/officeart/2005/8/layout/radial4"/>
    <dgm:cxn modelId="{DF8FF0D5-9450-4CF4-8399-4F44B2B7024D}" type="presOf" srcId="{A05F9017-311D-4DA3-B199-10F2AE60B147}" destId="{1C8AB41D-24DC-4091-AEFF-E52AEEF470CC}" srcOrd="0" destOrd="3" presId="urn:microsoft.com/office/officeart/2005/8/layout/radial4"/>
    <dgm:cxn modelId="{9B42D782-28DF-4690-B0B8-F1F327461606}" srcId="{D4AD5703-DE06-44C7-B060-E21C427613C5}" destId="{556A76AF-B52A-43BB-9546-BDA243D34EBD}" srcOrd="4" destOrd="0" parTransId="{20E9061B-9FD1-4DDC-B2C3-3651F77CE8A8}" sibTransId="{E9BB92D8-13B3-4EB4-B7E7-2C458FFC25B1}"/>
    <dgm:cxn modelId="{68B9F328-46EB-44E1-AC19-2969B5D9A734}" srcId="{53FB7279-8AB2-41F2-9E6E-538C3EA3557B}" destId="{CDCA078B-AB38-407F-9F3F-D351E3A58F17}" srcOrd="1" destOrd="0" parTransId="{A3771730-F28D-4957-A8AE-9AF4C79FE6E4}" sibTransId="{1D448A4E-961A-4BC6-80CF-809BFAC3E02D}"/>
    <dgm:cxn modelId="{2DAC37BC-1F05-461B-92D1-AB9644944C8F}" type="presOf" srcId="{556A76AF-B52A-43BB-9546-BDA243D34EBD}" destId="{37840515-5973-4B60-9470-DCC494E77099}" srcOrd="0" destOrd="5" presId="urn:microsoft.com/office/officeart/2005/8/layout/radial4"/>
    <dgm:cxn modelId="{4E72B851-CE82-454F-8AFF-72F26959AE9C}" type="presOf" srcId="{1E708C46-3FA4-47BE-91B6-298260E2983A}" destId="{4079F557-B870-4692-B361-17B891DAF6D5}" srcOrd="0" destOrd="0" presId="urn:microsoft.com/office/officeart/2005/8/layout/radial4"/>
    <dgm:cxn modelId="{71ABDF2A-713F-418F-9A24-CB133D0CA470}" srcId="{D4AD5703-DE06-44C7-B060-E21C427613C5}" destId="{B20A3C84-A5A3-467A-B37C-2A68558328F4}" srcOrd="2" destOrd="0" parTransId="{52FFAB7D-F925-4282-9129-9FBB9025208B}" sibTransId="{1295D2E2-81D8-4F61-80EF-51A53086166F}"/>
    <dgm:cxn modelId="{D04FF742-ECC9-4355-BCCE-98766C9F9464}" type="presOf" srcId="{57E6587F-A2CE-4FCE-AD09-30867BA1AFDF}" destId="{62E613A9-F5C4-4D27-AD94-D5DF52CC0829}" srcOrd="0" destOrd="3" presId="urn:microsoft.com/office/officeart/2005/8/layout/radial4"/>
    <dgm:cxn modelId="{58247E96-E71E-4613-8691-067804BB1391}" type="presOf" srcId="{C03A98FA-EF6E-474C-BD28-C6DCDAF3976E}" destId="{0705A7DC-BA1D-47B6-986E-36DB063A45C7}" srcOrd="0" destOrd="2" presId="urn:microsoft.com/office/officeart/2005/8/layout/radial4"/>
    <dgm:cxn modelId="{193AD175-7909-46C6-8508-0E255DE1FB29}" srcId="{D20E421B-DFB4-45C3-BA00-49FA0E1CC344}" destId="{C03A98FA-EF6E-474C-BD28-C6DCDAF3976E}" srcOrd="1" destOrd="0" parTransId="{B5C94C1D-901D-4FAC-A302-35491983AD7C}" sibTransId="{540AAD22-DC29-46A9-81ED-82ED9D8B526F}"/>
    <dgm:cxn modelId="{668C362D-3F7E-46E6-8B3D-EDA87B96FE6F}" type="presOf" srcId="{387DF329-38F2-4C96-BF12-AD800EACCD5C}" destId="{37840515-5973-4B60-9470-DCC494E77099}" srcOrd="0" destOrd="8" presId="urn:microsoft.com/office/officeart/2005/8/layout/radial4"/>
    <dgm:cxn modelId="{EF83F9D1-AF5D-454B-9C8E-EA4962773154}" srcId="{53FB7279-8AB2-41F2-9E6E-538C3EA3557B}" destId="{897A0DB3-3676-49F6-B288-32A6502F9EBD}" srcOrd="4" destOrd="0" parTransId="{01D6907C-5622-4148-BCBD-BE80281BE35B}" sibTransId="{F454636D-69AD-4058-844C-7F2E961DE8E0}"/>
    <dgm:cxn modelId="{2CA790C9-108A-485B-922F-A695B1FF6D80}" srcId="{53FB7279-8AB2-41F2-9E6E-538C3EA3557B}" destId="{485D56B7-6F75-44A1-B7FD-26DDF5FD8613}" srcOrd="3" destOrd="0" parTransId="{53C72B7B-9DF1-4B29-AB4D-AC3D6640B1A6}" sibTransId="{57639D02-381B-407C-8E52-65F06AC3CBC7}"/>
    <dgm:cxn modelId="{85941556-5244-450C-8BE5-70B9F592B8C7}" type="presOf" srcId="{2E10DDA2-C3CC-477D-9BDD-C126C84E5A17}" destId="{1C8AB41D-24DC-4091-AEFF-E52AEEF470CC}" srcOrd="0" destOrd="0" presId="urn:microsoft.com/office/officeart/2005/8/layout/radial4"/>
    <dgm:cxn modelId="{F569F261-1FCF-4AD1-9E25-9B271B34CD9F}" srcId="{53FB7279-8AB2-41F2-9E6E-538C3EA3557B}" destId="{EB7346AB-A611-41DF-A41C-52B72607C22A}" srcOrd="8" destOrd="0" parTransId="{2255EC28-B1CC-4BC4-B7E9-0492D3D1895F}" sibTransId="{5500AB0A-BE0C-40BC-90F0-99A11610C78F}"/>
    <dgm:cxn modelId="{7FE59334-483D-4125-B8C8-36931CA0531C}" srcId="{D20E421B-DFB4-45C3-BA00-49FA0E1CC344}" destId="{46FC2376-5F8B-4698-BAA8-49519C157BBB}" srcOrd="0" destOrd="0" parTransId="{BDDB3448-70CE-4546-A283-44E4CC9A3389}" sibTransId="{1D8287FB-AE71-4BE4-90F9-096C6503D260}"/>
    <dgm:cxn modelId="{02543445-1C0A-46F9-B6EB-43B601F133F3}" srcId="{9B6FA2A3-388A-44C1-ADFC-66A57833DEC1}" destId="{E0DE7FC3-05DD-41F8-A93B-17E37FBA99A2}" srcOrd="0" destOrd="0" parTransId="{E35055FD-471C-4A8A-A01E-7FD9DBB350E6}" sibTransId="{D8E9451C-0B4B-4443-8273-3064A7EA324D}"/>
    <dgm:cxn modelId="{AEE872B1-F8E7-480D-A852-C750695B22EC}" srcId="{E0DE7FC3-05DD-41F8-A93B-17E37FBA99A2}" destId="{2E10DDA2-C3CC-477D-9BDD-C126C84E5A17}" srcOrd="0" destOrd="0" parTransId="{B68BCCBA-4CDD-4BDE-B444-4DE7199F6CE9}" sibTransId="{D30FB8F5-C61B-47A3-9A69-8533E1E5498A}"/>
    <dgm:cxn modelId="{2BE3FF42-AC18-4DA3-996D-48787F6CBF69}" type="presOf" srcId="{46FC2376-5F8B-4698-BAA8-49519C157BBB}" destId="{0705A7DC-BA1D-47B6-986E-36DB063A45C7}" srcOrd="0" destOrd="1" presId="urn:microsoft.com/office/officeart/2005/8/layout/radial4"/>
    <dgm:cxn modelId="{EE192D03-E225-4842-A23C-D95B4116B2D0}" srcId="{2E10DDA2-C3CC-477D-9BDD-C126C84E5A17}" destId="{A05F9017-311D-4DA3-B199-10F2AE60B147}" srcOrd="2" destOrd="0" parTransId="{0406E3D9-6421-4910-A0BC-BB0CE06DC3B3}" sibTransId="{CA522B7F-7182-437C-B0D1-3332F053A7C5}"/>
    <dgm:cxn modelId="{1984FC28-F165-48F0-A2A8-D6B7AA54AE36}" type="presOf" srcId="{B68BCCBA-4CDD-4BDE-B444-4DE7199F6CE9}" destId="{8392C9FF-A8EA-439E-A648-53E7E32E0AA6}" srcOrd="0" destOrd="0" presId="urn:microsoft.com/office/officeart/2005/8/layout/radial4"/>
    <dgm:cxn modelId="{9BA14BF7-7029-4AF5-B209-208FA8AFA379}" type="presOf" srcId="{53FB7279-8AB2-41F2-9E6E-538C3EA3557B}" destId="{62E613A9-F5C4-4D27-AD94-D5DF52CC0829}" srcOrd="0" destOrd="0" presId="urn:microsoft.com/office/officeart/2005/8/layout/radial4"/>
    <dgm:cxn modelId="{E3777684-31CF-4A90-8EB6-F6B1C1C89C8D}" srcId="{E0DE7FC3-05DD-41F8-A93B-17E37FBA99A2}" destId="{D20E421B-DFB4-45C3-BA00-49FA0E1CC344}" srcOrd="3" destOrd="0" parTransId="{DA013B53-CE7E-47E8-AD95-056724E186A9}" sibTransId="{0C698FC3-B64E-41D5-90E6-DDD60C7432B2}"/>
    <dgm:cxn modelId="{20FD63C1-2831-46AE-B1F6-FCC73CE8E7D9}" srcId="{D4AD5703-DE06-44C7-B060-E21C427613C5}" destId="{18459327-9342-478C-9CC8-2362A928E610}" srcOrd="3" destOrd="0" parTransId="{02C945B3-A1EA-4CD3-B0D9-F35B0F4A7CED}" sibTransId="{6C2C13E1-BBE1-450F-BC53-5550861F1DCB}"/>
    <dgm:cxn modelId="{3B1E4921-DD00-4679-9550-21C2D4A7D1E5}" srcId="{E0DE7FC3-05DD-41F8-A93B-17E37FBA99A2}" destId="{D4AD5703-DE06-44C7-B060-E21C427613C5}" srcOrd="2" destOrd="0" parTransId="{65ABCF01-7144-4C18-A595-A44C05FACFFF}" sibTransId="{3A330B5E-C9BB-42E4-B972-0A169D971D62}"/>
    <dgm:cxn modelId="{36C199BD-F623-4FB2-A6FF-53D227A4BF30}" type="presOf" srcId="{485D56B7-6F75-44A1-B7FD-26DDF5FD8613}" destId="{62E613A9-F5C4-4D27-AD94-D5DF52CC0829}" srcOrd="0" destOrd="4" presId="urn:microsoft.com/office/officeart/2005/8/layout/radial4"/>
    <dgm:cxn modelId="{A4D366C3-0A74-481C-B302-192AAF1F7153}" type="presOf" srcId="{DA013B53-CE7E-47E8-AD95-056724E186A9}" destId="{CBEC65E8-103E-43F6-920E-1F4E5107EC87}" srcOrd="0" destOrd="0" presId="urn:microsoft.com/office/officeart/2005/8/layout/radial4"/>
    <dgm:cxn modelId="{BCA2280E-CA88-4B8F-97EF-5208E4B0D399}" srcId="{D4AD5703-DE06-44C7-B060-E21C427613C5}" destId="{E97A7BDE-665B-42F4-B041-9333892E50D3}" srcOrd="6" destOrd="0" parTransId="{359FC0DD-FAB2-45C2-AA44-39EF479F735E}" sibTransId="{E05CF21E-3E04-4698-ADAA-B69D35BCF46D}"/>
    <dgm:cxn modelId="{550E0EB1-6FD0-4538-9DB0-F2980A38FB2A}" type="presOf" srcId="{54E86EDA-9CF5-43BE-8761-01E05F9C546F}" destId="{37840515-5973-4B60-9470-DCC494E77099}" srcOrd="0" destOrd="1" presId="urn:microsoft.com/office/officeart/2005/8/layout/radial4"/>
    <dgm:cxn modelId="{83042B17-F57E-4F10-89E5-19BE9D2D96BC}" type="presOf" srcId="{D4AD5703-DE06-44C7-B060-E21C427613C5}" destId="{37840515-5973-4B60-9470-DCC494E77099}" srcOrd="0" destOrd="0" presId="urn:microsoft.com/office/officeart/2005/8/layout/radial4"/>
    <dgm:cxn modelId="{23C04650-9AB7-4D6E-B45B-417930975581}" type="presOf" srcId="{B20A3C84-A5A3-467A-B37C-2A68558328F4}" destId="{37840515-5973-4B60-9470-DCC494E77099}" srcOrd="0" destOrd="3" presId="urn:microsoft.com/office/officeart/2005/8/layout/radial4"/>
    <dgm:cxn modelId="{84BB30CF-4495-42A0-A93F-00F32D608D93}" type="presOf" srcId="{EB7346AB-A611-41DF-A41C-52B72607C22A}" destId="{62E613A9-F5C4-4D27-AD94-D5DF52CC0829}" srcOrd="0" destOrd="9" presId="urn:microsoft.com/office/officeart/2005/8/layout/radial4"/>
    <dgm:cxn modelId="{3BF56213-5105-45F5-9B16-9E1BBC036412}" type="presOf" srcId="{E97A7BDE-665B-42F4-B041-9333892E50D3}" destId="{37840515-5973-4B60-9470-DCC494E77099}" srcOrd="0" destOrd="7" presId="urn:microsoft.com/office/officeart/2005/8/layout/radial4"/>
    <dgm:cxn modelId="{6EEB8F96-5C93-447B-8E19-859976F5A9A6}" type="presOf" srcId="{18459327-9342-478C-9CC8-2362A928E610}" destId="{37840515-5973-4B60-9470-DCC494E77099}" srcOrd="0" destOrd="4" presId="urn:microsoft.com/office/officeart/2005/8/layout/radial4"/>
    <dgm:cxn modelId="{472C542D-2EC7-47C5-809E-A164C7CC8560}" type="presOf" srcId="{35D72112-107D-4A6A-9F65-77375D78F9BD}" destId="{62E613A9-F5C4-4D27-AD94-D5DF52CC0829}" srcOrd="0" destOrd="6" presId="urn:microsoft.com/office/officeart/2005/8/layout/radial4"/>
    <dgm:cxn modelId="{3368D345-B8CB-47B5-8217-B21C10B46FA9}" type="presOf" srcId="{C7C252AF-8FD1-4675-ABE1-97FE58B5D3C4}" destId="{37840515-5973-4B60-9470-DCC494E77099}" srcOrd="0" destOrd="2" presId="urn:microsoft.com/office/officeart/2005/8/layout/radial4"/>
    <dgm:cxn modelId="{3E339658-EB55-471A-901B-E3A18D7424FE}" srcId="{D20E421B-DFB4-45C3-BA00-49FA0E1CC344}" destId="{55061E24-F5F0-47CF-8C60-DA55F051344F}" srcOrd="2" destOrd="0" parTransId="{E1148F02-189A-4142-84D6-587554446513}" sibTransId="{EB5853CB-8739-4633-B293-CCB0D81E8899}"/>
    <dgm:cxn modelId="{34A50794-3774-46EA-B276-C52CADECFF7C}" type="presParOf" srcId="{62222EA0-69AD-435D-B846-D23728F3081C}" destId="{E2B26D40-CEB8-480B-9958-6903BBB4B7DE}" srcOrd="0" destOrd="0" presId="urn:microsoft.com/office/officeart/2005/8/layout/radial4"/>
    <dgm:cxn modelId="{83A7CA52-C7A9-49BA-927F-75BC5131DEB4}" type="presParOf" srcId="{62222EA0-69AD-435D-B846-D23728F3081C}" destId="{8392C9FF-A8EA-439E-A648-53E7E32E0AA6}" srcOrd="1" destOrd="0" presId="urn:microsoft.com/office/officeart/2005/8/layout/radial4"/>
    <dgm:cxn modelId="{DC2A737F-A5B1-4DB5-B057-8B510BDB187A}" type="presParOf" srcId="{62222EA0-69AD-435D-B846-D23728F3081C}" destId="{1C8AB41D-24DC-4091-AEFF-E52AEEF470CC}" srcOrd="2" destOrd="0" presId="urn:microsoft.com/office/officeart/2005/8/layout/radial4"/>
    <dgm:cxn modelId="{C2DBC891-E1D9-485D-A046-7494CD92BCAE}" type="presParOf" srcId="{62222EA0-69AD-435D-B846-D23728F3081C}" destId="{4079F557-B870-4692-B361-17B891DAF6D5}" srcOrd="3" destOrd="0" presId="urn:microsoft.com/office/officeart/2005/8/layout/radial4"/>
    <dgm:cxn modelId="{99820C84-F301-43B8-965A-B95EA02DD77A}" type="presParOf" srcId="{62222EA0-69AD-435D-B846-D23728F3081C}" destId="{62E613A9-F5C4-4D27-AD94-D5DF52CC0829}" srcOrd="4" destOrd="0" presId="urn:microsoft.com/office/officeart/2005/8/layout/radial4"/>
    <dgm:cxn modelId="{9EF29E33-594E-420B-B966-43BAE786AF94}" type="presParOf" srcId="{62222EA0-69AD-435D-B846-D23728F3081C}" destId="{23B2D597-4BCD-4CBB-8167-C9AF0A7E6FF6}" srcOrd="5" destOrd="0" presId="urn:microsoft.com/office/officeart/2005/8/layout/radial4"/>
    <dgm:cxn modelId="{D0E2E422-35E4-4593-BE18-5A677D730841}" type="presParOf" srcId="{62222EA0-69AD-435D-B846-D23728F3081C}" destId="{37840515-5973-4B60-9470-DCC494E77099}" srcOrd="6" destOrd="0" presId="urn:microsoft.com/office/officeart/2005/8/layout/radial4"/>
    <dgm:cxn modelId="{E2646953-D742-448F-A7B9-915CF97722A0}" type="presParOf" srcId="{62222EA0-69AD-435D-B846-D23728F3081C}" destId="{CBEC65E8-103E-43F6-920E-1F4E5107EC87}" srcOrd="7" destOrd="0" presId="urn:microsoft.com/office/officeart/2005/8/layout/radial4"/>
    <dgm:cxn modelId="{9F34EB52-F6D9-4DA1-8930-7E321471F31E}" type="presParOf" srcId="{62222EA0-69AD-435D-B846-D23728F3081C}" destId="{0705A7DC-BA1D-47B6-986E-36DB063A45C7}" srcOrd="8" destOrd="0" presId="urn:microsoft.com/office/officeart/2005/8/layout/radial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miastem ładu przestrzennego, o wysokiej estetyce, zrewitalizowanej zabudowie historycznej, atrakcyjnych przestrzeniach publicznych dla integracji społecznej, wypoczynku, turystyki, rekreacji oraz kultury w centrum i na osiedlach mieszkaniowych</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9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9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9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3EDD0394-324C-4E85-9493-9743A485166E}">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Specyficzne dziedzictwo kulturowe i historyczne budujące potencjał turystyczny i rozwój kulturalny Legnicy</a:t>
          </a:r>
          <a:endParaRPr lang="pl-PL" sz="800">
            <a:solidFill>
              <a:schemeClr val="accent3">
                <a:lumMod val="75000"/>
              </a:schemeClr>
            </a:solidFill>
          </a:endParaRPr>
        </a:p>
      </dgm:t>
    </dgm:pt>
    <dgm:pt modelId="{0029E1A7-10B7-41A6-A504-EF2DC40ECE5A}" type="parTrans" cxnId="{F0B4B243-4968-403F-966B-0FE0D0E45F80}">
      <dgm:prSet/>
      <dgm:spPr/>
      <dgm:t>
        <a:bodyPr/>
        <a:lstStyle/>
        <a:p>
          <a:endParaRPr lang="pl-PL"/>
        </a:p>
      </dgm:t>
    </dgm:pt>
    <dgm:pt modelId="{D5F89FFA-9F65-46BE-BFF5-6E21630230D5}" type="sibTrans" cxnId="{F0B4B243-4968-403F-966B-0FE0D0E45F80}">
      <dgm:prSet/>
      <dgm:spPr/>
      <dgm:t>
        <a:bodyPr/>
        <a:lstStyle/>
        <a:p>
          <a:endParaRPr lang="pl-PL"/>
        </a:p>
      </dgm:t>
    </dgm:pt>
    <dgm:pt modelId="{A9F3BC91-C659-4FEE-A49F-8E44F6B2AFD8}">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Wysoki stopień degradacji znacznej części historycznej zabudowy Miasta</a:t>
          </a:r>
          <a:endParaRPr lang="pl-PL" sz="800">
            <a:solidFill>
              <a:srgbClr val="FF0000"/>
            </a:solidFill>
          </a:endParaRPr>
        </a:p>
      </dgm:t>
    </dgm:pt>
    <dgm:pt modelId="{F8DA1543-C774-43DD-9F96-9207181B3F9E}" type="parTrans" cxnId="{DDA6CC3D-9AC6-40ED-9454-8721DDF61F6D}">
      <dgm:prSet/>
      <dgm:spPr/>
      <dgm:t>
        <a:bodyPr/>
        <a:lstStyle/>
        <a:p>
          <a:endParaRPr lang="pl-PL"/>
        </a:p>
      </dgm:t>
    </dgm:pt>
    <dgm:pt modelId="{6ECF7B6F-3CF3-476C-9DD2-0BDDB6F4D534}" type="sibTrans" cxnId="{DDA6CC3D-9AC6-40ED-9454-8721DDF61F6D}">
      <dgm:prSet/>
      <dgm:spPr/>
      <dgm:t>
        <a:bodyPr/>
        <a:lstStyle/>
        <a:p>
          <a:endParaRPr lang="pl-PL"/>
        </a:p>
      </dgm:t>
    </dgm:pt>
    <dgm:pt modelId="{5E5BF539-221A-4EF5-90F4-9577FC264E2D}">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568C8E75-7181-4506-A6E3-9FC7A7927160}" type="parTrans" cxnId="{3A5CACA1-0375-431B-833D-52B4EB2ADD07}">
      <dgm:prSet/>
      <dgm:spPr/>
      <dgm:t>
        <a:bodyPr/>
        <a:lstStyle/>
        <a:p>
          <a:endParaRPr lang="pl-PL"/>
        </a:p>
      </dgm:t>
    </dgm:pt>
    <dgm:pt modelId="{329BB224-49A5-465F-A5AB-97D08E7B0B45}" type="sibTrans" cxnId="{3A5CACA1-0375-431B-833D-52B4EB2ADD07}">
      <dgm:prSet/>
      <dgm:spPr/>
      <dgm:t>
        <a:bodyPr/>
        <a:lstStyle/>
        <a:p>
          <a:endParaRPr lang="pl-PL"/>
        </a:p>
      </dgm:t>
    </dgm:pt>
    <dgm:pt modelId="{EA451E60-3ABF-40E5-9919-11D6F040A409}">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Wzrost znaczenia polityki miejskiej – nowe instrumenty wspierające rozwój miejskich obszarów funkcjonalnych</a:t>
          </a:r>
          <a:endParaRPr lang="pl-PL" sz="800">
            <a:solidFill>
              <a:schemeClr val="accent1">
                <a:lumMod val="75000"/>
              </a:schemeClr>
            </a:solidFill>
          </a:endParaRPr>
        </a:p>
      </dgm:t>
    </dgm:pt>
    <dgm:pt modelId="{8A2F281C-0FC8-4290-933E-B86509706FF2}" type="parTrans" cxnId="{ED9D3437-443A-45B1-9919-7B3B78352361}">
      <dgm:prSet/>
      <dgm:spPr/>
      <dgm:t>
        <a:bodyPr/>
        <a:lstStyle/>
        <a:p>
          <a:endParaRPr lang="pl-PL"/>
        </a:p>
      </dgm:t>
    </dgm:pt>
    <dgm:pt modelId="{8391A1F6-E4B6-405C-A1D1-8655E1C859E4}" type="sibTrans" cxnId="{ED9D3437-443A-45B1-9919-7B3B78352361}">
      <dgm:prSet/>
      <dgm:spPr/>
      <dgm:t>
        <a:bodyPr/>
        <a:lstStyle/>
        <a:p>
          <a:endParaRPr lang="pl-PL"/>
        </a:p>
      </dgm:t>
    </dgm:pt>
    <dgm:pt modelId="{26E26F0B-2577-4750-B596-563AF7147BC7}">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900">
              <a:solidFill>
                <a:schemeClr val="bg1">
                  <a:lumMod val="50000"/>
                </a:schemeClr>
              </a:solidFill>
              <a:latin typeface="Calibri"/>
              <a:ea typeface="+mn-ea"/>
              <a:cs typeface="+mn-cs"/>
            </a:rPr>
            <a:t>Zagrożenia:</a:t>
          </a:r>
          <a:endParaRPr lang="pl-PL" sz="900">
            <a:solidFill>
              <a:schemeClr val="bg1">
                <a:lumMod val="50000"/>
              </a:schemeClr>
            </a:solidFill>
          </a:endParaRPr>
        </a:p>
      </dgm:t>
    </dgm:pt>
    <dgm:pt modelId="{B3FA6671-554D-4353-A267-15D0ACE4EE41}" type="parTrans" cxnId="{73F62157-B78E-42DE-B4A7-694C4B40B141}">
      <dgm:prSet/>
      <dgm:spPr/>
      <dgm:t>
        <a:bodyPr/>
        <a:lstStyle/>
        <a:p>
          <a:endParaRPr lang="pl-PL"/>
        </a:p>
      </dgm:t>
    </dgm:pt>
    <dgm:pt modelId="{999CE54D-1A21-4676-8D6C-0FB9D99543ED}" type="sibTrans" cxnId="{73F62157-B78E-42DE-B4A7-694C4B40B141}">
      <dgm:prSet/>
      <dgm:spPr/>
      <dgm:t>
        <a:bodyPr/>
        <a:lstStyle/>
        <a:p>
          <a:endParaRPr lang="pl-PL"/>
        </a:p>
      </dgm:t>
    </dgm:pt>
    <dgm:pt modelId="{13EFD78A-5837-47A4-9F78-B1A16AEA6094}">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Rozbudowana baza hotelowa oraz relatywnie wysoka liczba osób korzystających z noclegów głównie w celach biznesowych</a:t>
          </a:r>
          <a:endParaRPr lang="pl-PL" sz="800">
            <a:solidFill>
              <a:schemeClr val="accent3">
                <a:lumMod val="75000"/>
              </a:schemeClr>
            </a:solidFill>
          </a:endParaRPr>
        </a:p>
      </dgm:t>
    </dgm:pt>
    <dgm:pt modelId="{A4D41F82-5E54-49D6-98C4-CE6358EC5640}" type="parTrans" cxnId="{A655E8C3-0DC6-411C-A0AB-8E7C4A265DFD}">
      <dgm:prSet/>
      <dgm:spPr/>
      <dgm:t>
        <a:bodyPr/>
        <a:lstStyle/>
        <a:p>
          <a:endParaRPr lang="pl-PL"/>
        </a:p>
      </dgm:t>
    </dgm:pt>
    <dgm:pt modelId="{E5BA8757-78FA-4D57-89A3-E32389CC910E}" type="sibTrans" cxnId="{A655E8C3-0DC6-411C-A0AB-8E7C4A265DFD}">
      <dgm:prSet/>
      <dgm:spPr/>
      <dgm:t>
        <a:bodyPr/>
        <a:lstStyle/>
        <a:p>
          <a:endParaRPr lang="pl-PL"/>
        </a:p>
      </dgm:t>
    </dgm:pt>
    <dgm:pt modelId="{5B5A1686-4CCC-48E7-A154-B00FD3573505}">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Dobrze rozbudowana infrastruktura usług kultury </a:t>
          </a:r>
          <a:endParaRPr lang="pl-PL" sz="800">
            <a:solidFill>
              <a:schemeClr val="accent3">
                <a:lumMod val="75000"/>
              </a:schemeClr>
            </a:solidFill>
          </a:endParaRPr>
        </a:p>
      </dgm:t>
    </dgm:pt>
    <dgm:pt modelId="{5F3AFD12-CDA0-41B6-BFE7-CA7AE8883FAF}" type="parTrans" cxnId="{66C997C6-E8F8-4F1B-ABFC-6CA49DFE2F27}">
      <dgm:prSet/>
      <dgm:spPr/>
      <dgm:t>
        <a:bodyPr/>
        <a:lstStyle/>
        <a:p>
          <a:endParaRPr lang="pl-PL"/>
        </a:p>
      </dgm:t>
    </dgm:pt>
    <dgm:pt modelId="{EC6F3CE4-7FEA-4E06-ACDF-C5E9F193AD73}" type="sibTrans" cxnId="{66C997C6-E8F8-4F1B-ABFC-6CA49DFE2F27}">
      <dgm:prSet/>
      <dgm:spPr/>
      <dgm:t>
        <a:bodyPr/>
        <a:lstStyle/>
        <a:p>
          <a:endParaRPr lang="pl-PL"/>
        </a:p>
      </dgm:t>
    </dgm:pt>
    <dgm:pt modelId="{AEE6F54C-E7AA-4B8E-B164-B2C537D4321D}">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solidFill>
                <a:sysClr val="windowText" lastClr="000000">
                  <a:hueOff val="0"/>
                  <a:satOff val="0"/>
                  <a:lumOff val="0"/>
                  <a:alphaOff val="0"/>
                </a:sysClr>
              </a:solidFill>
              <a:latin typeface="Calibri"/>
              <a:ea typeface="+mn-ea"/>
              <a:cs typeface="+mn-cs"/>
            </a:rPr>
            <a:t>Brak ścieżek rowerowych zintegrowanych z sąsiednimi gminami</a:t>
          </a:r>
          <a:endParaRPr lang="pl-PL" sz="800">
            <a:solidFill>
              <a:srgbClr val="FF0000"/>
            </a:solidFill>
          </a:endParaRPr>
        </a:p>
      </dgm:t>
    </dgm:pt>
    <dgm:pt modelId="{728334FC-CFF1-4ADC-BDAF-0D6332858E47}" type="parTrans" cxnId="{D295E992-ABE7-45F1-A708-A84B6FEF29B1}">
      <dgm:prSet/>
      <dgm:spPr/>
      <dgm:t>
        <a:bodyPr/>
        <a:lstStyle/>
        <a:p>
          <a:endParaRPr lang="pl-PL"/>
        </a:p>
      </dgm:t>
    </dgm:pt>
    <dgm:pt modelId="{D4542251-6555-4A9C-9F0B-F839743F9B1D}" type="sibTrans" cxnId="{D295E992-ABE7-45F1-A708-A84B6FEF29B1}">
      <dgm:prSet/>
      <dgm:spPr/>
      <dgm:t>
        <a:bodyPr/>
        <a:lstStyle/>
        <a:p>
          <a:endParaRPr lang="pl-PL"/>
        </a:p>
      </dgm:t>
    </dgm:pt>
    <dgm:pt modelId="{2D214F21-D22F-4B49-997B-32A01947CF2C}">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solidFill>
                <a:sysClr val="windowText" lastClr="000000">
                  <a:hueOff val="0"/>
                  <a:satOff val="0"/>
                  <a:lumOff val="0"/>
                  <a:alphaOff val="0"/>
                </a:sysClr>
              </a:solidFill>
              <a:latin typeface="Calibri"/>
              <a:ea typeface="+mn-ea"/>
              <a:cs typeface="+mn-cs"/>
            </a:rPr>
            <a:t>Naturalne trendy zanikania turystyki sentymentalnej</a:t>
          </a:r>
          <a:endParaRPr lang="pl-PL" sz="800">
            <a:solidFill>
              <a:srgbClr val="E7E6E6">
                <a:lumMod val="25000"/>
              </a:srgbClr>
            </a:solidFill>
            <a:latin typeface="Calibri"/>
            <a:ea typeface="+mn-ea"/>
            <a:cs typeface="+mn-cs"/>
          </a:endParaRPr>
        </a:p>
      </dgm:t>
    </dgm:pt>
    <dgm:pt modelId="{209A402C-E2BF-4E9B-91F9-1D4997A3001F}" type="parTrans" cxnId="{829B2276-779C-4CC6-86B3-3FD81DED0BCC}">
      <dgm:prSet/>
      <dgm:spPr/>
      <dgm:t>
        <a:bodyPr/>
        <a:lstStyle/>
        <a:p>
          <a:endParaRPr lang="pl-PL"/>
        </a:p>
      </dgm:t>
    </dgm:pt>
    <dgm:pt modelId="{96DB9288-C37F-4E05-835F-BF6F2F69AD27}" type="sibTrans" cxnId="{829B2276-779C-4CC6-86B3-3FD81DED0BCC}">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66741" custScaleY="59952" custLinFactNeighborX="111" custLinFactNeighborY="-21663"/>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custLinFactNeighborX="-3506" custLinFactNeighborY="14530"/>
      <dgm:spPr/>
      <dgm:t>
        <a:bodyPr/>
        <a:lstStyle/>
        <a:p>
          <a:endParaRPr lang="pl-PL"/>
        </a:p>
      </dgm:t>
    </dgm:pt>
    <dgm:pt modelId="{1C8AB41D-24DC-4091-AEFF-E52AEEF470CC}" type="pres">
      <dgm:prSet presAssocID="{2E10DDA2-C3CC-477D-9BDD-C126C84E5A17}" presName="node" presStyleLbl="node1" presStyleIdx="0" presStyleCnt="4" custScaleX="193167" custScaleY="66247" custRadScaleRad="70040" custRadScaleInc="-73079">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86286" custScaleY="90817" custRadScaleRad="145417" custRadScaleInc="-7062">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86286" custScaleY="68849" custRadScaleRad="123565" custRadScaleInc="17188">
        <dgm:presLayoutVars>
          <dgm:bulletEnabled val="1"/>
        </dgm:presLayoutVars>
      </dgm:prSet>
      <dgm:spPr/>
      <dgm:t>
        <a:bodyPr/>
        <a:lstStyle/>
        <a:p>
          <a:endParaRPr lang="pl-PL"/>
        </a:p>
      </dgm:t>
    </dgm:pt>
    <dgm:pt modelId="{F4E3D5CC-4121-48A3-9BB4-41D360C15979}" type="pres">
      <dgm:prSet presAssocID="{B3FA6671-554D-4353-A267-15D0ACE4EE41}" presName="parTrans" presStyleLbl="bgSibTrans2D1" presStyleIdx="3" presStyleCnt="4"/>
      <dgm:spPr/>
      <dgm:t>
        <a:bodyPr/>
        <a:lstStyle/>
        <a:p>
          <a:endParaRPr lang="pl-PL"/>
        </a:p>
      </dgm:t>
    </dgm:pt>
    <dgm:pt modelId="{DB662A13-6671-409F-B572-0353928FE0D2}" type="pres">
      <dgm:prSet presAssocID="{26E26F0B-2577-4750-B596-563AF7147BC7}" presName="node" presStyleLbl="node1" presStyleIdx="3" presStyleCnt="4" custScaleX="186693" custScaleY="34957" custRadScaleRad="67884" custRadScaleInc="57326">
        <dgm:presLayoutVars>
          <dgm:bulletEnabled val="1"/>
        </dgm:presLayoutVars>
      </dgm:prSet>
      <dgm:spPr/>
      <dgm:t>
        <a:bodyPr/>
        <a:lstStyle/>
        <a:p>
          <a:endParaRPr lang="pl-PL"/>
        </a:p>
      </dgm:t>
    </dgm:pt>
  </dgm:ptLst>
  <dgm:cxnLst>
    <dgm:cxn modelId="{AEE872B1-F8E7-480D-A852-C750695B22EC}" srcId="{E0DE7FC3-05DD-41F8-A93B-17E37FBA99A2}" destId="{2E10DDA2-C3CC-477D-9BDD-C126C84E5A17}" srcOrd="0" destOrd="0" parTransId="{B68BCCBA-4CDD-4BDE-B444-4DE7199F6CE9}" sibTransId="{D30FB8F5-C61B-47A3-9A69-8533E1E5498A}"/>
    <dgm:cxn modelId="{D256FF56-565C-4849-B484-7E5FE749C1A3}" type="presOf" srcId="{AEE6F54C-E7AA-4B8E-B164-B2C537D4321D}" destId="{1C8AB41D-24DC-4091-AEFF-E52AEEF470CC}" srcOrd="0" destOrd="2" presId="urn:microsoft.com/office/officeart/2005/8/layout/radial4"/>
    <dgm:cxn modelId="{A4702CE1-A8F0-4041-9C0A-4FA389010900}" type="presOf" srcId="{5E5BF539-221A-4EF5-90F4-9577FC264E2D}" destId="{37840515-5973-4B60-9470-DCC494E77099}" srcOrd="0" destOrd="1" presId="urn:microsoft.com/office/officeart/2005/8/layout/radial4"/>
    <dgm:cxn modelId="{276657D4-C92C-43A5-AA9C-318D91AB4A8F}" type="presOf" srcId="{53FB7279-8AB2-41F2-9E6E-538C3EA3557B}" destId="{62E613A9-F5C4-4D27-AD94-D5DF52CC0829}" srcOrd="0" destOrd="0" presId="urn:microsoft.com/office/officeart/2005/8/layout/radial4"/>
    <dgm:cxn modelId="{48193722-77E8-4BD5-A3B8-7103EB7C9A39}" type="presOf" srcId="{3EDD0394-324C-4E85-9493-9743A485166E}" destId="{62E613A9-F5C4-4D27-AD94-D5DF52CC0829}" srcOrd="0" destOrd="1" presId="urn:microsoft.com/office/officeart/2005/8/layout/radial4"/>
    <dgm:cxn modelId="{3B1E4921-DD00-4679-9550-21C2D4A7D1E5}" srcId="{E0DE7FC3-05DD-41F8-A93B-17E37FBA99A2}" destId="{D4AD5703-DE06-44C7-B060-E21C427613C5}" srcOrd="2" destOrd="0" parTransId="{65ABCF01-7144-4C18-A595-A44C05FACFFF}" sibTransId="{3A330B5E-C9BB-42E4-B972-0A169D971D62}"/>
    <dgm:cxn modelId="{E4241C43-B570-452A-8060-6E3AA1D6D123}" type="presOf" srcId="{26E26F0B-2577-4750-B596-563AF7147BC7}" destId="{DB662A13-6671-409F-B572-0353928FE0D2}" srcOrd="0" destOrd="0" presId="urn:microsoft.com/office/officeart/2005/8/layout/radial4"/>
    <dgm:cxn modelId="{DDA6CC3D-9AC6-40ED-9454-8721DDF61F6D}" srcId="{2E10DDA2-C3CC-477D-9BDD-C126C84E5A17}" destId="{A9F3BC91-C659-4FEE-A49F-8E44F6B2AFD8}" srcOrd="0" destOrd="0" parTransId="{F8DA1543-C774-43DD-9F96-9207181B3F9E}" sibTransId="{6ECF7B6F-3CF3-476C-9DD2-0BDDB6F4D534}"/>
    <dgm:cxn modelId="{9F405FBA-6E5A-44B3-A790-431386EF71A2}" type="presOf" srcId="{EA451E60-3ABF-40E5-9919-11D6F040A409}" destId="{37840515-5973-4B60-9470-DCC494E77099}" srcOrd="0" destOrd="2" presId="urn:microsoft.com/office/officeart/2005/8/layout/radial4"/>
    <dgm:cxn modelId="{66C997C6-E8F8-4F1B-ABFC-6CA49DFE2F27}" srcId="{53FB7279-8AB2-41F2-9E6E-538C3EA3557B}" destId="{5B5A1686-4CCC-48E7-A154-B00FD3573505}" srcOrd="2" destOrd="0" parTransId="{5F3AFD12-CDA0-41B6-BFE7-CA7AE8883FAF}" sibTransId="{EC6F3CE4-7FEA-4E06-ACDF-C5E9F193AD73}"/>
    <dgm:cxn modelId="{F3387D5C-0A8E-44D9-8696-733865FE082E}" srcId="{E0DE7FC3-05DD-41F8-A93B-17E37FBA99A2}" destId="{53FB7279-8AB2-41F2-9E6E-538C3EA3557B}" srcOrd="1" destOrd="0" parTransId="{1E708C46-3FA4-47BE-91B6-298260E2983A}" sibTransId="{9D1654F8-85CB-4E50-8554-00121DB246C9}"/>
    <dgm:cxn modelId="{D295E992-ABE7-45F1-A708-A84B6FEF29B1}" srcId="{2E10DDA2-C3CC-477D-9BDD-C126C84E5A17}" destId="{AEE6F54C-E7AA-4B8E-B164-B2C537D4321D}" srcOrd="1" destOrd="0" parTransId="{728334FC-CFF1-4ADC-BDAF-0D6332858E47}" sibTransId="{D4542251-6555-4A9C-9F0B-F839743F9B1D}"/>
    <dgm:cxn modelId="{F0B4B243-4968-403F-966B-0FE0D0E45F80}" srcId="{53FB7279-8AB2-41F2-9E6E-538C3EA3557B}" destId="{3EDD0394-324C-4E85-9493-9743A485166E}" srcOrd="0" destOrd="0" parTransId="{0029E1A7-10B7-41A6-A504-EF2DC40ECE5A}" sibTransId="{D5F89FFA-9F65-46BE-BFF5-6E21630230D5}"/>
    <dgm:cxn modelId="{ED9D3437-443A-45B1-9919-7B3B78352361}" srcId="{D4AD5703-DE06-44C7-B060-E21C427613C5}" destId="{EA451E60-3ABF-40E5-9919-11D6F040A409}" srcOrd="1" destOrd="0" parTransId="{8A2F281C-0FC8-4290-933E-B86509706FF2}" sibTransId="{8391A1F6-E4B6-405C-A1D1-8655E1C859E4}"/>
    <dgm:cxn modelId="{829B2276-779C-4CC6-86B3-3FD81DED0BCC}" srcId="{26E26F0B-2577-4750-B596-563AF7147BC7}" destId="{2D214F21-D22F-4B49-997B-32A01947CF2C}" srcOrd="0" destOrd="0" parTransId="{209A402C-E2BF-4E9B-91F9-1D4997A3001F}" sibTransId="{96DB9288-C37F-4E05-835F-BF6F2F69AD27}"/>
    <dgm:cxn modelId="{7EBEC30A-B71F-4345-867F-5FA9D024624C}" type="presOf" srcId="{2D214F21-D22F-4B49-997B-32A01947CF2C}" destId="{DB662A13-6671-409F-B572-0353928FE0D2}" srcOrd="0" destOrd="1" presId="urn:microsoft.com/office/officeart/2005/8/layout/radial4"/>
    <dgm:cxn modelId="{3A5CACA1-0375-431B-833D-52B4EB2ADD07}" srcId="{D4AD5703-DE06-44C7-B060-E21C427613C5}" destId="{5E5BF539-221A-4EF5-90F4-9577FC264E2D}" srcOrd="0" destOrd="0" parTransId="{568C8E75-7181-4506-A6E3-9FC7A7927160}" sibTransId="{329BB224-49A5-465F-A5AB-97D08E7B0B45}"/>
    <dgm:cxn modelId="{B8F78F97-E92C-424B-A5B8-B75366CCD4B0}" type="presOf" srcId="{9B6FA2A3-388A-44C1-ADFC-66A57833DEC1}" destId="{62222EA0-69AD-435D-B846-D23728F3081C}" srcOrd="0" destOrd="0" presId="urn:microsoft.com/office/officeart/2005/8/layout/radial4"/>
    <dgm:cxn modelId="{443D84F6-2566-4F3C-A94F-876D4B7F1C4B}" type="presOf" srcId="{65ABCF01-7144-4C18-A595-A44C05FACFFF}" destId="{23B2D597-4BCD-4CBB-8167-C9AF0A7E6FF6}" srcOrd="0" destOrd="0" presId="urn:microsoft.com/office/officeart/2005/8/layout/radial4"/>
    <dgm:cxn modelId="{74FF5EFC-B867-4EC1-B7A6-F937FE8D6969}" type="presOf" srcId="{D4AD5703-DE06-44C7-B060-E21C427613C5}" destId="{37840515-5973-4B60-9470-DCC494E77099}"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0A7AB46D-E9A6-400E-A0D7-7B1CC2281A89}" type="presOf" srcId="{5B5A1686-4CCC-48E7-A154-B00FD3573505}" destId="{62E613A9-F5C4-4D27-AD94-D5DF52CC0829}" srcOrd="0" destOrd="3" presId="urn:microsoft.com/office/officeart/2005/8/layout/radial4"/>
    <dgm:cxn modelId="{C197064F-FD0A-4353-B5E3-320D3B08DC63}" type="presOf" srcId="{E0DE7FC3-05DD-41F8-A93B-17E37FBA99A2}" destId="{E2B26D40-CEB8-480B-9958-6903BBB4B7DE}" srcOrd="0" destOrd="0" presId="urn:microsoft.com/office/officeart/2005/8/layout/radial4"/>
    <dgm:cxn modelId="{A655E8C3-0DC6-411C-A0AB-8E7C4A265DFD}" srcId="{53FB7279-8AB2-41F2-9E6E-538C3EA3557B}" destId="{13EFD78A-5837-47A4-9F78-B1A16AEA6094}" srcOrd="1" destOrd="0" parTransId="{A4D41F82-5E54-49D6-98C4-CE6358EC5640}" sibTransId="{E5BA8757-78FA-4D57-89A3-E32389CC910E}"/>
    <dgm:cxn modelId="{4FFBE374-676D-48E0-9A3A-DBA858BC4BEF}" type="presOf" srcId="{13EFD78A-5837-47A4-9F78-B1A16AEA6094}" destId="{62E613A9-F5C4-4D27-AD94-D5DF52CC0829}" srcOrd="0" destOrd="2" presId="urn:microsoft.com/office/officeart/2005/8/layout/radial4"/>
    <dgm:cxn modelId="{A92521BB-C1F2-41A2-A97E-42F1A124B208}" type="presOf" srcId="{2E10DDA2-C3CC-477D-9BDD-C126C84E5A17}" destId="{1C8AB41D-24DC-4091-AEFF-E52AEEF470CC}" srcOrd="0" destOrd="0" presId="urn:microsoft.com/office/officeart/2005/8/layout/radial4"/>
    <dgm:cxn modelId="{AF9C534A-FBBA-4A6D-A294-E5ABA39F9993}" type="presOf" srcId="{B3FA6671-554D-4353-A267-15D0ACE4EE41}" destId="{F4E3D5CC-4121-48A3-9BB4-41D360C15979}" srcOrd="0" destOrd="0" presId="urn:microsoft.com/office/officeart/2005/8/layout/radial4"/>
    <dgm:cxn modelId="{96B30D76-B9A3-4F07-A729-7E993D80837D}" type="presOf" srcId="{B68BCCBA-4CDD-4BDE-B444-4DE7199F6CE9}" destId="{8392C9FF-A8EA-439E-A648-53E7E32E0AA6}" srcOrd="0" destOrd="0" presId="urn:microsoft.com/office/officeart/2005/8/layout/radial4"/>
    <dgm:cxn modelId="{E17A2F1B-7945-4E7A-8301-5232E28F8387}" type="presOf" srcId="{A9F3BC91-C659-4FEE-A49F-8E44F6B2AFD8}" destId="{1C8AB41D-24DC-4091-AEFF-E52AEEF470CC}" srcOrd="0" destOrd="1" presId="urn:microsoft.com/office/officeart/2005/8/layout/radial4"/>
    <dgm:cxn modelId="{9D5A40CC-1E5E-49CD-B971-1398C888CF1E}" type="presOf" srcId="{1E708C46-3FA4-47BE-91B6-298260E2983A}" destId="{4079F557-B870-4692-B361-17B891DAF6D5}" srcOrd="0" destOrd="0" presId="urn:microsoft.com/office/officeart/2005/8/layout/radial4"/>
    <dgm:cxn modelId="{73F62157-B78E-42DE-B4A7-694C4B40B141}" srcId="{E0DE7FC3-05DD-41F8-A93B-17E37FBA99A2}" destId="{26E26F0B-2577-4750-B596-563AF7147BC7}" srcOrd="3" destOrd="0" parTransId="{B3FA6671-554D-4353-A267-15D0ACE4EE41}" sibTransId="{999CE54D-1A21-4676-8D6C-0FB9D99543ED}"/>
    <dgm:cxn modelId="{E9FE32FF-7ECD-4551-8EE5-60BC98B3C47E}" type="presParOf" srcId="{62222EA0-69AD-435D-B846-D23728F3081C}" destId="{E2B26D40-CEB8-480B-9958-6903BBB4B7DE}" srcOrd="0" destOrd="0" presId="urn:microsoft.com/office/officeart/2005/8/layout/radial4"/>
    <dgm:cxn modelId="{48AB1045-4020-4477-A428-93CF1C8976B0}" type="presParOf" srcId="{62222EA0-69AD-435D-B846-D23728F3081C}" destId="{8392C9FF-A8EA-439E-A648-53E7E32E0AA6}" srcOrd="1" destOrd="0" presId="urn:microsoft.com/office/officeart/2005/8/layout/radial4"/>
    <dgm:cxn modelId="{5E7851B4-E717-4956-8D97-C9CEC14F0320}" type="presParOf" srcId="{62222EA0-69AD-435D-B846-D23728F3081C}" destId="{1C8AB41D-24DC-4091-AEFF-E52AEEF470CC}" srcOrd="2" destOrd="0" presId="urn:microsoft.com/office/officeart/2005/8/layout/radial4"/>
    <dgm:cxn modelId="{A2443D05-99B8-4784-981F-4B0056621FB7}" type="presParOf" srcId="{62222EA0-69AD-435D-B846-D23728F3081C}" destId="{4079F557-B870-4692-B361-17B891DAF6D5}" srcOrd="3" destOrd="0" presId="urn:microsoft.com/office/officeart/2005/8/layout/radial4"/>
    <dgm:cxn modelId="{F50A0FDD-A157-4071-8B71-99BAC3D04CFA}" type="presParOf" srcId="{62222EA0-69AD-435D-B846-D23728F3081C}" destId="{62E613A9-F5C4-4D27-AD94-D5DF52CC0829}" srcOrd="4" destOrd="0" presId="urn:microsoft.com/office/officeart/2005/8/layout/radial4"/>
    <dgm:cxn modelId="{B987A9D5-7DA8-4556-AC04-2720D09EC27B}" type="presParOf" srcId="{62222EA0-69AD-435D-B846-D23728F3081C}" destId="{23B2D597-4BCD-4CBB-8167-C9AF0A7E6FF6}" srcOrd="5" destOrd="0" presId="urn:microsoft.com/office/officeart/2005/8/layout/radial4"/>
    <dgm:cxn modelId="{0C847839-55DA-46EC-9792-C4EB404DAD90}" type="presParOf" srcId="{62222EA0-69AD-435D-B846-D23728F3081C}" destId="{37840515-5973-4B60-9470-DCC494E77099}" srcOrd="6" destOrd="0" presId="urn:microsoft.com/office/officeart/2005/8/layout/radial4"/>
    <dgm:cxn modelId="{F1EE72FB-D89E-4269-8322-73E5EF54DCE8}" type="presParOf" srcId="{62222EA0-69AD-435D-B846-D23728F3081C}" destId="{F4E3D5CC-4121-48A3-9BB4-41D360C15979}" srcOrd="7" destOrd="0" presId="urn:microsoft.com/office/officeart/2005/8/layout/radial4"/>
    <dgm:cxn modelId="{BEB4D03E-7ED6-4714-A904-F88629082578}" type="presParOf" srcId="{62222EA0-69AD-435D-B846-D23728F3081C}" destId="{DB662A13-6671-409F-B572-0353928FE0D2}" srcOrd="8" destOrd="0" presId="urn:microsoft.com/office/officeart/2005/8/layout/radial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Legniczanie niezależnie od wieku - zaangażowani społecznie, kreatywni, aktywni sportowo i kulturalnie, świadomi roli sportu i rekreacji w budowaniu zdrowego społeczeństwa, o wysokiej świadomości ekologicznej, poczuciu tożsamości lokalnej, tworzący społeczeństwo obywatelskie</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9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9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900">
              <a:solidFill>
                <a:schemeClr val="accent1">
                  <a:lumMod val="75000"/>
                </a:schemeClr>
              </a:solidFill>
            </a:rPr>
            <a:t>Szanse: </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Negatywne tendencje demograficzne. Wzrost obciążenia demograficznego ludności w wieku produkcyjnym</a:t>
          </a:r>
          <a:endParaRPr lang="pl-PL" sz="800">
            <a:solidFill>
              <a:schemeClr val="bg2">
                <a:lumMod val="25000"/>
              </a:schemeClr>
            </a:solidFill>
          </a:endParaRP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690982DF-EF15-4C47-B8FB-7D16678480CA}">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Brak hali widowiskowo-sportowej o dużej pojemności uniemożliwiający organizację dużych wydarzeń sportowych i kulturowych na terenie Legnicy</a:t>
          </a:r>
          <a:endParaRPr lang="pl-PL" sz="800">
            <a:solidFill>
              <a:srgbClr val="FF0000"/>
            </a:solidFill>
          </a:endParaRPr>
        </a:p>
      </dgm:t>
    </dgm:pt>
    <dgm:pt modelId="{D1746526-84DA-49C4-ACAF-D66360A19255}" type="parTrans" cxnId="{94B56D93-AF70-4A38-B91C-A2F145621603}">
      <dgm:prSet/>
      <dgm:spPr/>
      <dgm:t>
        <a:bodyPr/>
        <a:lstStyle/>
        <a:p>
          <a:endParaRPr lang="pl-PL"/>
        </a:p>
      </dgm:t>
    </dgm:pt>
    <dgm:pt modelId="{0B92A551-2E9B-425C-87DF-26194D1084FB}" type="sibTrans" cxnId="{94B56D93-AF70-4A38-B91C-A2F145621603}">
      <dgm:prSet/>
      <dgm:spPr/>
      <dgm:t>
        <a:bodyPr/>
        <a:lstStyle/>
        <a:p>
          <a:endParaRPr lang="pl-PL"/>
        </a:p>
      </dgm:t>
    </dgm:pt>
    <dgm:pt modelId="{557A2FEA-2DF2-4937-BE7C-08DCE45BD638}">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Rozbudowana baza sportowa i rekreacyjno-wypoczynkowa, szczególnie dla celów lokalnych</a:t>
          </a:r>
          <a:endParaRPr lang="pl-PL" sz="800">
            <a:solidFill>
              <a:schemeClr val="accent3">
                <a:lumMod val="75000"/>
              </a:schemeClr>
            </a:solidFill>
          </a:endParaRPr>
        </a:p>
      </dgm:t>
    </dgm:pt>
    <dgm:pt modelId="{E77D7079-C825-43E3-AF59-DE5A0AB235A2}" type="parTrans" cxnId="{A53837D0-5846-4FCD-A529-48F6166D591B}">
      <dgm:prSet/>
      <dgm:spPr/>
      <dgm:t>
        <a:bodyPr/>
        <a:lstStyle/>
        <a:p>
          <a:endParaRPr lang="pl-PL"/>
        </a:p>
      </dgm:t>
    </dgm:pt>
    <dgm:pt modelId="{5EE90577-87A1-4D63-B37F-F4BBED217DF3}" type="sibTrans" cxnId="{A53837D0-5846-4FCD-A529-48F6166D591B}">
      <dgm:prSet/>
      <dgm:spPr/>
      <dgm:t>
        <a:bodyPr/>
        <a:lstStyle/>
        <a:p>
          <a:endParaRPr lang="pl-PL"/>
        </a:p>
      </dgm:t>
    </dgm:pt>
    <dgm:pt modelId="{11B52D14-54E0-480C-8BD0-B3ED0B727BDF}">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Tradycja i doświadczenie w organizacji ważnych wydarzeń kulturalnych - Satyrykon, Legnica Cantat, Festiwal SREBRO, itd.</a:t>
          </a:r>
          <a:endParaRPr lang="pl-PL" sz="800">
            <a:solidFill>
              <a:schemeClr val="accent3">
                <a:lumMod val="75000"/>
              </a:schemeClr>
            </a:solidFill>
          </a:endParaRPr>
        </a:p>
      </dgm:t>
    </dgm:pt>
    <dgm:pt modelId="{CF32E24F-0E3D-4BF9-9EEE-50EDE9820283}" type="parTrans" cxnId="{A0F3FDA0-5A52-4134-A0E3-059D8320110C}">
      <dgm:prSet/>
      <dgm:spPr/>
      <dgm:t>
        <a:bodyPr/>
        <a:lstStyle/>
        <a:p>
          <a:endParaRPr lang="pl-PL"/>
        </a:p>
      </dgm:t>
    </dgm:pt>
    <dgm:pt modelId="{8286C76F-0EBE-4A6F-B715-36A0000E41FD}" type="sibTrans" cxnId="{A0F3FDA0-5A52-4134-A0E3-059D8320110C}">
      <dgm:prSet/>
      <dgm:spPr/>
      <dgm:t>
        <a:bodyPr/>
        <a:lstStyle/>
        <a:p>
          <a:endParaRPr lang="pl-PL"/>
        </a:p>
      </dgm:t>
    </dgm:pt>
    <dgm:pt modelId="{A15CF856-95FD-4D88-A61B-5448F5808E78}">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Bliskość Wrocławia - możliwość korzystania z usług wyższego rzędu, usług metropolitalnych, rynku pracy i dużego rynku konsumenckiego</a:t>
          </a:r>
          <a:endParaRPr lang="pl-PL" sz="800">
            <a:solidFill>
              <a:schemeClr val="accent3">
                <a:lumMod val="75000"/>
              </a:schemeClr>
            </a:solidFill>
          </a:endParaRPr>
        </a:p>
      </dgm:t>
    </dgm:pt>
    <dgm:pt modelId="{0E663963-77C9-4733-93DF-0027ACE403AA}" type="parTrans" cxnId="{99069B09-B68F-40C4-97A8-5AEA4403AEC9}">
      <dgm:prSet/>
      <dgm:spPr/>
      <dgm:t>
        <a:bodyPr/>
        <a:lstStyle/>
        <a:p>
          <a:endParaRPr lang="pl-PL"/>
        </a:p>
      </dgm:t>
    </dgm:pt>
    <dgm:pt modelId="{EE51C3D5-E821-46C3-B010-040171F47C95}" type="sibTrans" cxnId="{99069B09-B68F-40C4-97A8-5AEA4403AEC9}">
      <dgm:prSet/>
      <dgm:spPr/>
      <dgm:t>
        <a:bodyPr/>
        <a:lstStyle/>
        <a:p>
          <a:endParaRPr lang="pl-PL"/>
        </a:p>
      </dgm:t>
    </dgm:pt>
    <dgm:pt modelId="{BD051B28-75FE-4392-99A8-8F0E39CA433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Dostęp do usług administracji ponadlokalnej</a:t>
          </a:r>
          <a:endParaRPr lang="pl-PL" sz="800">
            <a:solidFill>
              <a:schemeClr val="accent3">
                <a:lumMod val="75000"/>
              </a:schemeClr>
            </a:solidFill>
          </a:endParaRPr>
        </a:p>
      </dgm:t>
    </dgm:pt>
    <dgm:pt modelId="{EA34EF58-856F-4814-A8E1-8D3B6099ABF6}" type="parTrans" cxnId="{F603648F-837F-4728-8E1A-A15B2CFAFCD5}">
      <dgm:prSet/>
      <dgm:spPr/>
      <dgm:t>
        <a:bodyPr/>
        <a:lstStyle/>
        <a:p>
          <a:endParaRPr lang="pl-PL"/>
        </a:p>
      </dgm:t>
    </dgm:pt>
    <dgm:pt modelId="{BABCF24D-21E0-4D55-8D35-6770E8EC99BD}" type="sibTrans" cxnId="{F603648F-837F-4728-8E1A-A15B2CFAFCD5}">
      <dgm:prSet/>
      <dgm:spPr/>
      <dgm:t>
        <a:bodyPr/>
        <a:lstStyle/>
        <a:p>
          <a:endParaRPr lang="pl-PL"/>
        </a:p>
      </dgm:t>
    </dgm:pt>
    <dgm:pt modelId="{CCD4F16E-5FF8-4FD5-A17B-7A03EE3F576C}">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Dobrze rozbudowana infrastruktura usług kultury </a:t>
          </a:r>
          <a:endParaRPr lang="pl-PL" sz="800">
            <a:solidFill>
              <a:schemeClr val="accent3">
                <a:lumMod val="75000"/>
              </a:schemeClr>
            </a:solidFill>
          </a:endParaRPr>
        </a:p>
      </dgm:t>
    </dgm:pt>
    <dgm:pt modelId="{E69F9CEC-D88C-4F15-A4DE-027203459175}" type="parTrans" cxnId="{0F4488EF-AB60-49F4-939C-3E9CC7030ACA}">
      <dgm:prSet/>
      <dgm:spPr/>
      <dgm:t>
        <a:bodyPr/>
        <a:lstStyle/>
        <a:p>
          <a:endParaRPr lang="pl-PL"/>
        </a:p>
      </dgm:t>
    </dgm:pt>
    <dgm:pt modelId="{CA39D375-158B-47A3-9D03-D720ADE38DCC}" type="sibTrans" cxnId="{0F4488EF-AB60-49F4-939C-3E9CC7030ACA}">
      <dgm:prSet/>
      <dgm:spPr/>
      <dgm:t>
        <a:bodyPr/>
        <a:lstStyle/>
        <a:p>
          <a:endParaRPr lang="pl-PL"/>
        </a:p>
      </dgm:t>
    </dgm:pt>
    <dgm:pt modelId="{EA73DBBE-02E3-4F19-9ED0-7FBD59D88B8A}">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Dobre wyposażenie placówek opieki zdrowotnej, funkcjonowanie Wojewódzkiego Szpitala Specjalistycznego</a:t>
          </a:r>
          <a:endParaRPr lang="pl-PL" sz="800">
            <a:solidFill>
              <a:schemeClr val="accent3">
                <a:lumMod val="75000"/>
              </a:schemeClr>
            </a:solidFill>
          </a:endParaRPr>
        </a:p>
      </dgm:t>
    </dgm:pt>
    <dgm:pt modelId="{6C740F2E-DF27-4F5C-8BC9-AEED94F88D27}" type="parTrans" cxnId="{04A40772-63DE-4A61-A440-5B83E492F217}">
      <dgm:prSet/>
      <dgm:spPr/>
      <dgm:t>
        <a:bodyPr/>
        <a:lstStyle/>
        <a:p>
          <a:endParaRPr lang="pl-PL"/>
        </a:p>
      </dgm:t>
    </dgm:pt>
    <dgm:pt modelId="{4EFF00CE-C36F-461C-90FD-8EE7187C8F9F}" type="sibTrans" cxnId="{04A40772-63DE-4A61-A440-5B83E492F217}">
      <dgm:prSet/>
      <dgm:spPr/>
      <dgm:t>
        <a:bodyPr/>
        <a:lstStyle/>
        <a:p>
          <a:endParaRPr lang="pl-PL"/>
        </a:p>
      </dgm:t>
    </dgm:pt>
    <dgm:pt modelId="{5092B1E6-1E8D-4F9F-8F2F-F3133EBDDABE}">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Specyficzne dziedzictwo kulturowe i historyczne budujące potencjał turystyczny i rozwój kulturalny Legnicy</a:t>
          </a:r>
          <a:endParaRPr lang="pl-PL" sz="800">
            <a:solidFill>
              <a:schemeClr val="accent3">
                <a:lumMod val="75000"/>
              </a:schemeClr>
            </a:solidFill>
          </a:endParaRPr>
        </a:p>
      </dgm:t>
    </dgm:pt>
    <dgm:pt modelId="{0CF48578-A5C6-473C-8B5D-2F4024134DC2}" type="parTrans" cxnId="{A461B8F5-017C-4FC9-BA9E-9AEC4BCA8340}">
      <dgm:prSet/>
      <dgm:spPr/>
      <dgm:t>
        <a:bodyPr/>
        <a:lstStyle/>
        <a:p>
          <a:endParaRPr lang="pl-PL"/>
        </a:p>
      </dgm:t>
    </dgm:pt>
    <dgm:pt modelId="{98D93E53-66C7-43DF-8002-8A5F42340AC5}" type="sibTrans" cxnId="{A461B8F5-017C-4FC9-BA9E-9AEC4BCA8340}">
      <dgm:prSet/>
      <dgm:spPr/>
      <dgm:t>
        <a:bodyPr/>
        <a:lstStyle/>
        <a:p>
          <a:endParaRPr lang="pl-PL"/>
        </a:p>
      </dgm:t>
    </dgm:pt>
    <dgm:pt modelId="{A91174EE-9A36-439F-A07F-B5C3CBFDD9D0}">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Brak ścieżek rowerowych zintegrowanych z sąsiednimi gminami</a:t>
          </a:r>
          <a:endParaRPr lang="pl-PL" sz="800">
            <a:solidFill>
              <a:srgbClr val="FF0000"/>
            </a:solidFill>
          </a:endParaRPr>
        </a:p>
      </dgm:t>
    </dgm:pt>
    <dgm:pt modelId="{F9C25C42-6B1C-4664-9FAF-6518BBDD915E}" type="parTrans" cxnId="{244D167E-F586-42FC-9495-6BAF22879A61}">
      <dgm:prSet/>
      <dgm:spPr/>
      <dgm:t>
        <a:bodyPr/>
        <a:lstStyle/>
        <a:p>
          <a:endParaRPr lang="pl-PL"/>
        </a:p>
      </dgm:t>
    </dgm:pt>
    <dgm:pt modelId="{787284EC-2DC7-4F97-8422-7F21B78F8958}" type="sibTrans" cxnId="{244D167E-F586-42FC-9495-6BAF22879A61}">
      <dgm:prSet/>
      <dgm:spPr/>
      <dgm:t>
        <a:bodyPr/>
        <a:lstStyle/>
        <a:p>
          <a:endParaRPr lang="pl-PL"/>
        </a:p>
      </dgm:t>
    </dgm:pt>
    <dgm:pt modelId="{CF3E06B8-DFDE-4BA8-9EF0-69563ACF85F4}">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Utrzymujące się wysokie wskaźniki przestępczości</a:t>
          </a:r>
          <a:endParaRPr lang="pl-PL" sz="800">
            <a:solidFill>
              <a:srgbClr val="FF0000"/>
            </a:solidFill>
          </a:endParaRPr>
        </a:p>
      </dgm:t>
    </dgm:pt>
    <dgm:pt modelId="{E22D1C27-5BF5-40BA-AE42-3DACE45F3494}" type="parTrans" cxnId="{13921F8B-166F-42F2-8912-858E27B2055C}">
      <dgm:prSet/>
      <dgm:spPr/>
      <dgm:t>
        <a:bodyPr/>
        <a:lstStyle/>
        <a:p>
          <a:endParaRPr lang="pl-PL"/>
        </a:p>
      </dgm:t>
    </dgm:pt>
    <dgm:pt modelId="{0F51D708-09E6-43D7-8B5F-4B5DCAD66C49}" type="sibTrans" cxnId="{13921F8B-166F-42F2-8912-858E27B2055C}">
      <dgm:prSet/>
      <dgm:spPr/>
      <dgm:t>
        <a:bodyPr/>
        <a:lstStyle/>
        <a:p>
          <a:endParaRPr lang="pl-PL"/>
        </a:p>
      </dgm:t>
    </dgm:pt>
    <dgm:pt modelId="{32C9E400-E50E-462E-B9A8-910C36D84E38}">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900">
              <a:solidFill>
                <a:schemeClr val="bg2">
                  <a:lumMod val="25000"/>
                </a:schemeClr>
              </a:solidFill>
            </a:rPr>
            <a:t>Zagrożenia</a:t>
          </a:r>
        </a:p>
      </dgm:t>
    </dgm:pt>
    <dgm:pt modelId="{ED6F62E0-E71A-4831-92A7-AB3D4433768B}" type="parTrans" cxnId="{CA936D64-0E1C-4DCE-87AB-253D91A22EA4}">
      <dgm:prSet/>
      <dgm:spPr/>
      <dgm:t>
        <a:bodyPr/>
        <a:lstStyle/>
        <a:p>
          <a:endParaRPr lang="pl-PL"/>
        </a:p>
      </dgm:t>
    </dgm:pt>
    <dgm:pt modelId="{6590F834-4049-4676-B162-B3644257CE66}" type="sibTrans" cxnId="{CA936D64-0E1C-4DCE-87AB-253D91A22EA4}">
      <dgm:prSet/>
      <dgm:spPr/>
      <dgm:t>
        <a:bodyPr/>
        <a:lstStyle/>
        <a:p>
          <a:endParaRPr lang="pl-PL"/>
        </a:p>
      </dgm:t>
    </dgm:pt>
    <dgm:pt modelId="{AD77F0EC-9974-4F52-9C80-5633E69F4666}">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Rozwijająca się moda na uprawianie sportu, rekreacji i zdrowy tryb życia w społeczeństwie</a:t>
          </a:r>
          <a:endParaRPr lang="pl-PL" sz="800">
            <a:solidFill>
              <a:schemeClr val="accent1">
                <a:lumMod val="75000"/>
              </a:schemeClr>
            </a:solidFill>
          </a:endParaRPr>
        </a:p>
      </dgm:t>
    </dgm:pt>
    <dgm:pt modelId="{E4583EC0-A60C-4F73-A889-25E88C9C3038}" type="parTrans" cxnId="{DCF6D2A6-D4D9-431F-9D16-CDF6BC651034}">
      <dgm:prSet/>
      <dgm:spPr/>
      <dgm:t>
        <a:bodyPr/>
        <a:lstStyle/>
        <a:p>
          <a:endParaRPr lang="pl-PL"/>
        </a:p>
      </dgm:t>
    </dgm:pt>
    <dgm:pt modelId="{2E759CB1-8C4B-4D77-B7CA-F492397BEE0C}" type="sibTrans" cxnId="{DCF6D2A6-D4D9-431F-9D16-CDF6BC651034}">
      <dgm:prSet/>
      <dgm:spPr/>
      <dgm:t>
        <a:bodyPr/>
        <a:lstStyle/>
        <a:p>
          <a:endParaRPr lang="pl-PL"/>
        </a:p>
      </dgm:t>
    </dgm:pt>
    <dgm:pt modelId="{471F6CDE-5053-4B2F-B1CD-8AC7949086D4}">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Podnoszący się wskaźnik wykształcenia społeczeństwa</a:t>
          </a:r>
          <a:endParaRPr lang="pl-PL" sz="800">
            <a:solidFill>
              <a:schemeClr val="accent1">
                <a:lumMod val="75000"/>
              </a:schemeClr>
            </a:solidFill>
          </a:endParaRPr>
        </a:p>
      </dgm:t>
    </dgm:pt>
    <dgm:pt modelId="{405F679C-35FD-4B1F-BA0B-1D63B07F4EB1}" type="parTrans" cxnId="{DEBC53FF-1662-4656-9CB7-93530B26A85D}">
      <dgm:prSet/>
      <dgm:spPr/>
      <dgm:t>
        <a:bodyPr/>
        <a:lstStyle/>
        <a:p>
          <a:endParaRPr lang="pl-PL"/>
        </a:p>
      </dgm:t>
    </dgm:pt>
    <dgm:pt modelId="{78C9D2D2-D38E-4A34-9C82-4011DEBE222E}" type="sibTrans" cxnId="{DEBC53FF-1662-4656-9CB7-93530B26A85D}">
      <dgm:prSet/>
      <dgm:spPr/>
      <dgm:t>
        <a:bodyPr/>
        <a:lstStyle/>
        <a:p>
          <a:endParaRPr lang="pl-PL"/>
        </a:p>
      </dgm:t>
    </dgm:pt>
    <dgm:pt modelId="{0F493800-8AE6-4CA5-A2B9-859B132F7D02}">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Migracje mieszkańców Legnicy do ościennych gmin i Wrocławia, w tym wysoko wykwalifikowanych specjalistów</a:t>
          </a:r>
          <a:endParaRPr lang="pl-PL" sz="800">
            <a:solidFill>
              <a:schemeClr val="bg2">
                <a:lumMod val="25000"/>
              </a:schemeClr>
            </a:solidFill>
          </a:endParaRPr>
        </a:p>
      </dgm:t>
    </dgm:pt>
    <dgm:pt modelId="{848AC63E-7D29-46A5-87A9-AEE5C363B91D}" type="parTrans" cxnId="{73B4E1A3-7B64-4BFF-8876-B05AFAF84C92}">
      <dgm:prSet/>
      <dgm:spPr/>
      <dgm:t>
        <a:bodyPr/>
        <a:lstStyle/>
        <a:p>
          <a:endParaRPr lang="pl-PL"/>
        </a:p>
      </dgm:t>
    </dgm:pt>
    <dgm:pt modelId="{BCC5B37B-CF77-48BB-BAEF-EBD7DE99C81E}" type="sibTrans" cxnId="{73B4E1A3-7B64-4BFF-8876-B05AFAF84C92}">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70370" custScaleY="54457" custLinFactNeighborX="0" custLinFactNeighborY="-17554"/>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dgm:spPr/>
      <dgm:t>
        <a:bodyPr/>
        <a:lstStyle/>
        <a:p>
          <a:endParaRPr lang="pl-PL"/>
        </a:p>
      </dgm:t>
    </dgm:pt>
    <dgm:pt modelId="{1C8AB41D-24DC-4091-AEFF-E52AEEF470CC}" type="pres">
      <dgm:prSet presAssocID="{2E10DDA2-C3CC-477D-9BDD-C126C84E5A17}" presName="node" presStyleLbl="node1" presStyleIdx="0" presStyleCnt="4" custScaleX="173754" custScaleY="87209" custRadScaleRad="72755" custRadScaleInc="-76193">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95697" custScaleY="184445" custRadScaleRad="145497" custRadScaleInc="-8710">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73754" custScaleY="53981" custRadScaleRad="110235" custRadScaleInc="29890">
        <dgm:presLayoutVars>
          <dgm:bulletEnabled val="1"/>
        </dgm:presLayoutVars>
      </dgm:prSet>
      <dgm:spPr/>
      <dgm:t>
        <a:bodyPr/>
        <a:lstStyle/>
        <a:p>
          <a:endParaRPr lang="pl-PL"/>
        </a:p>
      </dgm:t>
    </dgm:pt>
    <dgm:pt modelId="{097B1011-8F2A-4CFF-805C-6D7DBE3FCD89}" type="pres">
      <dgm:prSet presAssocID="{ED6F62E0-E71A-4831-92A7-AB3D4433768B}" presName="parTrans" presStyleLbl="bgSibTrans2D1" presStyleIdx="3" presStyleCnt="4"/>
      <dgm:spPr/>
      <dgm:t>
        <a:bodyPr/>
        <a:lstStyle/>
        <a:p>
          <a:endParaRPr lang="pl-PL"/>
        </a:p>
      </dgm:t>
    </dgm:pt>
    <dgm:pt modelId="{A1514DE4-6890-44F9-9D7A-8B94D09EBF3D}" type="pres">
      <dgm:prSet presAssocID="{32C9E400-E50E-462E-B9A8-910C36D84E38}" presName="node" presStyleLbl="node1" presStyleIdx="3" presStyleCnt="4" custScaleX="173754" custScaleY="86790" custRadScaleRad="72867" custRadScaleInc="75291">
        <dgm:presLayoutVars>
          <dgm:bulletEnabled val="1"/>
        </dgm:presLayoutVars>
      </dgm:prSet>
      <dgm:spPr/>
      <dgm:t>
        <a:bodyPr/>
        <a:lstStyle/>
        <a:p>
          <a:endParaRPr lang="pl-PL"/>
        </a:p>
      </dgm:t>
    </dgm:pt>
  </dgm:ptLst>
  <dgm:cxnLst>
    <dgm:cxn modelId="{47E096BF-68D9-4357-A4A7-72A10B0530EA}" type="presOf" srcId="{1E708C46-3FA4-47BE-91B6-298260E2983A}" destId="{4079F557-B870-4692-B361-17B891DAF6D5}" srcOrd="0" destOrd="0" presId="urn:microsoft.com/office/officeart/2005/8/layout/radial4"/>
    <dgm:cxn modelId="{548DDC9B-D2BE-4657-BAB9-B0513C5E255D}" type="presOf" srcId="{CCD4F16E-5FF8-4FD5-A17B-7A03EE3F576C}" destId="{62E613A9-F5C4-4D27-AD94-D5DF52CC0829}" srcOrd="0" destOrd="5" presId="urn:microsoft.com/office/officeart/2005/8/layout/radial4"/>
    <dgm:cxn modelId="{04A40772-63DE-4A61-A440-5B83E492F217}" srcId="{53FB7279-8AB2-41F2-9E6E-538C3EA3557B}" destId="{EA73DBBE-02E3-4F19-9ED0-7FBD59D88B8A}" srcOrd="5" destOrd="0" parTransId="{6C740F2E-DF27-4F5C-8BC9-AEED94F88D27}" sibTransId="{4EFF00CE-C36F-461C-90FD-8EE7187C8F9F}"/>
    <dgm:cxn modelId="{E2850082-9E32-4385-BB63-D4AEF94A8609}" type="presOf" srcId="{0F493800-8AE6-4CA5-A2B9-859B132F7D02}" destId="{A1514DE4-6890-44F9-9D7A-8B94D09EBF3D}" srcOrd="0" destOrd="2" presId="urn:microsoft.com/office/officeart/2005/8/layout/radial4"/>
    <dgm:cxn modelId="{73B4E1A3-7B64-4BFF-8876-B05AFAF84C92}" srcId="{32C9E400-E50E-462E-B9A8-910C36D84E38}" destId="{0F493800-8AE6-4CA5-A2B9-859B132F7D02}" srcOrd="1" destOrd="0" parTransId="{848AC63E-7D29-46A5-87A9-AEE5C363B91D}" sibTransId="{BCC5B37B-CF77-48BB-BAEF-EBD7DE99C81E}"/>
    <dgm:cxn modelId="{3B1E4921-DD00-4679-9550-21C2D4A7D1E5}" srcId="{E0DE7FC3-05DD-41F8-A93B-17E37FBA99A2}" destId="{D4AD5703-DE06-44C7-B060-E21C427613C5}" srcOrd="2" destOrd="0" parTransId="{65ABCF01-7144-4C18-A595-A44C05FACFFF}" sibTransId="{3A330B5E-C9BB-42E4-B972-0A169D971D62}"/>
    <dgm:cxn modelId="{DEBC53FF-1662-4656-9CB7-93530B26A85D}" srcId="{D4AD5703-DE06-44C7-B060-E21C427613C5}" destId="{471F6CDE-5053-4B2F-B1CD-8AC7949086D4}" srcOrd="0" destOrd="0" parTransId="{405F679C-35FD-4B1F-BA0B-1D63B07F4EB1}" sibTransId="{78C9D2D2-D38E-4A34-9C82-4011DEBE222E}"/>
    <dgm:cxn modelId="{85DFBED7-8AD1-432A-BCD5-A1E08F5E441B}" type="presOf" srcId="{AD77F0EC-9974-4F52-9C80-5633E69F4666}" destId="{37840515-5973-4B60-9470-DCC494E77099}" srcOrd="0" destOrd="2" presId="urn:microsoft.com/office/officeart/2005/8/layout/radial4"/>
    <dgm:cxn modelId="{99069B09-B68F-40C4-97A8-5AEA4403AEC9}" srcId="{53FB7279-8AB2-41F2-9E6E-538C3EA3557B}" destId="{A15CF856-95FD-4D88-A61B-5448F5808E78}" srcOrd="2" destOrd="0" parTransId="{0E663963-77C9-4733-93DF-0027ACE403AA}" sibTransId="{EE51C3D5-E821-46C3-B010-040171F47C95}"/>
    <dgm:cxn modelId="{79FF88A0-6147-4CCF-B6B6-127CA8D7A59A}" type="presOf" srcId="{BD051B28-75FE-4392-99A8-8F0E39CA4332}" destId="{62E613A9-F5C4-4D27-AD94-D5DF52CC0829}" srcOrd="0" destOrd="4" presId="urn:microsoft.com/office/officeart/2005/8/layout/radial4"/>
    <dgm:cxn modelId="{F20E92B5-9E43-4BDD-BCEE-4A29797E9C07}" type="presOf" srcId="{9B6FA2A3-388A-44C1-ADFC-66A57833DEC1}" destId="{62222EA0-69AD-435D-B846-D23728F3081C}" srcOrd="0" destOrd="0" presId="urn:microsoft.com/office/officeart/2005/8/layout/radial4"/>
    <dgm:cxn modelId="{819DF5CB-4BFF-48D7-B777-B035F2A9D6C5}" type="presOf" srcId="{5092B1E6-1E8D-4F9F-8F2F-F3133EBDDABE}" destId="{62E613A9-F5C4-4D27-AD94-D5DF52CC0829}" srcOrd="0" destOrd="7" presId="urn:microsoft.com/office/officeart/2005/8/layout/radial4"/>
    <dgm:cxn modelId="{85A0015C-E37F-44C6-9BA3-90A0A7F2DDE7}" type="presOf" srcId="{690982DF-EF15-4C47-B8FB-7D16678480CA}" destId="{1C8AB41D-24DC-4091-AEFF-E52AEEF470CC}" srcOrd="0" destOrd="1" presId="urn:microsoft.com/office/officeart/2005/8/layout/radial4"/>
    <dgm:cxn modelId="{253F2BF1-ABB4-4954-9E02-EEC9268CBDF1}" type="presOf" srcId="{32C9E400-E50E-462E-B9A8-910C36D84E38}" destId="{A1514DE4-6890-44F9-9D7A-8B94D09EBF3D}" srcOrd="0" destOrd="0" presId="urn:microsoft.com/office/officeart/2005/8/layout/radial4"/>
    <dgm:cxn modelId="{A53837D0-5846-4FCD-A529-48F6166D591B}" srcId="{53FB7279-8AB2-41F2-9E6E-538C3EA3557B}" destId="{557A2FEA-2DF2-4937-BE7C-08DCE45BD638}" srcOrd="0" destOrd="0" parTransId="{E77D7079-C825-43E3-AF59-DE5A0AB235A2}" sibTransId="{5EE90577-87A1-4D63-B37F-F4BBED217DF3}"/>
    <dgm:cxn modelId="{ECF1239F-CD94-4A4D-876E-E4560CFF4BB9}" type="presOf" srcId="{53FB7279-8AB2-41F2-9E6E-538C3EA3557B}" destId="{62E613A9-F5C4-4D27-AD94-D5DF52CC0829}" srcOrd="0" destOrd="0" presId="urn:microsoft.com/office/officeart/2005/8/layout/radial4"/>
    <dgm:cxn modelId="{13921F8B-166F-42F2-8912-858E27B2055C}" srcId="{2E10DDA2-C3CC-477D-9BDD-C126C84E5A17}" destId="{CF3E06B8-DFDE-4BA8-9EF0-69563ACF85F4}" srcOrd="2" destOrd="0" parTransId="{E22D1C27-5BF5-40BA-AE42-3DACE45F3494}" sibTransId="{0F51D708-09E6-43D7-8B5F-4B5DCAD66C49}"/>
    <dgm:cxn modelId="{2930A77E-2271-4DFB-9120-FFA439DF4063}" type="presOf" srcId="{A15CF856-95FD-4D88-A61B-5448F5808E78}" destId="{62E613A9-F5C4-4D27-AD94-D5DF52CC0829}" srcOrd="0" destOrd="3" presId="urn:microsoft.com/office/officeart/2005/8/layout/radial4"/>
    <dgm:cxn modelId="{A0F3FDA0-5A52-4134-A0E3-059D8320110C}" srcId="{53FB7279-8AB2-41F2-9E6E-538C3EA3557B}" destId="{11B52D14-54E0-480C-8BD0-B3ED0B727BDF}" srcOrd="1" destOrd="0" parTransId="{CF32E24F-0E3D-4BF9-9EEE-50EDE9820283}" sibTransId="{8286C76F-0EBE-4A6F-B715-36A0000E41FD}"/>
    <dgm:cxn modelId="{5FBF9834-0131-4136-BB75-6C3D2085210F}" type="presOf" srcId="{471F6CDE-5053-4B2F-B1CD-8AC7949086D4}" destId="{37840515-5973-4B60-9470-DCC494E77099}" srcOrd="0" destOrd="1" presId="urn:microsoft.com/office/officeart/2005/8/layout/radial4"/>
    <dgm:cxn modelId="{AEE872B1-F8E7-480D-A852-C750695B22EC}" srcId="{E0DE7FC3-05DD-41F8-A93B-17E37FBA99A2}" destId="{2E10DDA2-C3CC-477D-9BDD-C126C84E5A17}" srcOrd="0" destOrd="0" parTransId="{B68BCCBA-4CDD-4BDE-B444-4DE7199F6CE9}" sibTransId="{D30FB8F5-C61B-47A3-9A69-8533E1E5498A}"/>
    <dgm:cxn modelId="{7214752E-F21E-44F2-A3B3-EA40F94F0336}" type="presOf" srcId="{A91174EE-9A36-439F-A07F-B5C3CBFDD9D0}" destId="{1C8AB41D-24DC-4091-AEFF-E52AEEF470CC}" srcOrd="0" destOrd="2" presId="urn:microsoft.com/office/officeart/2005/8/layout/radial4"/>
    <dgm:cxn modelId="{1712A1F6-39CD-4802-9A08-988FF880BE9E}" type="presOf" srcId="{D4AD5703-DE06-44C7-B060-E21C427613C5}" destId="{37840515-5973-4B60-9470-DCC494E77099}" srcOrd="0" destOrd="0" presId="urn:microsoft.com/office/officeart/2005/8/layout/radial4"/>
    <dgm:cxn modelId="{57F13F99-5ABE-4C6B-959C-FA859C8B598D}" type="presOf" srcId="{557A2FEA-2DF2-4937-BE7C-08DCE45BD638}" destId="{62E613A9-F5C4-4D27-AD94-D5DF52CC0829}" srcOrd="0" destOrd="1" presId="urn:microsoft.com/office/officeart/2005/8/layout/radial4"/>
    <dgm:cxn modelId="{DCF6D2A6-D4D9-431F-9D16-CDF6BC651034}" srcId="{D4AD5703-DE06-44C7-B060-E21C427613C5}" destId="{AD77F0EC-9974-4F52-9C80-5633E69F4666}" srcOrd="1" destOrd="0" parTransId="{E4583EC0-A60C-4F73-A889-25E88C9C3038}" sibTransId="{2E759CB1-8C4B-4D77-B7CA-F492397BEE0C}"/>
    <dgm:cxn modelId="{AEEDD5B0-58AA-447A-9F67-CAF885B15A66}" type="presOf" srcId="{B68BCCBA-4CDD-4BDE-B444-4DE7199F6CE9}" destId="{8392C9FF-A8EA-439E-A648-53E7E32E0AA6}" srcOrd="0" destOrd="0" presId="urn:microsoft.com/office/officeart/2005/8/layout/radial4"/>
    <dgm:cxn modelId="{94B56D93-AF70-4A38-B91C-A2F145621603}" srcId="{2E10DDA2-C3CC-477D-9BDD-C126C84E5A17}" destId="{690982DF-EF15-4C47-B8FB-7D16678480CA}" srcOrd="0" destOrd="0" parTransId="{D1746526-84DA-49C4-ACAF-D66360A19255}" sibTransId="{0B92A551-2E9B-425C-87DF-26194D1084FB}"/>
    <dgm:cxn modelId="{CA936D64-0E1C-4DCE-87AB-253D91A22EA4}" srcId="{E0DE7FC3-05DD-41F8-A93B-17E37FBA99A2}" destId="{32C9E400-E50E-462E-B9A8-910C36D84E38}" srcOrd="3" destOrd="0" parTransId="{ED6F62E0-E71A-4831-92A7-AB3D4433768B}" sibTransId="{6590F834-4049-4676-B162-B3644257CE66}"/>
    <dgm:cxn modelId="{02543445-1C0A-46F9-B6EB-43B601F133F3}" srcId="{9B6FA2A3-388A-44C1-ADFC-66A57833DEC1}" destId="{E0DE7FC3-05DD-41F8-A93B-17E37FBA99A2}" srcOrd="0" destOrd="0" parTransId="{E35055FD-471C-4A8A-A01E-7FD9DBB350E6}" sibTransId="{D8E9451C-0B4B-4443-8273-3064A7EA324D}"/>
    <dgm:cxn modelId="{F603648F-837F-4728-8E1A-A15B2CFAFCD5}" srcId="{53FB7279-8AB2-41F2-9E6E-538C3EA3557B}" destId="{BD051B28-75FE-4392-99A8-8F0E39CA4332}" srcOrd="3" destOrd="0" parTransId="{EA34EF58-856F-4814-A8E1-8D3B6099ABF6}" sibTransId="{BABCF24D-21E0-4D55-8D35-6770E8EC99BD}"/>
    <dgm:cxn modelId="{6D1BA0B8-0306-42A6-8B2B-A83C6D2A544E}" type="presOf" srcId="{2E10DDA2-C3CC-477D-9BDD-C126C84E5A17}" destId="{1C8AB41D-24DC-4091-AEFF-E52AEEF470CC}" srcOrd="0" destOrd="0" presId="urn:microsoft.com/office/officeart/2005/8/layout/radial4"/>
    <dgm:cxn modelId="{4DA5383F-80F2-464F-9D13-9346A3C9CA73}" type="presOf" srcId="{ED6F62E0-E71A-4831-92A7-AB3D4433768B}" destId="{097B1011-8F2A-4CFF-805C-6D7DBE3FCD89}" srcOrd="0" destOrd="0" presId="urn:microsoft.com/office/officeart/2005/8/layout/radial4"/>
    <dgm:cxn modelId="{457ACD8E-F750-48A7-82C9-5EA0A36A6274}" type="presOf" srcId="{EA73DBBE-02E3-4F19-9ED0-7FBD59D88B8A}" destId="{62E613A9-F5C4-4D27-AD94-D5DF52CC0829}" srcOrd="0" destOrd="6" presId="urn:microsoft.com/office/officeart/2005/8/layout/radial4"/>
    <dgm:cxn modelId="{5AF77587-CACE-4B42-B6A1-4C8336D258C8}" type="presOf" srcId="{E0DE7FC3-05DD-41F8-A93B-17E37FBA99A2}" destId="{E2B26D40-CEB8-480B-9958-6903BBB4B7DE}" srcOrd="0" destOrd="0" presId="urn:microsoft.com/office/officeart/2005/8/layout/radial4"/>
    <dgm:cxn modelId="{2C196CA4-C55A-461E-816F-EABA18B6EC75}" type="presOf" srcId="{65ABCF01-7144-4C18-A595-A44C05FACFFF}" destId="{23B2D597-4BCD-4CBB-8167-C9AF0A7E6FF6}" srcOrd="0" destOrd="0" presId="urn:microsoft.com/office/officeart/2005/8/layout/radial4"/>
    <dgm:cxn modelId="{244D167E-F586-42FC-9495-6BAF22879A61}" srcId="{2E10DDA2-C3CC-477D-9BDD-C126C84E5A17}" destId="{A91174EE-9A36-439F-A07F-B5C3CBFDD9D0}" srcOrd="1" destOrd="0" parTransId="{F9C25C42-6B1C-4664-9FAF-6518BBDD915E}" sibTransId="{787284EC-2DC7-4F97-8422-7F21B78F8958}"/>
    <dgm:cxn modelId="{E3777684-31CF-4A90-8EB6-F6B1C1C89C8D}" srcId="{32C9E400-E50E-462E-B9A8-910C36D84E38}" destId="{D20E421B-DFB4-45C3-BA00-49FA0E1CC344}" srcOrd="0" destOrd="0" parTransId="{DA013B53-CE7E-47E8-AD95-056724E186A9}" sibTransId="{0C698FC3-B64E-41D5-90E6-DDD60C7432B2}"/>
    <dgm:cxn modelId="{22C811ED-FBD2-4863-BB22-DEDD72E51186}" type="presOf" srcId="{CF3E06B8-DFDE-4BA8-9EF0-69563ACF85F4}" destId="{1C8AB41D-24DC-4091-AEFF-E52AEEF470CC}" srcOrd="0" destOrd="3" presId="urn:microsoft.com/office/officeart/2005/8/layout/radial4"/>
    <dgm:cxn modelId="{0F4488EF-AB60-49F4-939C-3E9CC7030ACA}" srcId="{53FB7279-8AB2-41F2-9E6E-538C3EA3557B}" destId="{CCD4F16E-5FF8-4FD5-A17B-7A03EE3F576C}" srcOrd="4" destOrd="0" parTransId="{E69F9CEC-D88C-4F15-A4DE-027203459175}" sibTransId="{CA39D375-158B-47A3-9D03-D720ADE38DCC}"/>
    <dgm:cxn modelId="{BDEAFA9A-DA6C-4873-BF97-05F4BF087F43}" type="presOf" srcId="{D20E421B-DFB4-45C3-BA00-49FA0E1CC344}" destId="{A1514DE4-6890-44F9-9D7A-8B94D09EBF3D}" srcOrd="0" destOrd="1" presId="urn:microsoft.com/office/officeart/2005/8/layout/radial4"/>
    <dgm:cxn modelId="{F3387D5C-0A8E-44D9-8696-733865FE082E}" srcId="{E0DE7FC3-05DD-41F8-A93B-17E37FBA99A2}" destId="{53FB7279-8AB2-41F2-9E6E-538C3EA3557B}" srcOrd="1" destOrd="0" parTransId="{1E708C46-3FA4-47BE-91B6-298260E2983A}" sibTransId="{9D1654F8-85CB-4E50-8554-00121DB246C9}"/>
    <dgm:cxn modelId="{A461B8F5-017C-4FC9-BA9E-9AEC4BCA8340}" srcId="{53FB7279-8AB2-41F2-9E6E-538C3EA3557B}" destId="{5092B1E6-1E8D-4F9F-8F2F-F3133EBDDABE}" srcOrd="6" destOrd="0" parTransId="{0CF48578-A5C6-473C-8B5D-2F4024134DC2}" sibTransId="{98D93E53-66C7-43DF-8002-8A5F42340AC5}"/>
    <dgm:cxn modelId="{E909CEF9-4416-42F2-B5EC-05DDB0DAA13E}" type="presOf" srcId="{11B52D14-54E0-480C-8BD0-B3ED0B727BDF}" destId="{62E613A9-F5C4-4D27-AD94-D5DF52CC0829}" srcOrd="0" destOrd="2" presId="urn:microsoft.com/office/officeart/2005/8/layout/radial4"/>
    <dgm:cxn modelId="{CE6C346B-7C2D-40BF-8B00-03B8289CF194}" type="presParOf" srcId="{62222EA0-69AD-435D-B846-D23728F3081C}" destId="{E2B26D40-CEB8-480B-9958-6903BBB4B7DE}" srcOrd="0" destOrd="0" presId="urn:microsoft.com/office/officeart/2005/8/layout/radial4"/>
    <dgm:cxn modelId="{E80D98C3-CD3A-44FD-BC98-80B532D2EC37}" type="presParOf" srcId="{62222EA0-69AD-435D-B846-D23728F3081C}" destId="{8392C9FF-A8EA-439E-A648-53E7E32E0AA6}" srcOrd="1" destOrd="0" presId="urn:microsoft.com/office/officeart/2005/8/layout/radial4"/>
    <dgm:cxn modelId="{C41491F6-5296-4CB5-B8E6-8DC7DADFB157}" type="presParOf" srcId="{62222EA0-69AD-435D-B846-D23728F3081C}" destId="{1C8AB41D-24DC-4091-AEFF-E52AEEF470CC}" srcOrd="2" destOrd="0" presId="urn:microsoft.com/office/officeart/2005/8/layout/radial4"/>
    <dgm:cxn modelId="{BD5B4808-D491-4F04-9450-D687E93827B3}" type="presParOf" srcId="{62222EA0-69AD-435D-B846-D23728F3081C}" destId="{4079F557-B870-4692-B361-17B891DAF6D5}" srcOrd="3" destOrd="0" presId="urn:microsoft.com/office/officeart/2005/8/layout/radial4"/>
    <dgm:cxn modelId="{1A315872-A740-45C3-8F19-93F02A9C7005}" type="presParOf" srcId="{62222EA0-69AD-435D-B846-D23728F3081C}" destId="{62E613A9-F5C4-4D27-AD94-D5DF52CC0829}" srcOrd="4" destOrd="0" presId="urn:microsoft.com/office/officeart/2005/8/layout/radial4"/>
    <dgm:cxn modelId="{9D111026-17AE-4C51-B7C7-0C5AE86ABC3E}" type="presParOf" srcId="{62222EA0-69AD-435D-B846-D23728F3081C}" destId="{23B2D597-4BCD-4CBB-8167-C9AF0A7E6FF6}" srcOrd="5" destOrd="0" presId="urn:microsoft.com/office/officeart/2005/8/layout/radial4"/>
    <dgm:cxn modelId="{FD5EACC6-1A50-4050-B89B-5C338CD519F4}" type="presParOf" srcId="{62222EA0-69AD-435D-B846-D23728F3081C}" destId="{37840515-5973-4B60-9470-DCC494E77099}" srcOrd="6" destOrd="0" presId="urn:microsoft.com/office/officeart/2005/8/layout/radial4"/>
    <dgm:cxn modelId="{20C53630-7F54-40B7-9CB4-E8C0E4738FFF}" type="presParOf" srcId="{62222EA0-69AD-435D-B846-D23728F3081C}" destId="{097B1011-8F2A-4CFF-805C-6D7DBE3FCD89}" srcOrd="7" destOrd="0" presId="urn:microsoft.com/office/officeart/2005/8/layout/radial4"/>
    <dgm:cxn modelId="{5913ACC3-3BD7-493C-A890-77C521EF2FD5}" type="presParOf" srcId="{62222EA0-69AD-435D-B846-D23728F3081C}" destId="{A1514DE4-6890-44F9-9D7A-8B94D09EBF3D}" srcOrd="8" destOrd="0" presId="urn:microsoft.com/office/officeart/2005/8/layout/radial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Legniczanie – wysoko wyedukowani, przedsiębiorczy, o wysokich aspiracjach życiowych i wyższym statusie materialnym</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9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9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9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900">
              <a:solidFill>
                <a:schemeClr val="bg2">
                  <a:lumMod val="25000"/>
                </a:schemeClr>
              </a:solidFill>
            </a:rPr>
            <a:t>Zagrożenia:</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42DFC544-72F5-43B3-ACE4-A08DF95D19F5}">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Relatywnie niskie średnie dochody mieszkańców</a:t>
          </a:r>
          <a:endParaRPr lang="pl-PL" sz="800">
            <a:solidFill>
              <a:srgbClr val="FF0000"/>
            </a:solidFill>
          </a:endParaRPr>
        </a:p>
      </dgm:t>
    </dgm:pt>
    <dgm:pt modelId="{206310B6-608C-4820-9AC3-80FF9E607980}" type="parTrans" cxnId="{846C8C6E-11E7-438F-A06D-F8A2D1267055}">
      <dgm:prSet/>
      <dgm:spPr/>
      <dgm:t>
        <a:bodyPr/>
        <a:lstStyle/>
        <a:p>
          <a:endParaRPr lang="pl-PL"/>
        </a:p>
      </dgm:t>
    </dgm:pt>
    <dgm:pt modelId="{E2719D9A-E2B9-4A58-9906-52F9A2EFA64A}" type="sibTrans" cxnId="{846C8C6E-11E7-438F-A06D-F8A2D1267055}">
      <dgm:prSet/>
      <dgm:spPr/>
      <dgm:t>
        <a:bodyPr/>
        <a:lstStyle/>
        <a:p>
          <a:endParaRPr lang="pl-PL"/>
        </a:p>
      </dgm:t>
    </dgm:pt>
    <dgm:pt modelId="{67D30958-D39F-4B24-8957-C30B8F4ED59C}">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Duża liczba szkół wyższych oraz studentów kształcących się w legnickich uczelniach</a:t>
          </a:r>
          <a:endParaRPr lang="pl-PL" sz="800">
            <a:solidFill>
              <a:schemeClr val="accent3">
                <a:lumMod val="75000"/>
              </a:schemeClr>
            </a:solidFill>
          </a:endParaRPr>
        </a:p>
      </dgm:t>
    </dgm:pt>
    <dgm:pt modelId="{A410CB85-1056-4F07-91CE-72DB1B20E33E}" type="parTrans" cxnId="{947D9390-29EA-4854-AD96-0D3BE7211252}">
      <dgm:prSet/>
      <dgm:spPr/>
      <dgm:t>
        <a:bodyPr/>
        <a:lstStyle/>
        <a:p>
          <a:endParaRPr lang="pl-PL"/>
        </a:p>
      </dgm:t>
    </dgm:pt>
    <dgm:pt modelId="{566712F3-7F72-4985-9C47-18DF4665CDF9}" type="sibTrans" cxnId="{947D9390-29EA-4854-AD96-0D3BE7211252}">
      <dgm:prSet/>
      <dgm:spPr/>
      <dgm:t>
        <a:bodyPr/>
        <a:lstStyle/>
        <a:p>
          <a:endParaRPr lang="pl-PL"/>
        </a:p>
      </dgm:t>
    </dgm:pt>
    <dgm:pt modelId="{ACFE6B44-1A2B-47EB-BC1E-B33DE581AF8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Bliskość Wrocławia - możliwość korzystania z usług wyższego rzędu, usług metropolitalnych, rynku pracy i dużego rynku konsumenckiego</a:t>
          </a:r>
          <a:endParaRPr lang="pl-PL" sz="800">
            <a:solidFill>
              <a:schemeClr val="accent3">
                <a:lumMod val="75000"/>
              </a:schemeClr>
            </a:solidFill>
          </a:endParaRPr>
        </a:p>
      </dgm:t>
    </dgm:pt>
    <dgm:pt modelId="{978B79B7-BAF6-4285-9536-D5F366632F09}" type="parTrans" cxnId="{4AB39519-3E37-4218-A69A-8CF5760D02AE}">
      <dgm:prSet/>
      <dgm:spPr/>
      <dgm:t>
        <a:bodyPr/>
        <a:lstStyle/>
        <a:p>
          <a:endParaRPr lang="pl-PL"/>
        </a:p>
      </dgm:t>
    </dgm:pt>
    <dgm:pt modelId="{C14AB45F-C465-4552-BB36-8C92C5FDAB14}" type="sibTrans" cxnId="{4AB39519-3E37-4218-A69A-8CF5760D02AE}">
      <dgm:prSet/>
      <dgm:spPr/>
      <dgm:t>
        <a:bodyPr/>
        <a:lstStyle/>
        <a:p>
          <a:endParaRPr lang="pl-PL"/>
        </a:p>
      </dgm:t>
    </dgm:pt>
    <dgm:pt modelId="{41678E7B-580E-48CE-A527-E15E73E6E8DD}">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Korzystny rynek pracy. Relatywnie niski poziom bezrobocia, wzrastająca liczba zarejestrowanych podmiotów gospodarczych</a:t>
          </a:r>
          <a:endParaRPr lang="pl-PL" sz="800">
            <a:solidFill>
              <a:schemeClr val="accent3">
                <a:lumMod val="75000"/>
              </a:schemeClr>
            </a:solidFill>
          </a:endParaRPr>
        </a:p>
      </dgm:t>
    </dgm:pt>
    <dgm:pt modelId="{AB3B1777-1F1D-4801-A26A-552521DFEB4D}" type="parTrans" cxnId="{9BE041BB-3ED7-4E29-93FA-FA398108B80C}">
      <dgm:prSet/>
      <dgm:spPr/>
      <dgm:t>
        <a:bodyPr/>
        <a:lstStyle/>
        <a:p>
          <a:endParaRPr lang="pl-PL"/>
        </a:p>
      </dgm:t>
    </dgm:pt>
    <dgm:pt modelId="{A719DAE5-201E-4EA1-B050-66776612DE9B}" type="sibTrans" cxnId="{9BE041BB-3ED7-4E29-93FA-FA398108B80C}">
      <dgm:prSet/>
      <dgm:spPr/>
      <dgm:t>
        <a:bodyPr/>
        <a:lstStyle/>
        <a:p>
          <a:endParaRPr lang="pl-PL"/>
        </a:p>
      </dgm:t>
    </dgm:pt>
    <dgm:pt modelId="{8F3F4971-BDE4-4245-BB7C-CE3ADDD5649F}">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Wysoka dostępność do infrastruktury technicznej i usług komunalnych</a:t>
          </a:r>
          <a:endParaRPr lang="pl-PL" sz="800">
            <a:solidFill>
              <a:schemeClr val="accent3">
                <a:lumMod val="75000"/>
              </a:schemeClr>
            </a:solidFill>
          </a:endParaRPr>
        </a:p>
      </dgm:t>
    </dgm:pt>
    <dgm:pt modelId="{0DA6B521-2085-4D73-80EF-DEAA970CFA6F}" type="parTrans" cxnId="{40AA04F0-8C0F-4070-9F29-7DCE826D2AC7}">
      <dgm:prSet/>
      <dgm:spPr/>
      <dgm:t>
        <a:bodyPr/>
        <a:lstStyle/>
        <a:p>
          <a:endParaRPr lang="pl-PL"/>
        </a:p>
      </dgm:t>
    </dgm:pt>
    <dgm:pt modelId="{F7FF2CEC-0018-46A2-B5C5-BE19F767B047}" type="sibTrans" cxnId="{40AA04F0-8C0F-4070-9F29-7DCE826D2AC7}">
      <dgm:prSet/>
      <dgm:spPr/>
      <dgm:t>
        <a:bodyPr/>
        <a:lstStyle/>
        <a:p>
          <a:endParaRPr lang="pl-PL"/>
        </a:p>
      </dgm:t>
    </dgm:pt>
    <dgm:pt modelId="{7F89C4A1-FA52-45B0-88C7-F3F60EDAC53F}">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Dobry dostęp do placówek wychowania przedszkolnego i edukacji podstawowej i gimnazjalnej</a:t>
          </a:r>
          <a:endParaRPr lang="pl-PL" sz="800">
            <a:solidFill>
              <a:schemeClr val="accent3">
                <a:lumMod val="75000"/>
              </a:schemeClr>
            </a:solidFill>
          </a:endParaRPr>
        </a:p>
      </dgm:t>
    </dgm:pt>
    <dgm:pt modelId="{0484B0E1-227B-480B-A3FA-221376350D38}" type="parTrans" cxnId="{821CFF5D-83C3-4698-8CB9-C9E78F42C753}">
      <dgm:prSet/>
      <dgm:spPr/>
      <dgm:t>
        <a:bodyPr/>
        <a:lstStyle/>
        <a:p>
          <a:endParaRPr lang="pl-PL"/>
        </a:p>
      </dgm:t>
    </dgm:pt>
    <dgm:pt modelId="{C75D4B66-8D6F-4294-A634-1D566C40BF70}" type="sibTrans" cxnId="{821CFF5D-83C3-4698-8CB9-C9E78F42C753}">
      <dgm:prSet/>
      <dgm:spPr/>
      <dgm:t>
        <a:bodyPr/>
        <a:lstStyle/>
        <a:p>
          <a:endParaRPr lang="pl-PL"/>
        </a:p>
      </dgm:t>
    </dgm:pt>
    <dgm:pt modelId="{8D8E7BAC-F6FB-425C-8B25-CF43F4FE6EC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Szkolnictwo zawodowe na poziomie ponadgimnazjalnym doposażone i z bogatą ofertą. Współpraca szkół zawodowych z pracodawcami strefy ekonomicznej oraz z wyższymi uczelniami technicznymi</a:t>
          </a:r>
          <a:endParaRPr lang="pl-PL" sz="800">
            <a:solidFill>
              <a:schemeClr val="accent3">
                <a:lumMod val="75000"/>
              </a:schemeClr>
            </a:solidFill>
          </a:endParaRPr>
        </a:p>
      </dgm:t>
    </dgm:pt>
    <dgm:pt modelId="{AC246629-0EFE-4DC3-855F-4797624139C9}" type="parTrans" cxnId="{CC5126A4-FD58-406D-AFDD-113684BA5FCE}">
      <dgm:prSet/>
      <dgm:spPr/>
      <dgm:t>
        <a:bodyPr/>
        <a:lstStyle/>
        <a:p>
          <a:endParaRPr lang="pl-PL"/>
        </a:p>
      </dgm:t>
    </dgm:pt>
    <dgm:pt modelId="{9AE36028-919E-4C5F-BE17-2004446A582D}" type="sibTrans" cxnId="{CC5126A4-FD58-406D-AFDD-113684BA5FCE}">
      <dgm:prSet/>
      <dgm:spPr/>
      <dgm:t>
        <a:bodyPr/>
        <a:lstStyle/>
        <a:p>
          <a:endParaRPr lang="pl-PL"/>
        </a:p>
      </dgm:t>
    </dgm:pt>
    <dgm:pt modelId="{1D1BA061-F07E-4752-8707-5BC5343004B3}">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E39A0FB4-E530-41FA-999A-62D047CFD38A}" type="parTrans" cxnId="{AEEE5F0E-421E-422E-A6D6-95F3FED8B3CF}">
      <dgm:prSet/>
      <dgm:spPr/>
      <dgm:t>
        <a:bodyPr/>
        <a:lstStyle/>
        <a:p>
          <a:endParaRPr lang="pl-PL"/>
        </a:p>
      </dgm:t>
    </dgm:pt>
    <dgm:pt modelId="{70BBE8FB-5A0E-465D-860C-82B2A60295C5}" type="sibTrans" cxnId="{AEEE5F0E-421E-422E-A6D6-95F3FED8B3CF}">
      <dgm:prSet/>
      <dgm:spPr/>
      <dgm:t>
        <a:bodyPr/>
        <a:lstStyle/>
        <a:p>
          <a:endParaRPr lang="pl-PL"/>
        </a:p>
      </dgm:t>
    </dgm:pt>
    <dgm:pt modelId="{A95059F1-C918-48E5-A4EA-3EBE744F5CEA}">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Działalność krajowego potentata KGHM: rynek pracy, nowe inwestycje, przedsiębiorstwa kooperujące, wysokie stawki wynagrodzeń, wysokie emerytury górnicze</a:t>
          </a:r>
          <a:endParaRPr lang="pl-PL" sz="800">
            <a:solidFill>
              <a:schemeClr val="accent1">
                <a:lumMod val="75000"/>
              </a:schemeClr>
            </a:solidFill>
          </a:endParaRPr>
        </a:p>
      </dgm:t>
    </dgm:pt>
    <dgm:pt modelId="{AEB5FBCB-2A28-4DF1-995F-ACD7AE07F670}" type="parTrans" cxnId="{CF7A8F24-7EE9-4C03-B1D4-C86DF0AB58E0}">
      <dgm:prSet/>
      <dgm:spPr/>
      <dgm:t>
        <a:bodyPr/>
        <a:lstStyle/>
        <a:p>
          <a:endParaRPr lang="pl-PL"/>
        </a:p>
      </dgm:t>
    </dgm:pt>
    <dgm:pt modelId="{13C1560A-F37E-408C-B67E-677AD0151956}" type="sibTrans" cxnId="{CF7A8F24-7EE9-4C03-B1D4-C86DF0AB58E0}">
      <dgm:prSet/>
      <dgm:spPr/>
      <dgm:t>
        <a:bodyPr/>
        <a:lstStyle/>
        <a:p>
          <a:endParaRPr lang="pl-PL"/>
        </a:p>
      </dgm:t>
    </dgm:pt>
    <dgm:pt modelId="{E1D3CD48-1FDE-4FBB-8AA1-96F9EE5F18E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Podnoszący się wskaźnik wykształcenia społeczeństwa</a:t>
          </a:r>
          <a:endParaRPr lang="pl-PL" sz="800">
            <a:solidFill>
              <a:schemeClr val="accent1">
                <a:lumMod val="75000"/>
              </a:schemeClr>
            </a:solidFill>
          </a:endParaRPr>
        </a:p>
      </dgm:t>
    </dgm:pt>
    <dgm:pt modelId="{B8DCA107-B4BE-4D65-82B8-E67F74B79AB6}" type="parTrans" cxnId="{40FA56C0-3268-4BA4-B839-9AA6051A6C6B}">
      <dgm:prSet/>
      <dgm:spPr/>
      <dgm:t>
        <a:bodyPr/>
        <a:lstStyle/>
        <a:p>
          <a:endParaRPr lang="pl-PL"/>
        </a:p>
      </dgm:t>
    </dgm:pt>
    <dgm:pt modelId="{B654B078-0C04-4508-87FA-4EA6770CDEF7}" type="sibTrans" cxnId="{40FA56C0-3268-4BA4-B839-9AA6051A6C6B}">
      <dgm:prSet/>
      <dgm:spPr/>
      <dgm:t>
        <a:bodyPr/>
        <a:lstStyle/>
        <a:p>
          <a:endParaRPr lang="pl-PL"/>
        </a:p>
      </dgm:t>
    </dgm:pt>
    <dgm:pt modelId="{1E0D3887-AB03-4398-BD5B-F5291A764E50}">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Wzrastajacy udział i znaczenie szkolnictwa zawodowego w edukacji ponadgimnazjalnej. Wzrastajaca świadomość wyboru kierunku kształcenia zgodnego z potrzebami rynku pracy.</a:t>
          </a:r>
          <a:endParaRPr lang="pl-PL" sz="800">
            <a:solidFill>
              <a:schemeClr val="accent1">
                <a:lumMod val="75000"/>
              </a:schemeClr>
            </a:solidFill>
          </a:endParaRPr>
        </a:p>
      </dgm:t>
    </dgm:pt>
    <dgm:pt modelId="{96517569-CDA7-4FA2-A836-14F7AEA38EE1}" type="parTrans" cxnId="{1E81F1BA-8C15-4069-BEE9-57BFEACFE005}">
      <dgm:prSet/>
      <dgm:spPr/>
      <dgm:t>
        <a:bodyPr/>
        <a:lstStyle/>
        <a:p>
          <a:endParaRPr lang="pl-PL"/>
        </a:p>
      </dgm:t>
    </dgm:pt>
    <dgm:pt modelId="{A40AD641-6ACB-4FB8-9A89-B0FFCD291D73}" type="sibTrans" cxnId="{1E81F1BA-8C15-4069-BEE9-57BFEACFE005}">
      <dgm:prSet/>
      <dgm:spPr/>
      <dgm:t>
        <a:bodyPr/>
        <a:lstStyle/>
        <a:p>
          <a:endParaRPr lang="pl-PL"/>
        </a:p>
      </dgm:t>
    </dgm:pt>
    <dgm:pt modelId="{E8DF8E6E-3FBB-4D22-9E15-FE7A50AF6ECC}">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Dynamicznie rozwijający się rynek usług świadczonych i pobieranych za pomocą usług teleinformatycznych umożliwiający mniejszym ośrodkom miejskim funkcjonowaniu na rynku globalnym</a:t>
          </a:r>
          <a:endParaRPr lang="pl-PL" sz="800">
            <a:solidFill>
              <a:schemeClr val="accent1">
                <a:lumMod val="75000"/>
              </a:schemeClr>
            </a:solidFill>
          </a:endParaRPr>
        </a:p>
      </dgm:t>
    </dgm:pt>
    <dgm:pt modelId="{16386839-E529-49B3-933B-90CA1498173E}" type="parTrans" cxnId="{26CFBAFA-7D14-4271-A429-5FD32AA8F6C8}">
      <dgm:prSet/>
      <dgm:spPr/>
      <dgm:t>
        <a:bodyPr/>
        <a:lstStyle/>
        <a:p>
          <a:endParaRPr lang="pl-PL"/>
        </a:p>
      </dgm:t>
    </dgm:pt>
    <dgm:pt modelId="{F512161D-1ACD-4705-AA90-8836150C7CF5}" type="sibTrans" cxnId="{26CFBAFA-7D14-4271-A429-5FD32AA8F6C8}">
      <dgm:prSet/>
      <dgm:spPr/>
      <dgm:t>
        <a:bodyPr/>
        <a:lstStyle/>
        <a:p>
          <a:endParaRPr lang="pl-PL"/>
        </a:p>
      </dgm:t>
    </dgm:pt>
    <dgm:pt modelId="{C5CE6A67-6BFF-4111-9D4B-187A2623679E}">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Migracje mieszkańców Legnicy do ościennych gmin i Wrocławia, w tym wysoko wykwalifikowanych specjalistów</a:t>
          </a:r>
          <a:endParaRPr lang="pl-PL" sz="800">
            <a:solidFill>
              <a:schemeClr val="bg2">
                <a:lumMod val="25000"/>
              </a:schemeClr>
            </a:solidFill>
          </a:endParaRPr>
        </a:p>
      </dgm:t>
    </dgm:pt>
    <dgm:pt modelId="{57D92337-2643-4BE6-A8A3-7CD089301CF0}" type="parTrans" cxnId="{1842ADB3-C045-4590-8166-11E03B03A336}">
      <dgm:prSet/>
      <dgm:spPr/>
      <dgm:t>
        <a:bodyPr/>
        <a:lstStyle/>
        <a:p>
          <a:endParaRPr lang="pl-PL"/>
        </a:p>
      </dgm:t>
    </dgm:pt>
    <dgm:pt modelId="{9E42B127-E423-4AFF-A302-F3ACD3BECB18}" type="sibTrans" cxnId="{1842ADB3-C045-4590-8166-11E03B03A336}">
      <dgm:prSet/>
      <dgm:spPr/>
      <dgm:t>
        <a:bodyPr/>
        <a:lstStyle/>
        <a:p>
          <a:endParaRPr lang="pl-PL"/>
        </a:p>
      </dgm:t>
    </dgm:pt>
    <dgm:pt modelId="{BDB5CA1B-6C3C-4561-98FA-DED8B6174A0D}">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Negatywne tendencje demograficzne. Wzrost obciążenia demograficznego ludności w wieku produkcyjnym</a:t>
          </a:r>
          <a:endParaRPr lang="pl-PL" sz="800">
            <a:solidFill>
              <a:schemeClr val="bg2">
                <a:lumMod val="25000"/>
              </a:schemeClr>
            </a:solidFill>
          </a:endParaRPr>
        </a:p>
      </dgm:t>
    </dgm:pt>
    <dgm:pt modelId="{797988BF-3D4A-48EC-B83D-9C1BEDA45EBF}" type="parTrans" cxnId="{4D09C00C-E8D2-42A8-A27C-92E3A2C23FD4}">
      <dgm:prSet/>
      <dgm:spPr/>
      <dgm:t>
        <a:bodyPr/>
        <a:lstStyle/>
        <a:p>
          <a:endParaRPr lang="pl-PL"/>
        </a:p>
      </dgm:t>
    </dgm:pt>
    <dgm:pt modelId="{1467B375-8501-4542-AEDA-DE2077707102}" type="sibTrans" cxnId="{4D09C00C-E8D2-42A8-A27C-92E3A2C23FD4}">
      <dgm:prSet/>
      <dgm:spPr/>
      <dgm:t>
        <a:bodyPr/>
        <a:lstStyle/>
        <a:p>
          <a:endParaRPr lang="pl-PL"/>
        </a:p>
      </dgm:t>
    </dgm:pt>
    <dgm:pt modelId="{24471BB7-E0D0-4D04-86D7-53706C45E8A9}">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Utrzymanie się niekorzystnych zjawisk gospodarczych spowodowanych światowym kryzysem gospodarczym</a:t>
          </a:r>
          <a:endParaRPr lang="pl-PL" sz="800">
            <a:solidFill>
              <a:schemeClr val="bg2">
                <a:lumMod val="25000"/>
              </a:schemeClr>
            </a:solidFill>
          </a:endParaRPr>
        </a:p>
      </dgm:t>
    </dgm:pt>
    <dgm:pt modelId="{34B93165-089F-49F2-96F8-C58C5D5997F3}" type="parTrans" cxnId="{7D5C56E5-F825-40EE-AF44-61F05E0E4832}">
      <dgm:prSet/>
      <dgm:spPr/>
      <dgm:t>
        <a:bodyPr/>
        <a:lstStyle/>
        <a:p>
          <a:endParaRPr lang="pl-PL"/>
        </a:p>
      </dgm:t>
    </dgm:pt>
    <dgm:pt modelId="{2ABE87A0-E9E3-4397-A335-C81CFA58C000}" type="sibTrans" cxnId="{7D5C56E5-F825-40EE-AF44-61F05E0E4832}">
      <dgm:prSet/>
      <dgm:spPr/>
      <dgm:t>
        <a:bodyPr/>
        <a:lstStyle/>
        <a:p>
          <a:endParaRPr lang="pl-PL"/>
        </a:p>
      </dgm:t>
    </dgm:pt>
    <dgm:pt modelId="{7650D33F-FA66-4ACF-B49E-FA89F927BA49}">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Brak zainteresowania w umiejscawianiu uniwersyteckich centrów naukowo-badawczych w ośrodkach miejskich o znaczeniu regionalnym i lokalnym</a:t>
          </a:r>
          <a:endParaRPr lang="pl-PL" sz="800">
            <a:solidFill>
              <a:schemeClr val="bg2">
                <a:lumMod val="25000"/>
              </a:schemeClr>
            </a:solidFill>
          </a:endParaRPr>
        </a:p>
      </dgm:t>
    </dgm:pt>
    <dgm:pt modelId="{E0C43208-BEF2-4C26-B9AD-03170B754BDA}" type="parTrans" cxnId="{F6CED570-A4C4-4F9F-B7EF-E86D3FA7E89C}">
      <dgm:prSet/>
      <dgm:spPr/>
      <dgm:t>
        <a:bodyPr/>
        <a:lstStyle/>
        <a:p>
          <a:endParaRPr lang="pl-PL"/>
        </a:p>
      </dgm:t>
    </dgm:pt>
    <dgm:pt modelId="{6B738983-126F-4DF8-9531-5AB0FE0E7D98}" type="sibTrans" cxnId="{F6CED570-A4C4-4F9F-B7EF-E86D3FA7E89C}">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70370" custScaleY="41254" custLinFactNeighborX="0" custLinFactNeighborY="-26626"/>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custLinFactNeighborX="8335" custLinFactNeighborY="18049"/>
      <dgm:spPr/>
      <dgm:t>
        <a:bodyPr/>
        <a:lstStyle/>
        <a:p>
          <a:endParaRPr lang="pl-PL"/>
        </a:p>
      </dgm:t>
    </dgm:pt>
    <dgm:pt modelId="{1C8AB41D-24DC-4091-AEFF-E52AEEF470CC}" type="pres">
      <dgm:prSet presAssocID="{2E10DDA2-C3CC-477D-9BDD-C126C84E5A17}" presName="node" presStyleLbl="node1" presStyleIdx="0" presStyleCnt="4" custScaleX="174452" custScaleY="30623" custRadScaleRad="68883" custRadScaleInc="-5999">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74452" custScaleY="206439" custRadScaleRad="154204" custRadScaleInc="-6126">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74452" custScaleY="204579" custRadScaleRad="154643" custRadScaleInc="5935">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3" presStyleCnt="4"/>
      <dgm:spPr/>
      <dgm:t>
        <a:bodyPr/>
        <a:lstStyle/>
        <a:p>
          <a:endParaRPr lang="pl-PL"/>
        </a:p>
      </dgm:t>
    </dgm:pt>
    <dgm:pt modelId="{0705A7DC-BA1D-47B6-986E-36DB063A45C7}" type="pres">
      <dgm:prSet presAssocID="{D20E421B-DFB4-45C3-BA00-49FA0E1CC344}" presName="node" presStyleLbl="node1" presStyleIdx="3" presStyleCnt="4" custScaleX="174452" custScaleY="147049" custRadScaleRad="73549" custRadScaleInc="61035">
        <dgm:presLayoutVars>
          <dgm:bulletEnabled val="1"/>
        </dgm:presLayoutVars>
      </dgm:prSet>
      <dgm:spPr/>
      <dgm:t>
        <a:bodyPr/>
        <a:lstStyle/>
        <a:p>
          <a:endParaRPr lang="pl-PL"/>
        </a:p>
      </dgm:t>
    </dgm:pt>
  </dgm:ptLst>
  <dgm:cxnLst>
    <dgm:cxn modelId="{A9286A4D-153F-48D7-AB06-385B85409121}" type="presOf" srcId="{41678E7B-580E-48CE-A527-E15E73E6E8DD}" destId="{62E613A9-F5C4-4D27-AD94-D5DF52CC0829}" srcOrd="0" destOrd="3" presId="urn:microsoft.com/office/officeart/2005/8/layout/radial4"/>
    <dgm:cxn modelId="{D1D04A31-8B66-46CB-9C24-D2FFFB0479F3}" type="presOf" srcId="{1E708C46-3FA4-47BE-91B6-298260E2983A}" destId="{4079F557-B870-4692-B361-17B891DAF6D5}" srcOrd="0" destOrd="0" presId="urn:microsoft.com/office/officeart/2005/8/layout/radial4"/>
    <dgm:cxn modelId="{DC4DB023-D8BE-44C0-8E67-75D147746A02}" type="presOf" srcId="{8D8E7BAC-F6FB-425C-8B25-CF43F4FE6EC3}" destId="{62E613A9-F5C4-4D27-AD94-D5DF52CC0829}" srcOrd="0" destOrd="6" presId="urn:microsoft.com/office/officeart/2005/8/layout/radial4"/>
    <dgm:cxn modelId="{B2014CFF-C3BF-4E83-B3D4-2E0A98A016AA}" type="presOf" srcId="{C5CE6A67-6BFF-4111-9D4B-187A2623679E}" destId="{0705A7DC-BA1D-47B6-986E-36DB063A45C7}" srcOrd="0" destOrd="1" presId="urn:microsoft.com/office/officeart/2005/8/layout/radial4"/>
    <dgm:cxn modelId="{9BE041BB-3ED7-4E29-93FA-FA398108B80C}" srcId="{53FB7279-8AB2-41F2-9E6E-538C3EA3557B}" destId="{41678E7B-580E-48CE-A527-E15E73E6E8DD}" srcOrd="2" destOrd="0" parTransId="{AB3B1777-1F1D-4801-A26A-552521DFEB4D}" sibTransId="{A719DAE5-201E-4EA1-B050-66776612DE9B}"/>
    <dgm:cxn modelId="{31152EEC-2503-4D4C-9F36-6EB903458CEE}" type="presOf" srcId="{24471BB7-E0D0-4D04-86D7-53706C45E8A9}" destId="{0705A7DC-BA1D-47B6-986E-36DB063A45C7}" srcOrd="0" destOrd="3" presId="urn:microsoft.com/office/officeart/2005/8/layout/radial4"/>
    <dgm:cxn modelId="{B835C93A-1F5D-4631-9920-3ED2DFD935AE}" type="presOf" srcId="{53FB7279-8AB2-41F2-9E6E-538C3EA3557B}" destId="{62E613A9-F5C4-4D27-AD94-D5DF52CC0829}" srcOrd="0" destOrd="0" presId="urn:microsoft.com/office/officeart/2005/8/layout/radial4"/>
    <dgm:cxn modelId="{821CFF5D-83C3-4698-8CB9-C9E78F42C753}" srcId="{53FB7279-8AB2-41F2-9E6E-538C3EA3557B}" destId="{7F89C4A1-FA52-45B0-88C7-F3F60EDAC53F}" srcOrd="4" destOrd="0" parTransId="{0484B0E1-227B-480B-A3FA-221376350D38}" sibTransId="{C75D4B66-8D6F-4294-A634-1D566C40BF70}"/>
    <dgm:cxn modelId="{3B1E4921-DD00-4679-9550-21C2D4A7D1E5}" srcId="{E0DE7FC3-05DD-41F8-A93B-17E37FBA99A2}" destId="{D4AD5703-DE06-44C7-B060-E21C427613C5}" srcOrd="2" destOrd="0" parTransId="{65ABCF01-7144-4C18-A595-A44C05FACFFF}" sibTransId="{3A330B5E-C9BB-42E4-B972-0A169D971D62}"/>
    <dgm:cxn modelId="{F6CED570-A4C4-4F9F-B7EF-E86D3FA7E89C}" srcId="{D20E421B-DFB4-45C3-BA00-49FA0E1CC344}" destId="{7650D33F-FA66-4ACF-B49E-FA89F927BA49}" srcOrd="3" destOrd="0" parTransId="{E0C43208-BEF2-4C26-B9AD-03170B754BDA}" sibTransId="{6B738983-126F-4DF8-9531-5AB0FE0E7D98}"/>
    <dgm:cxn modelId="{4B92060C-5799-4D2E-9E63-CE5C612B7A14}" type="presOf" srcId="{D20E421B-DFB4-45C3-BA00-49FA0E1CC344}" destId="{0705A7DC-BA1D-47B6-986E-36DB063A45C7}" srcOrd="0" destOrd="0" presId="urn:microsoft.com/office/officeart/2005/8/layout/radial4"/>
    <dgm:cxn modelId="{947D9390-29EA-4854-AD96-0D3BE7211252}" srcId="{53FB7279-8AB2-41F2-9E6E-538C3EA3557B}" destId="{67D30958-D39F-4B24-8957-C30B8F4ED59C}" srcOrd="0" destOrd="0" parTransId="{A410CB85-1056-4F07-91CE-72DB1B20E33E}" sibTransId="{566712F3-7F72-4985-9C47-18DF4665CDF9}"/>
    <dgm:cxn modelId="{40AA04F0-8C0F-4070-9F29-7DCE826D2AC7}" srcId="{53FB7279-8AB2-41F2-9E6E-538C3EA3557B}" destId="{8F3F4971-BDE4-4245-BB7C-CE3ADDD5649F}" srcOrd="3" destOrd="0" parTransId="{0DA6B521-2085-4D73-80EF-DEAA970CFA6F}" sibTransId="{F7FF2CEC-0018-46A2-B5C5-BE19F767B047}"/>
    <dgm:cxn modelId="{018A19B2-0664-438A-A917-7C3E62C334F3}" type="presOf" srcId="{D4AD5703-DE06-44C7-B060-E21C427613C5}" destId="{37840515-5973-4B60-9470-DCC494E77099}" srcOrd="0" destOrd="0" presId="urn:microsoft.com/office/officeart/2005/8/layout/radial4"/>
    <dgm:cxn modelId="{7D5C56E5-F825-40EE-AF44-61F05E0E4832}" srcId="{D20E421B-DFB4-45C3-BA00-49FA0E1CC344}" destId="{24471BB7-E0D0-4D04-86D7-53706C45E8A9}" srcOrd="2" destOrd="0" parTransId="{34B93165-089F-49F2-96F8-C58C5D5997F3}" sibTransId="{2ABE87A0-E9E3-4397-A335-C81CFA58C000}"/>
    <dgm:cxn modelId="{148C3FCF-E051-4EB7-8703-4B7F2F6AA21B}" type="presOf" srcId="{B68BCCBA-4CDD-4BDE-B444-4DE7199F6CE9}" destId="{8392C9FF-A8EA-439E-A648-53E7E32E0AA6}" srcOrd="0" destOrd="0" presId="urn:microsoft.com/office/officeart/2005/8/layout/radial4"/>
    <dgm:cxn modelId="{7F099AD0-28D0-4C9E-9513-E855A8724BC2}" type="presOf" srcId="{A95059F1-C918-48E5-A4EA-3EBE744F5CEA}" destId="{37840515-5973-4B60-9470-DCC494E77099}" srcOrd="0" destOrd="2" presId="urn:microsoft.com/office/officeart/2005/8/layout/radial4"/>
    <dgm:cxn modelId="{FD439AB5-8FC7-4436-A1D7-16BF59DD70F3}" type="presOf" srcId="{ACFE6B44-1A2B-47EB-BC1E-B33DE581AF82}" destId="{62E613A9-F5C4-4D27-AD94-D5DF52CC0829}" srcOrd="0" destOrd="2" presId="urn:microsoft.com/office/officeart/2005/8/layout/radial4"/>
    <dgm:cxn modelId="{AEB57D84-F4CA-4D17-92ED-4AC06BCD6B3C}" type="presOf" srcId="{9B6FA2A3-388A-44C1-ADFC-66A57833DEC1}" destId="{62222EA0-69AD-435D-B846-D23728F3081C}" srcOrd="0" destOrd="0" presId="urn:microsoft.com/office/officeart/2005/8/layout/radial4"/>
    <dgm:cxn modelId="{CF7A8F24-7EE9-4C03-B1D4-C86DF0AB58E0}" srcId="{D4AD5703-DE06-44C7-B060-E21C427613C5}" destId="{A95059F1-C918-48E5-A4EA-3EBE744F5CEA}" srcOrd="1" destOrd="0" parTransId="{AEB5FBCB-2A28-4DF1-995F-ACD7AE07F670}" sibTransId="{13C1560A-F37E-408C-B67E-677AD0151956}"/>
    <dgm:cxn modelId="{CC5126A4-FD58-406D-AFDD-113684BA5FCE}" srcId="{53FB7279-8AB2-41F2-9E6E-538C3EA3557B}" destId="{8D8E7BAC-F6FB-425C-8B25-CF43F4FE6EC3}" srcOrd="5" destOrd="0" parTransId="{AC246629-0EFE-4DC3-855F-4797624139C9}" sibTransId="{9AE36028-919E-4C5F-BE17-2004446A582D}"/>
    <dgm:cxn modelId="{2FD01407-EBDF-417C-894A-A9BF15D03F08}" type="presOf" srcId="{42DFC544-72F5-43B3-ACE4-A08DF95D19F5}" destId="{1C8AB41D-24DC-4091-AEFF-E52AEEF470CC}" srcOrd="0" destOrd="1" presId="urn:microsoft.com/office/officeart/2005/8/layout/radial4"/>
    <dgm:cxn modelId="{5E6A95CE-572D-436E-B6E1-D1143E13048A}" type="presOf" srcId="{1E0D3887-AB03-4398-BD5B-F5291A764E50}" destId="{37840515-5973-4B60-9470-DCC494E77099}" srcOrd="0" destOrd="4" presId="urn:microsoft.com/office/officeart/2005/8/layout/radial4"/>
    <dgm:cxn modelId="{AEE872B1-F8E7-480D-A852-C750695B22EC}" srcId="{E0DE7FC3-05DD-41F8-A93B-17E37FBA99A2}" destId="{2E10DDA2-C3CC-477D-9BDD-C126C84E5A17}" srcOrd="0" destOrd="0" parTransId="{B68BCCBA-4CDD-4BDE-B444-4DE7199F6CE9}" sibTransId="{D30FB8F5-C61B-47A3-9A69-8533E1E5498A}"/>
    <dgm:cxn modelId="{98E77722-1110-4606-B5CA-3E3966BA0AFE}" type="presOf" srcId="{2E10DDA2-C3CC-477D-9BDD-C126C84E5A17}" destId="{1C8AB41D-24DC-4091-AEFF-E52AEEF470CC}" srcOrd="0" destOrd="0" presId="urn:microsoft.com/office/officeart/2005/8/layout/radial4"/>
    <dgm:cxn modelId="{FFA20633-BC17-4ECB-98B3-B25F72C2200F}" type="presOf" srcId="{BDB5CA1B-6C3C-4561-98FA-DED8B6174A0D}" destId="{0705A7DC-BA1D-47B6-986E-36DB063A45C7}" srcOrd="0" destOrd="2" presId="urn:microsoft.com/office/officeart/2005/8/layout/radial4"/>
    <dgm:cxn modelId="{1E81F1BA-8C15-4069-BEE9-57BFEACFE005}" srcId="{D4AD5703-DE06-44C7-B060-E21C427613C5}" destId="{1E0D3887-AB03-4398-BD5B-F5291A764E50}" srcOrd="3" destOrd="0" parTransId="{96517569-CDA7-4FA2-A836-14F7AEA38EE1}" sibTransId="{A40AD641-6ACB-4FB8-9A89-B0FFCD291D73}"/>
    <dgm:cxn modelId="{4AB39519-3E37-4218-A69A-8CF5760D02AE}" srcId="{53FB7279-8AB2-41F2-9E6E-538C3EA3557B}" destId="{ACFE6B44-1A2B-47EB-BC1E-B33DE581AF82}" srcOrd="1" destOrd="0" parTransId="{978B79B7-BAF6-4285-9536-D5F366632F09}" sibTransId="{C14AB45F-C465-4552-BB36-8C92C5FDAB14}"/>
    <dgm:cxn modelId="{FB14AEED-87C5-4B49-A748-718F898C29BF}" type="presOf" srcId="{DA013B53-CE7E-47E8-AD95-056724E186A9}" destId="{CBEC65E8-103E-43F6-920E-1F4E5107EC87}" srcOrd="0" destOrd="0" presId="urn:microsoft.com/office/officeart/2005/8/layout/radial4"/>
    <dgm:cxn modelId="{8F989934-5B01-4127-B5FE-A077ED8A31E1}" type="presOf" srcId="{7650D33F-FA66-4ACF-B49E-FA89F927BA49}" destId="{0705A7DC-BA1D-47B6-986E-36DB063A45C7}" srcOrd="0" destOrd="4" presId="urn:microsoft.com/office/officeart/2005/8/layout/radial4"/>
    <dgm:cxn modelId="{40FA56C0-3268-4BA4-B839-9AA6051A6C6B}" srcId="{D4AD5703-DE06-44C7-B060-E21C427613C5}" destId="{E1D3CD48-1FDE-4FBB-8AA1-96F9EE5F18E5}" srcOrd="2" destOrd="0" parTransId="{B8DCA107-B4BE-4D65-82B8-E67F74B79AB6}" sibTransId="{B654B078-0C04-4508-87FA-4EA6770CDEF7}"/>
    <dgm:cxn modelId="{02543445-1C0A-46F9-B6EB-43B601F133F3}" srcId="{9B6FA2A3-388A-44C1-ADFC-66A57833DEC1}" destId="{E0DE7FC3-05DD-41F8-A93B-17E37FBA99A2}" srcOrd="0" destOrd="0" parTransId="{E35055FD-471C-4A8A-A01E-7FD9DBB350E6}" sibTransId="{D8E9451C-0B4B-4443-8273-3064A7EA324D}"/>
    <dgm:cxn modelId="{348913CE-C549-41F8-BB2A-05BA00B321A3}" type="presOf" srcId="{7F89C4A1-FA52-45B0-88C7-F3F60EDAC53F}" destId="{62E613A9-F5C4-4D27-AD94-D5DF52CC0829}" srcOrd="0" destOrd="5" presId="urn:microsoft.com/office/officeart/2005/8/layout/radial4"/>
    <dgm:cxn modelId="{1842ADB3-C045-4590-8166-11E03B03A336}" srcId="{D20E421B-DFB4-45C3-BA00-49FA0E1CC344}" destId="{C5CE6A67-6BFF-4111-9D4B-187A2623679E}" srcOrd="0" destOrd="0" parTransId="{57D92337-2643-4BE6-A8A3-7CD089301CF0}" sibTransId="{9E42B127-E423-4AFF-A302-F3ACD3BECB18}"/>
    <dgm:cxn modelId="{70588A88-6798-480F-81AC-40C2418E09B9}" type="presOf" srcId="{E1D3CD48-1FDE-4FBB-8AA1-96F9EE5F18E5}" destId="{37840515-5973-4B60-9470-DCC494E77099}" srcOrd="0" destOrd="3" presId="urn:microsoft.com/office/officeart/2005/8/layout/radial4"/>
    <dgm:cxn modelId="{9454B52E-7904-4FAE-B758-670C906C7763}" type="presOf" srcId="{67D30958-D39F-4B24-8957-C30B8F4ED59C}" destId="{62E613A9-F5C4-4D27-AD94-D5DF52CC0829}" srcOrd="0" destOrd="1" presId="urn:microsoft.com/office/officeart/2005/8/layout/radial4"/>
    <dgm:cxn modelId="{846C8C6E-11E7-438F-A06D-F8A2D1267055}" srcId="{2E10DDA2-C3CC-477D-9BDD-C126C84E5A17}" destId="{42DFC544-72F5-43B3-ACE4-A08DF95D19F5}" srcOrd="0" destOrd="0" parTransId="{206310B6-608C-4820-9AC3-80FF9E607980}" sibTransId="{E2719D9A-E2B9-4A58-9906-52F9A2EFA64A}"/>
    <dgm:cxn modelId="{4D09C00C-E8D2-42A8-A27C-92E3A2C23FD4}" srcId="{D20E421B-DFB4-45C3-BA00-49FA0E1CC344}" destId="{BDB5CA1B-6C3C-4561-98FA-DED8B6174A0D}" srcOrd="1" destOrd="0" parTransId="{797988BF-3D4A-48EC-B83D-9C1BEDA45EBF}" sibTransId="{1467B375-8501-4542-AEDA-DE2077707102}"/>
    <dgm:cxn modelId="{E3777684-31CF-4A90-8EB6-F6B1C1C89C8D}" srcId="{E0DE7FC3-05DD-41F8-A93B-17E37FBA99A2}" destId="{D20E421B-DFB4-45C3-BA00-49FA0E1CC344}" srcOrd="3" destOrd="0" parTransId="{DA013B53-CE7E-47E8-AD95-056724E186A9}" sibTransId="{0C698FC3-B64E-41D5-90E6-DDD60C7432B2}"/>
    <dgm:cxn modelId="{5E23ACAA-9A0F-4F15-805C-43D108129E86}" type="presOf" srcId="{8F3F4971-BDE4-4245-BB7C-CE3ADDD5649F}" destId="{62E613A9-F5C4-4D27-AD94-D5DF52CC0829}" srcOrd="0" destOrd="4" presId="urn:microsoft.com/office/officeart/2005/8/layout/radial4"/>
    <dgm:cxn modelId="{F3387D5C-0A8E-44D9-8696-733865FE082E}" srcId="{E0DE7FC3-05DD-41F8-A93B-17E37FBA99A2}" destId="{53FB7279-8AB2-41F2-9E6E-538C3EA3557B}" srcOrd="1" destOrd="0" parTransId="{1E708C46-3FA4-47BE-91B6-298260E2983A}" sibTransId="{9D1654F8-85CB-4E50-8554-00121DB246C9}"/>
    <dgm:cxn modelId="{9D5776B2-E5A1-48AD-B95C-FA4609F1AD45}" type="presOf" srcId="{1D1BA061-F07E-4752-8707-5BC5343004B3}" destId="{37840515-5973-4B60-9470-DCC494E77099}" srcOrd="0" destOrd="1" presId="urn:microsoft.com/office/officeart/2005/8/layout/radial4"/>
    <dgm:cxn modelId="{C938BC6B-FD71-4006-85A6-2D9358ACB783}" type="presOf" srcId="{E0DE7FC3-05DD-41F8-A93B-17E37FBA99A2}" destId="{E2B26D40-CEB8-480B-9958-6903BBB4B7DE}" srcOrd="0" destOrd="0" presId="urn:microsoft.com/office/officeart/2005/8/layout/radial4"/>
    <dgm:cxn modelId="{AEEE5F0E-421E-422E-A6D6-95F3FED8B3CF}" srcId="{D4AD5703-DE06-44C7-B060-E21C427613C5}" destId="{1D1BA061-F07E-4752-8707-5BC5343004B3}" srcOrd="0" destOrd="0" parTransId="{E39A0FB4-E530-41FA-999A-62D047CFD38A}" sibTransId="{70BBE8FB-5A0E-465D-860C-82B2A60295C5}"/>
    <dgm:cxn modelId="{26CFBAFA-7D14-4271-A429-5FD32AA8F6C8}" srcId="{D4AD5703-DE06-44C7-B060-E21C427613C5}" destId="{E8DF8E6E-3FBB-4D22-9E15-FE7A50AF6ECC}" srcOrd="4" destOrd="0" parTransId="{16386839-E529-49B3-933B-90CA1498173E}" sibTransId="{F512161D-1ACD-4705-AA90-8836150C7CF5}"/>
    <dgm:cxn modelId="{A8A0DA8B-9297-4FC4-B8DA-9817C722F3BE}" type="presOf" srcId="{65ABCF01-7144-4C18-A595-A44C05FACFFF}" destId="{23B2D597-4BCD-4CBB-8167-C9AF0A7E6FF6}" srcOrd="0" destOrd="0" presId="urn:microsoft.com/office/officeart/2005/8/layout/radial4"/>
    <dgm:cxn modelId="{B5C3E439-7758-47C7-8E05-9675734BE5B4}" type="presOf" srcId="{E8DF8E6E-3FBB-4D22-9E15-FE7A50AF6ECC}" destId="{37840515-5973-4B60-9470-DCC494E77099}" srcOrd="0" destOrd="5" presId="urn:microsoft.com/office/officeart/2005/8/layout/radial4"/>
    <dgm:cxn modelId="{B57DE73B-7809-4E64-8887-5C7E6F6B4775}" type="presParOf" srcId="{62222EA0-69AD-435D-B846-D23728F3081C}" destId="{E2B26D40-CEB8-480B-9958-6903BBB4B7DE}" srcOrd="0" destOrd="0" presId="urn:microsoft.com/office/officeart/2005/8/layout/radial4"/>
    <dgm:cxn modelId="{7EF84FB5-4272-4001-8C53-EF9DEFC9A024}" type="presParOf" srcId="{62222EA0-69AD-435D-B846-D23728F3081C}" destId="{8392C9FF-A8EA-439E-A648-53E7E32E0AA6}" srcOrd="1" destOrd="0" presId="urn:microsoft.com/office/officeart/2005/8/layout/radial4"/>
    <dgm:cxn modelId="{98A918A6-D8B5-4DF4-BD6C-850ECBC1054D}" type="presParOf" srcId="{62222EA0-69AD-435D-B846-D23728F3081C}" destId="{1C8AB41D-24DC-4091-AEFF-E52AEEF470CC}" srcOrd="2" destOrd="0" presId="urn:microsoft.com/office/officeart/2005/8/layout/radial4"/>
    <dgm:cxn modelId="{ADE72C4D-2928-40B8-B1EA-135ED8A18512}" type="presParOf" srcId="{62222EA0-69AD-435D-B846-D23728F3081C}" destId="{4079F557-B870-4692-B361-17B891DAF6D5}" srcOrd="3" destOrd="0" presId="urn:microsoft.com/office/officeart/2005/8/layout/radial4"/>
    <dgm:cxn modelId="{86DCCA0D-A3C7-4A90-BA85-EC92E8735D0D}" type="presParOf" srcId="{62222EA0-69AD-435D-B846-D23728F3081C}" destId="{62E613A9-F5C4-4D27-AD94-D5DF52CC0829}" srcOrd="4" destOrd="0" presId="urn:microsoft.com/office/officeart/2005/8/layout/radial4"/>
    <dgm:cxn modelId="{14F2560B-172E-4254-876A-C2D9C19C8E7B}" type="presParOf" srcId="{62222EA0-69AD-435D-B846-D23728F3081C}" destId="{23B2D597-4BCD-4CBB-8167-C9AF0A7E6FF6}" srcOrd="5" destOrd="0" presId="urn:microsoft.com/office/officeart/2005/8/layout/radial4"/>
    <dgm:cxn modelId="{009F372F-B784-44EF-A5A0-A5BB34BF3907}" type="presParOf" srcId="{62222EA0-69AD-435D-B846-D23728F3081C}" destId="{37840515-5973-4B60-9470-DCC494E77099}" srcOrd="6" destOrd="0" presId="urn:microsoft.com/office/officeart/2005/8/layout/radial4"/>
    <dgm:cxn modelId="{1C1617D7-0C8E-46DB-A243-B673AD0EC7B3}" type="presParOf" srcId="{62222EA0-69AD-435D-B846-D23728F3081C}" destId="{CBEC65E8-103E-43F6-920E-1F4E5107EC87}" srcOrd="7" destOrd="0" presId="urn:microsoft.com/office/officeart/2005/8/layout/radial4"/>
    <dgm:cxn modelId="{96D8A7E9-DB8F-41DB-9106-50A7F8ECA16C}" type="presParOf" srcId="{62222EA0-69AD-435D-B846-D23728F3081C}" destId="{0705A7DC-BA1D-47B6-986E-36DB063A45C7}" srcOrd="8" destOrd="0" presId="urn:microsoft.com/office/officeart/2005/8/layout/radial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regionalnym ośrodkiem nauki, edukacji i kultury</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10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0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10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F5C1ED01-E780-4E2B-B58D-A49CFBD6419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Tradycja i doświadczenie w organizacji ważnych wydarzeń kulturalnych - Satyrykon, Legnica Cantat, Festiwal SREBRO, itd.</a:t>
          </a:r>
          <a:endParaRPr lang="pl-PL" sz="800">
            <a:solidFill>
              <a:schemeClr val="accent3">
                <a:lumMod val="75000"/>
              </a:schemeClr>
            </a:solidFill>
          </a:endParaRPr>
        </a:p>
      </dgm:t>
    </dgm:pt>
    <dgm:pt modelId="{84BA18EE-35F1-47A0-ACAB-70CBABBE8D6A}" type="parTrans" cxnId="{1FDA791F-1436-440A-A7DB-3847F6C14753}">
      <dgm:prSet/>
      <dgm:spPr/>
      <dgm:t>
        <a:bodyPr/>
        <a:lstStyle/>
        <a:p>
          <a:endParaRPr lang="pl-PL"/>
        </a:p>
      </dgm:t>
    </dgm:pt>
    <dgm:pt modelId="{C23213E5-B814-4079-A951-A4E7D4B2427F}" type="sibTrans" cxnId="{1FDA791F-1436-440A-A7DB-3847F6C14753}">
      <dgm:prSet/>
      <dgm:spPr/>
      <dgm:t>
        <a:bodyPr/>
        <a:lstStyle/>
        <a:p>
          <a:endParaRPr lang="pl-PL"/>
        </a:p>
      </dgm:t>
    </dgm:pt>
    <dgm:pt modelId="{59784799-8B6B-4BD2-8737-51611E99415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Dobrze rozbudowana infrastruktura usług kultury </a:t>
          </a:r>
          <a:endParaRPr lang="pl-PL" sz="800">
            <a:solidFill>
              <a:schemeClr val="accent3">
                <a:lumMod val="75000"/>
              </a:schemeClr>
            </a:solidFill>
          </a:endParaRPr>
        </a:p>
      </dgm:t>
    </dgm:pt>
    <dgm:pt modelId="{6CA6F310-490C-4E81-80AF-CB7ECCD23861}" type="parTrans" cxnId="{3AF7E2CF-629D-413B-BC5D-83BD0780767A}">
      <dgm:prSet/>
      <dgm:spPr/>
      <dgm:t>
        <a:bodyPr/>
        <a:lstStyle/>
        <a:p>
          <a:endParaRPr lang="pl-PL"/>
        </a:p>
      </dgm:t>
    </dgm:pt>
    <dgm:pt modelId="{65AEB3EA-0948-4858-AD30-8F279BB789C1}" type="sibTrans" cxnId="{3AF7E2CF-629D-413B-BC5D-83BD0780767A}">
      <dgm:prSet/>
      <dgm:spPr/>
      <dgm:t>
        <a:bodyPr/>
        <a:lstStyle/>
        <a:p>
          <a:endParaRPr lang="pl-PL"/>
        </a:p>
      </dgm:t>
    </dgm:pt>
    <dgm:pt modelId="{079085D3-7792-4F19-BF21-4CA63D3CBD79}">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Specyficzne dziedzictwo kulturowe i historyczne budujące potencjał turystyczny i rozwój kulturalny Legnicy</a:t>
          </a:r>
          <a:endParaRPr lang="pl-PL" sz="800">
            <a:solidFill>
              <a:schemeClr val="accent3">
                <a:lumMod val="75000"/>
              </a:schemeClr>
            </a:solidFill>
          </a:endParaRPr>
        </a:p>
      </dgm:t>
    </dgm:pt>
    <dgm:pt modelId="{23F51ABE-04E9-4EEF-96CD-32D7A47730A8}" type="parTrans" cxnId="{4104D880-C1FA-4BA4-91EA-0A7F9335D330}">
      <dgm:prSet/>
      <dgm:spPr/>
      <dgm:t>
        <a:bodyPr/>
        <a:lstStyle/>
        <a:p>
          <a:endParaRPr lang="pl-PL"/>
        </a:p>
      </dgm:t>
    </dgm:pt>
    <dgm:pt modelId="{DA24EA00-67F7-4BA1-8D74-5551F281D75E}" type="sibTrans" cxnId="{4104D880-C1FA-4BA4-91EA-0A7F9335D330}">
      <dgm:prSet/>
      <dgm:spPr/>
      <dgm:t>
        <a:bodyPr/>
        <a:lstStyle/>
        <a:p>
          <a:endParaRPr lang="pl-PL"/>
        </a:p>
      </dgm:t>
    </dgm:pt>
    <dgm:pt modelId="{6E059438-127A-4A56-A9CE-AE03D4CF5224}">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Wzrost znaczenia polityki miejskiej – nowe instrumenty wspierające rozwój miejskich obszarów funkcjonalnych</a:t>
          </a:r>
          <a:endParaRPr lang="pl-PL" sz="800">
            <a:solidFill>
              <a:schemeClr val="accent1">
                <a:lumMod val="75000"/>
              </a:schemeClr>
            </a:solidFill>
          </a:endParaRPr>
        </a:p>
      </dgm:t>
    </dgm:pt>
    <dgm:pt modelId="{D16A259A-7E18-4603-B336-237847753EB9}" type="parTrans" cxnId="{756FCB27-21F6-44E8-92CC-CAE5C4F623B6}">
      <dgm:prSet/>
      <dgm:spPr/>
      <dgm:t>
        <a:bodyPr/>
        <a:lstStyle/>
        <a:p>
          <a:endParaRPr lang="pl-PL"/>
        </a:p>
      </dgm:t>
    </dgm:pt>
    <dgm:pt modelId="{22BB07CC-58B8-44C4-B006-281071CFF969}" type="sibTrans" cxnId="{756FCB27-21F6-44E8-92CC-CAE5C4F623B6}">
      <dgm:prSet/>
      <dgm:spPr/>
      <dgm:t>
        <a:bodyPr/>
        <a:lstStyle/>
        <a:p>
          <a:endParaRPr lang="pl-PL"/>
        </a:p>
      </dgm:t>
    </dgm:pt>
    <dgm:pt modelId="{86C37B4D-7328-4B3E-AE0A-C9931A4CD173}">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Brak hali widowiskowo-sportowej o dużej pojemności uniemożliwiający organizację dużych wydarzeń sportowych i kulturowych na terenie Legnicy</a:t>
          </a:r>
          <a:endParaRPr lang="pl-PL" sz="800">
            <a:solidFill>
              <a:srgbClr val="FF0000"/>
            </a:solidFill>
          </a:endParaRPr>
        </a:p>
      </dgm:t>
    </dgm:pt>
    <dgm:pt modelId="{B606AFDB-4094-4967-A60D-AC66EF3E6A0C}" type="parTrans" cxnId="{57CBFFC0-6DFE-42C8-964C-E1098E8DDEDC}">
      <dgm:prSet/>
      <dgm:spPr/>
      <dgm:t>
        <a:bodyPr/>
        <a:lstStyle/>
        <a:p>
          <a:endParaRPr lang="pl-PL"/>
        </a:p>
      </dgm:t>
    </dgm:pt>
    <dgm:pt modelId="{90A6BA48-8D64-4339-BDCB-4F247978186C}" type="sibTrans" cxnId="{57CBFFC0-6DFE-42C8-964C-E1098E8DDEDC}">
      <dgm:prSet/>
      <dgm:spPr/>
      <dgm:t>
        <a:bodyPr/>
        <a:lstStyle/>
        <a:p>
          <a:endParaRPr lang="pl-PL"/>
        </a:p>
      </dgm:t>
    </dgm:pt>
    <dgm:pt modelId="{9EAC1B51-A5CE-4F5D-A5A5-DF9EAC404E0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Duża liczba szkół wyższych oraz studentów kształcących się w legnickich uczelniach</a:t>
          </a:r>
          <a:endParaRPr lang="pl-PL" sz="800">
            <a:solidFill>
              <a:schemeClr val="accent3">
                <a:lumMod val="75000"/>
              </a:schemeClr>
            </a:solidFill>
          </a:endParaRPr>
        </a:p>
      </dgm:t>
    </dgm:pt>
    <dgm:pt modelId="{3231D297-4CA1-4EFB-86C9-A19F0279DF35}" type="parTrans" cxnId="{E837ED07-38B7-48C9-ADC4-136B481CDDC1}">
      <dgm:prSet/>
      <dgm:spPr/>
      <dgm:t>
        <a:bodyPr/>
        <a:lstStyle/>
        <a:p>
          <a:endParaRPr lang="pl-PL"/>
        </a:p>
      </dgm:t>
    </dgm:pt>
    <dgm:pt modelId="{F9958A5F-27EC-4C30-9B03-028DF1DAD3B5}" type="sibTrans" cxnId="{E837ED07-38B7-48C9-ADC4-136B481CDDC1}">
      <dgm:prSet/>
      <dgm:spPr/>
      <dgm:t>
        <a:bodyPr/>
        <a:lstStyle/>
        <a:p>
          <a:endParaRPr lang="pl-PL"/>
        </a:p>
      </dgm:t>
    </dgm:pt>
    <dgm:pt modelId="{884C1510-906F-4211-997A-1B754E41919D}">
      <dgm:prSet custT="1"/>
      <dgm:spPr/>
      <dgm:t>
        <a:bodyPr/>
        <a:lstStyle/>
        <a:p>
          <a:r>
            <a:rPr lang="pl-PL" sz="800" b="0" i="0" u="none"/>
            <a:t>Szkolnictwo zawodowe na poziomie ponadgimnazjalnym doposażone i z bogatą ofertą. Współpraca szkół zawodowych z pracodawcami strefy ekonomicznej oraz z wyższymi uczelniami technicznymi</a:t>
          </a:r>
          <a:endParaRPr lang="pl-PL" sz="800">
            <a:solidFill>
              <a:schemeClr val="accent3">
                <a:lumMod val="75000"/>
              </a:schemeClr>
            </a:solidFill>
          </a:endParaRPr>
        </a:p>
      </dgm:t>
    </dgm:pt>
    <dgm:pt modelId="{F4A74915-C53F-41C1-A0CE-F56EB82413A2}" type="parTrans" cxnId="{4F288D27-13EF-42A3-801A-5A89431EF92F}">
      <dgm:prSet/>
      <dgm:spPr/>
      <dgm:t>
        <a:bodyPr/>
        <a:lstStyle/>
        <a:p>
          <a:endParaRPr lang="pl-PL"/>
        </a:p>
      </dgm:t>
    </dgm:pt>
    <dgm:pt modelId="{C9674822-F231-4B2C-868C-608FBB48E46B}" type="sibTrans" cxnId="{4F288D27-13EF-42A3-801A-5A89431EF92F}">
      <dgm:prSet/>
      <dgm:spPr/>
      <dgm:t>
        <a:bodyPr/>
        <a:lstStyle/>
        <a:p>
          <a:endParaRPr lang="pl-PL"/>
        </a:p>
      </dgm:t>
    </dgm:pt>
    <dgm:pt modelId="{B6B87358-C7E8-4BA3-82AE-0786FD133632}">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Wzrastajacy udział i znaczenie szkolnictwa zawodowego w edukacji ponadgimnazjalnej. Wzrastajaca świadomość wyboru kierunku kształcenia zgodnego z potrzebami rynku pracy</a:t>
          </a:r>
          <a:endParaRPr lang="pl-PL" sz="800">
            <a:solidFill>
              <a:schemeClr val="accent1">
                <a:lumMod val="75000"/>
              </a:schemeClr>
            </a:solidFill>
          </a:endParaRPr>
        </a:p>
      </dgm:t>
    </dgm:pt>
    <dgm:pt modelId="{666F73E1-EBB5-4D31-8DA6-C30C33DA2806}" type="parTrans" cxnId="{BC844564-CFB9-4932-8652-BDD5FE2E44EF}">
      <dgm:prSet/>
      <dgm:spPr/>
      <dgm:t>
        <a:bodyPr/>
        <a:lstStyle/>
        <a:p>
          <a:endParaRPr lang="pl-PL"/>
        </a:p>
      </dgm:t>
    </dgm:pt>
    <dgm:pt modelId="{AC83105E-C117-4FAC-BBF3-9263603C23A7}" type="sibTrans" cxnId="{BC844564-CFB9-4932-8652-BDD5FE2E44EF}">
      <dgm:prSet/>
      <dgm:spPr/>
      <dgm:t>
        <a:bodyPr/>
        <a:lstStyle/>
        <a:p>
          <a:endParaRPr lang="pl-PL"/>
        </a:p>
      </dgm:t>
    </dgm:pt>
    <dgm:pt modelId="{71DE0CF7-34A7-4D6C-9B9E-4C68F0F113C0}">
      <dgm:prSet custT="1"/>
      <dgm:spPr/>
      <dgm:t>
        <a:bodyPr/>
        <a:lstStyle/>
        <a:p>
          <a:r>
            <a:rPr lang="pl-PL" sz="800" b="0" i="0" u="none"/>
            <a:t>Podnoszący się wskaźnik wykształcenia społeczeństwa</a:t>
          </a:r>
          <a:endParaRPr lang="pl-PL" sz="800">
            <a:solidFill>
              <a:schemeClr val="accent1">
                <a:lumMod val="75000"/>
              </a:schemeClr>
            </a:solidFill>
          </a:endParaRPr>
        </a:p>
      </dgm:t>
    </dgm:pt>
    <dgm:pt modelId="{910AB53D-A1E7-43CB-A99A-5A6685081B0F}" type="parTrans" cxnId="{F68FF161-A7FB-4771-A08C-3744000978BC}">
      <dgm:prSet/>
      <dgm:spPr/>
      <dgm:t>
        <a:bodyPr/>
        <a:lstStyle/>
        <a:p>
          <a:endParaRPr lang="pl-PL"/>
        </a:p>
      </dgm:t>
    </dgm:pt>
    <dgm:pt modelId="{45DC2B2D-D973-4F97-8650-9303DEC52D60}" type="sibTrans" cxnId="{F68FF161-A7FB-4771-A08C-3744000978BC}">
      <dgm:prSet/>
      <dgm:spPr/>
      <dgm:t>
        <a:bodyPr/>
        <a:lstStyle/>
        <a:p>
          <a:endParaRPr lang="pl-PL"/>
        </a:p>
      </dgm:t>
    </dgm:pt>
    <dgm:pt modelId="{41013CF1-6C84-439C-94FE-3BE03AA62E9A}">
      <dgm:prSet custT="1"/>
      <dgm:spPr>
        <a:ln>
          <a:solidFill>
            <a:schemeClr val="bg1">
              <a:lumMod val="50000"/>
            </a:schemeClr>
          </a:solidFill>
        </a:ln>
      </dgm:spPr>
      <dgm:t>
        <a:bodyPr/>
        <a:lstStyle/>
        <a:p>
          <a:r>
            <a:rPr lang="pl-PL" sz="1000">
              <a:solidFill>
                <a:schemeClr val="bg1">
                  <a:lumMod val="50000"/>
                </a:schemeClr>
              </a:solidFill>
            </a:rPr>
            <a:t>Zagrożenia:</a:t>
          </a:r>
        </a:p>
      </dgm:t>
    </dgm:pt>
    <dgm:pt modelId="{96738D35-7F2D-4409-80FC-157059F5B346}" type="parTrans" cxnId="{572B8ED7-3209-4CEF-A896-BED96F029A56}">
      <dgm:prSet/>
      <dgm:spPr/>
      <dgm:t>
        <a:bodyPr/>
        <a:lstStyle/>
        <a:p>
          <a:endParaRPr lang="pl-PL"/>
        </a:p>
      </dgm:t>
    </dgm:pt>
    <dgm:pt modelId="{D772B393-E5CF-4B56-A285-A34A4B6C688D}" type="sibTrans" cxnId="{572B8ED7-3209-4CEF-A896-BED96F029A56}">
      <dgm:prSet/>
      <dgm:spPr/>
      <dgm:t>
        <a:bodyPr/>
        <a:lstStyle/>
        <a:p>
          <a:endParaRPr lang="pl-PL"/>
        </a:p>
      </dgm:t>
    </dgm:pt>
    <dgm:pt modelId="{0D6D293E-6746-44A0-8932-163BDACE3FED}">
      <dgm:prSet custT="1"/>
      <dgm:spPr>
        <a:ln>
          <a:solidFill>
            <a:schemeClr val="bg1">
              <a:lumMod val="50000"/>
            </a:schemeClr>
          </a:solidFill>
        </a:ln>
      </dgm:spPr>
      <dgm:t>
        <a:bodyPr/>
        <a:lstStyle/>
        <a:p>
          <a:r>
            <a:rPr lang="pl-PL" sz="800" b="0" i="0" u="none"/>
            <a:t>Brak wypracowanych praktyk w zakresie transferu technologii i współpracy pomiędzy sektorem naukowo-badawczym, a przedsiębiorstwami powodujący utrzymywanie się niskiego poziomu innowacyjności w kraju. </a:t>
          </a:r>
          <a:endParaRPr lang="pl-PL" sz="800">
            <a:solidFill>
              <a:schemeClr val="accent1">
                <a:lumMod val="75000"/>
              </a:schemeClr>
            </a:solidFill>
          </a:endParaRPr>
        </a:p>
      </dgm:t>
    </dgm:pt>
    <dgm:pt modelId="{10012EC1-5B2F-4F52-A72E-5DF30E5C0BB3}" type="parTrans" cxnId="{A0A54005-1DC7-4454-9212-071AA894D03D}">
      <dgm:prSet/>
      <dgm:spPr/>
      <dgm:t>
        <a:bodyPr/>
        <a:lstStyle/>
        <a:p>
          <a:endParaRPr lang="pl-PL"/>
        </a:p>
      </dgm:t>
    </dgm:pt>
    <dgm:pt modelId="{EC452B45-27E4-4A37-91A9-177A3A69141E}" type="sibTrans" cxnId="{A0A54005-1DC7-4454-9212-071AA894D03D}">
      <dgm:prSet/>
      <dgm:spPr/>
      <dgm:t>
        <a:bodyPr/>
        <a:lstStyle/>
        <a:p>
          <a:endParaRPr lang="pl-PL"/>
        </a:p>
      </dgm:t>
    </dgm:pt>
    <dgm:pt modelId="{9C0C831E-6454-4245-834E-E196EC4E5594}">
      <dgm:prSet custT="1"/>
      <dgm:spPr>
        <a:ln>
          <a:solidFill>
            <a:schemeClr val="bg1">
              <a:lumMod val="50000"/>
            </a:schemeClr>
          </a:solidFill>
        </a:ln>
      </dgm:spPr>
      <dgm:t>
        <a:bodyPr/>
        <a:lstStyle/>
        <a:p>
          <a:r>
            <a:rPr lang="pl-PL" sz="800" b="0" i="0" u="none"/>
            <a:t>Brak zainteresowania w umiejscawianiu uniwersyteckich centrów naukowo-badawczych w ośrodkach miejskich o znaczeniu regionalnym i lokalnym</a:t>
          </a:r>
          <a:endParaRPr lang="pl-PL" sz="800">
            <a:solidFill>
              <a:schemeClr val="bg2">
                <a:lumMod val="25000"/>
              </a:schemeClr>
            </a:solidFill>
          </a:endParaRPr>
        </a:p>
      </dgm:t>
    </dgm:pt>
    <dgm:pt modelId="{0A110F65-074E-4CD8-BDCF-718469F3A69E}" type="parTrans" cxnId="{04BCB702-4776-45CB-8AA7-924B9F160F80}">
      <dgm:prSet/>
      <dgm:spPr/>
      <dgm:t>
        <a:bodyPr/>
        <a:lstStyle/>
        <a:p>
          <a:endParaRPr lang="pl-PL"/>
        </a:p>
      </dgm:t>
    </dgm:pt>
    <dgm:pt modelId="{621198B1-E80C-4686-9EA8-A744684ABDEB}" type="sibTrans" cxnId="{04BCB702-4776-45CB-8AA7-924B9F160F80}">
      <dgm:prSet/>
      <dgm:spPr/>
      <dgm:t>
        <a:bodyPr/>
        <a:lstStyle/>
        <a:p>
          <a:endParaRPr lang="pl-PL"/>
        </a:p>
      </dgm:t>
    </dgm:pt>
    <dgm:pt modelId="{C6D5D297-301B-49C3-BC65-F639C9C7E4AC}">
      <dgm:prSet custT="1"/>
      <dgm:spPr>
        <a:ln>
          <a:solidFill>
            <a:schemeClr val="bg1">
              <a:lumMod val="50000"/>
            </a:schemeClr>
          </a:solidFill>
        </a:ln>
      </dgm:spPr>
      <dgm:t>
        <a:bodyPr/>
        <a:lstStyle/>
        <a:p>
          <a:r>
            <a:rPr lang="pl-PL" sz="800" b="0" i="0" u="none"/>
            <a:t>Negatywne tendencje demograficzne. Wzrost obciążenia demograficznego ludności w wieku produkcyjnym</a:t>
          </a:r>
          <a:endParaRPr lang="pl-PL" sz="800">
            <a:solidFill>
              <a:schemeClr val="bg2">
                <a:lumMod val="25000"/>
              </a:schemeClr>
            </a:solidFill>
          </a:endParaRPr>
        </a:p>
      </dgm:t>
    </dgm:pt>
    <dgm:pt modelId="{85B0C5AF-6CD0-46F1-86D6-61DDE49B8276}" type="parTrans" cxnId="{9D8842CD-7E80-40EE-999D-C2E04D448660}">
      <dgm:prSet/>
      <dgm:spPr/>
      <dgm:t>
        <a:bodyPr/>
        <a:lstStyle/>
        <a:p>
          <a:endParaRPr lang="pl-PL"/>
        </a:p>
      </dgm:t>
    </dgm:pt>
    <dgm:pt modelId="{92B7F618-E4F0-4087-898C-338E0E29BD6C}" type="sibTrans" cxnId="{9D8842CD-7E80-40EE-999D-C2E04D448660}">
      <dgm:prSet/>
      <dgm:spPr/>
      <dgm:t>
        <a:bodyPr/>
        <a:lstStyle/>
        <a:p>
          <a:endParaRPr lang="pl-PL"/>
        </a:p>
      </dgm:t>
    </dgm:pt>
    <dgm:pt modelId="{8598A1C0-EF24-423F-B066-60E9E267CED4}">
      <dgm:prSet custT="1"/>
      <dgm:spPr/>
      <dgm:t>
        <a:bodyPr/>
        <a:lstStyle/>
        <a:p>
          <a:r>
            <a:rPr lang="pl-PL" sz="800" b="0" i="0" u="none"/>
            <a:t>Dobry dostęp do placówek wychowania przedszkolnego i edukacji podstawowej i gimnazjalnej</a:t>
          </a:r>
          <a:endParaRPr lang="pl-PL" sz="800">
            <a:solidFill>
              <a:schemeClr val="accent3">
                <a:lumMod val="75000"/>
              </a:schemeClr>
            </a:solidFill>
          </a:endParaRPr>
        </a:p>
      </dgm:t>
    </dgm:pt>
    <dgm:pt modelId="{E4BBF837-C67F-40C2-AF60-1B59E276C482}" type="parTrans" cxnId="{FC93683D-B6BF-4B01-ABF3-8456DC5D97E5}">
      <dgm:prSet/>
      <dgm:spPr/>
      <dgm:t>
        <a:bodyPr/>
        <a:lstStyle/>
        <a:p>
          <a:endParaRPr lang="pl-PL"/>
        </a:p>
      </dgm:t>
    </dgm:pt>
    <dgm:pt modelId="{25668446-8590-4067-B9CE-F10793D6B573}" type="sibTrans" cxnId="{FC93683D-B6BF-4B01-ABF3-8456DC5D97E5}">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16832" custScaleY="33197" custLinFactNeighborX="-4581" custLinFactNeighborY="-26414"/>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dgm:spPr/>
      <dgm:t>
        <a:bodyPr/>
        <a:lstStyle/>
        <a:p>
          <a:endParaRPr lang="pl-PL"/>
        </a:p>
      </dgm:t>
    </dgm:pt>
    <dgm:pt modelId="{1C8AB41D-24DC-4091-AEFF-E52AEEF470CC}" type="pres">
      <dgm:prSet presAssocID="{2E10DDA2-C3CC-477D-9BDD-C126C84E5A17}" presName="node" presStyleLbl="node1" presStyleIdx="0" presStyleCnt="4" custScaleX="183004" custScaleY="61880" custRadScaleRad="69943" custRadScaleInc="-15349">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83004" custScaleY="180315" custRadScaleRad="150086" custRadScaleInc="-6714">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dgm:spPr/>
      <dgm:t>
        <a:bodyPr/>
        <a:lstStyle/>
        <a:p>
          <a:endParaRPr lang="pl-PL"/>
        </a:p>
      </dgm:t>
    </dgm:pt>
    <dgm:pt modelId="{37840515-5973-4B60-9470-DCC494E77099}" type="pres">
      <dgm:prSet presAssocID="{D4AD5703-DE06-44C7-B060-E21C427613C5}" presName="node" presStyleLbl="node1" presStyleIdx="2" presStyleCnt="4" custScaleX="183004" custScaleY="106153" custRadScaleRad="129035" custRadScaleInc="10272">
        <dgm:presLayoutVars>
          <dgm:bulletEnabled val="1"/>
        </dgm:presLayoutVars>
      </dgm:prSet>
      <dgm:spPr/>
      <dgm:t>
        <a:bodyPr/>
        <a:lstStyle/>
        <a:p>
          <a:endParaRPr lang="pl-PL"/>
        </a:p>
      </dgm:t>
    </dgm:pt>
    <dgm:pt modelId="{3EFB5B0E-65DB-4411-9406-CBBE06E618F5}" type="pres">
      <dgm:prSet presAssocID="{96738D35-7F2D-4409-80FC-157059F5B346}" presName="parTrans" presStyleLbl="bgSibTrans2D1" presStyleIdx="3" presStyleCnt="4"/>
      <dgm:spPr/>
      <dgm:t>
        <a:bodyPr/>
        <a:lstStyle/>
        <a:p>
          <a:endParaRPr lang="pl-PL"/>
        </a:p>
      </dgm:t>
    </dgm:pt>
    <dgm:pt modelId="{A880F464-E98F-45C5-B9EB-5090EFF0923B}" type="pres">
      <dgm:prSet presAssocID="{41013CF1-6C84-439C-94FE-3BE03AA62E9A}" presName="node" presStyleLbl="node1" presStyleIdx="3" presStyleCnt="4" custScaleX="181307" custScaleY="131717" custRadScaleRad="64032" custRadScaleInc="49596">
        <dgm:presLayoutVars>
          <dgm:bulletEnabled val="1"/>
        </dgm:presLayoutVars>
      </dgm:prSet>
      <dgm:spPr/>
      <dgm:t>
        <a:bodyPr/>
        <a:lstStyle/>
        <a:p>
          <a:endParaRPr lang="pl-PL"/>
        </a:p>
      </dgm:t>
    </dgm:pt>
  </dgm:ptLst>
  <dgm:cxnLst>
    <dgm:cxn modelId="{656089B4-10F3-4BBC-B793-E7F3BBAF9F11}" type="presOf" srcId="{B68BCCBA-4CDD-4BDE-B444-4DE7199F6CE9}" destId="{8392C9FF-A8EA-439E-A648-53E7E32E0AA6}" srcOrd="0" destOrd="0" presId="urn:microsoft.com/office/officeart/2005/8/layout/radial4"/>
    <dgm:cxn modelId="{F68FF161-A7FB-4771-A08C-3744000978BC}" srcId="{D4AD5703-DE06-44C7-B060-E21C427613C5}" destId="{71DE0CF7-34A7-4D6C-9B9E-4C68F0F113C0}" srcOrd="2" destOrd="0" parTransId="{910AB53D-A1E7-43CB-A99A-5A6685081B0F}" sibTransId="{45DC2B2D-D973-4F97-8650-9303DEC52D60}"/>
    <dgm:cxn modelId="{F3387D5C-0A8E-44D9-8696-733865FE082E}" srcId="{E0DE7FC3-05DD-41F8-A93B-17E37FBA99A2}" destId="{53FB7279-8AB2-41F2-9E6E-538C3EA3557B}" srcOrd="1" destOrd="0" parTransId="{1E708C46-3FA4-47BE-91B6-298260E2983A}" sibTransId="{9D1654F8-85CB-4E50-8554-00121DB246C9}"/>
    <dgm:cxn modelId="{B1573244-27D5-4974-A9AC-71E07DFD4231}" type="presOf" srcId="{1E708C46-3FA4-47BE-91B6-298260E2983A}" destId="{4079F557-B870-4692-B361-17B891DAF6D5}" srcOrd="0" destOrd="0" presId="urn:microsoft.com/office/officeart/2005/8/layout/radial4"/>
    <dgm:cxn modelId="{A0A54005-1DC7-4454-9212-071AA894D03D}" srcId="{41013CF1-6C84-439C-94FE-3BE03AA62E9A}" destId="{0D6D293E-6746-44A0-8932-163BDACE3FED}" srcOrd="0" destOrd="0" parTransId="{10012EC1-5B2F-4F52-A72E-5DF30E5C0BB3}" sibTransId="{EC452B45-27E4-4A37-91A9-177A3A69141E}"/>
    <dgm:cxn modelId="{9D8842CD-7E80-40EE-999D-C2E04D448660}" srcId="{41013CF1-6C84-439C-94FE-3BE03AA62E9A}" destId="{C6D5D297-301B-49C3-BC65-F639C9C7E4AC}" srcOrd="2" destOrd="0" parTransId="{85B0C5AF-6CD0-46F1-86D6-61DDE49B8276}" sibTransId="{92B7F618-E4F0-4087-898C-338E0E29BD6C}"/>
    <dgm:cxn modelId="{6048B12E-1C11-482D-8D3B-8FE12BFC0C8C}" type="presOf" srcId="{41013CF1-6C84-439C-94FE-3BE03AA62E9A}" destId="{A880F464-E98F-45C5-B9EB-5090EFF0923B}" srcOrd="0" destOrd="0" presId="urn:microsoft.com/office/officeart/2005/8/layout/radial4"/>
    <dgm:cxn modelId="{7CFAC8D0-80FE-470F-8B82-B3C5F89F0292}" type="presOf" srcId="{96738D35-7F2D-4409-80FC-157059F5B346}" destId="{3EFB5B0E-65DB-4411-9406-CBBE06E618F5}" srcOrd="0" destOrd="0" presId="urn:microsoft.com/office/officeart/2005/8/layout/radial4"/>
    <dgm:cxn modelId="{1FDA791F-1436-440A-A7DB-3847F6C14753}" srcId="{53FB7279-8AB2-41F2-9E6E-538C3EA3557B}" destId="{F5C1ED01-E780-4E2B-B58D-A49CFBD64193}" srcOrd="0" destOrd="0" parTransId="{84BA18EE-35F1-47A0-ACAB-70CBABBE8D6A}" sibTransId="{C23213E5-B814-4079-A951-A4E7D4B2427F}"/>
    <dgm:cxn modelId="{4F288D27-13EF-42A3-801A-5A89431EF92F}" srcId="{53FB7279-8AB2-41F2-9E6E-538C3EA3557B}" destId="{884C1510-906F-4211-997A-1B754E41919D}" srcOrd="4" destOrd="0" parTransId="{F4A74915-C53F-41C1-A0CE-F56EB82413A2}" sibTransId="{C9674822-F231-4B2C-868C-608FBB48E46B}"/>
    <dgm:cxn modelId="{1C1A39D1-0D81-4287-8D7E-766F57222ECF}" type="presOf" srcId="{B6B87358-C7E8-4BA3-82AE-0786FD133632}" destId="{37840515-5973-4B60-9470-DCC494E77099}" srcOrd="0" destOrd="2" presId="urn:microsoft.com/office/officeart/2005/8/layout/radial4"/>
    <dgm:cxn modelId="{E97F3924-539F-40EB-B79B-079E11CCECCE}" type="presOf" srcId="{9C0C831E-6454-4245-834E-E196EC4E5594}" destId="{A880F464-E98F-45C5-B9EB-5090EFF0923B}" srcOrd="0" destOrd="2" presId="urn:microsoft.com/office/officeart/2005/8/layout/radial4"/>
    <dgm:cxn modelId="{419C43DE-F64E-45DC-8E59-435B0A816193}" type="presOf" srcId="{86C37B4D-7328-4B3E-AE0A-C9931A4CD173}" destId="{1C8AB41D-24DC-4091-AEFF-E52AEEF470CC}" srcOrd="0" destOrd="1" presId="urn:microsoft.com/office/officeart/2005/8/layout/radial4"/>
    <dgm:cxn modelId="{E837ED07-38B7-48C9-ADC4-136B481CDDC1}" srcId="{53FB7279-8AB2-41F2-9E6E-538C3EA3557B}" destId="{9EAC1B51-A5CE-4F5D-A5A5-DF9EAC404E02}" srcOrd="3" destOrd="0" parTransId="{3231D297-4CA1-4EFB-86C9-A19F0279DF35}" sibTransId="{F9958A5F-27EC-4C30-9B03-028DF1DAD3B5}"/>
    <dgm:cxn modelId="{4104D880-C1FA-4BA4-91EA-0A7F9335D330}" srcId="{53FB7279-8AB2-41F2-9E6E-538C3EA3557B}" destId="{079085D3-7792-4F19-BF21-4CA63D3CBD79}" srcOrd="2" destOrd="0" parTransId="{23F51ABE-04E9-4EEF-96CD-32D7A47730A8}" sibTransId="{DA24EA00-67F7-4BA1-8D74-5551F281D75E}"/>
    <dgm:cxn modelId="{E037BF3D-7075-4080-A365-B8081A54A0F3}" type="presOf" srcId="{71DE0CF7-34A7-4D6C-9B9E-4C68F0F113C0}" destId="{37840515-5973-4B60-9470-DCC494E77099}" srcOrd="0" destOrd="3" presId="urn:microsoft.com/office/officeart/2005/8/layout/radial4"/>
    <dgm:cxn modelId="{3AF7E2CF-629D-413B-BC5D-83BD0780767A}" srcId="{53FB7279-8AB2-41F2-9E6E-538C3EA3557B}" destId="{59784799-8B6B-4BD2-8737-51611E994153}" srcOrd="1" destOrd="0" parTransId="{6CA6F310-490C-4E81-80AF-CB7ECCD23861}" sibTransId="{65AEB3EA-0948-4858-AD30-8F279BB789C1}"/>
    <dgm:cxn modelId="{D84DBE5A-349E-4751-89DF-A0AFF29C0DA8}" type="presOf" srcId="{53FB7279-8AB2-41F2-9E6E-538C3EA3557B}" destId="{62E613A9-F5C4-4D27-AD94-D5DF52CC0829}" srcOrd="0" destOrd="0" presId="urn:microsoft.com/office/officeart/2005/8/layout/radial4"/>
    <dgm:cxn modelId="{04BCB702-4776-45CB-8AA7-924B9F160F80}" srcId="{41013CF1-6C84-439C-94FE-3BE03AA62E9A}" destId="{9C0C831E-6454-4245-834E-E196EC4E5594}" srcOrd="1" destOrd="0" parTransId="{0A110F65-074E-4CD8-BDCF-718469F3A69E}" sibTransId="{621198B1-E80C-4686-9EA8-A744684ABDEB}"/>
    <dgm:cxn modelId="{218C4BC8-169D-48E5-8916-9F08C30763AF}" type="presOf" srcId="{9B6FA2A3-388A-44C1-ADFC-66A57833DEC1}" destId="{62222EA0-69AD-435D-B846-D23728F3081C}" srcOrd="0" destOrd="0" presId="urn:microsoft.com/office/officeart/2005/8/layout/radial4"/>
    <dgm:cxn modelId="{4717C3A2-E1E0-4E7B-842D-9F2F1FE6DCE1}" type="presOf" srcId="{59784799-8B6B-4BD2-8737-51611E994153}" destId="{62E613A9-F5C4-4D27-AD94-D5DF52CC0829}" srcOrd="0" destOrd="2" presId="urn:microsoft.com/office/officeart/2005/8/layout/radial4"/>
    <dgm:cxn modelId="{3B1E4921-DD00-4679-9550-21C2D4A7D1E5}" srcId="{E0DE7FC3-05DD-41F8-A93B-17E37FBA99A2}" destId="{D4AD5703-DE06-44C7-B060-E21C427613C5}" srcOrd="2" destOrd="0" parTransId="{65ABCF01-7144-4C18-A595-A44C05FACFFF}" sibTransId="{3A330B5E-C9BB-42E4-B972-0A169D971D62}"/>
    <dgm:cxn modelId="{B62F44DA-B8B1-4E54-906A-EFA9D1F3AED9}" type="presOf" srcId="{884C1510-906F-4211-997A-1B754E41919D}" destId="{62E613A9-F5C4-4D27-AD94-D5DF52CC0829}" srcOrd="0" destOrd="5" presId="urn:microsoft.com/office/officeart/2005/8/layout/radial4"/>
    <dgm:cxn modelId="{4EA9E734-CD99-4FD8-83FC-65CDA08CE480}" type="presOf" srcId="{8598A1C0-EF24-423F-B066-60E9E267CED4}" destId="{62E613A9-F5C4-4D27-AD94-D5DF52CC0829}" srcOrd="0" destOrd="6" presId="urn:microsoft.com/office/officeart/2005/8/layout/radial4"/>
    <dgm:cxn modelId="{03902652-F54C-449D-B0DF-29E5289EA12B}" type="presOf" srcId="{0D6D293E-6746-44A0-8932-163BDACE3FED}" destId="{A880F464-E98F-45C5-B9EB-5090EFF0923B}" srcOrd="0" destOrd="1" presId="urn:microsoft.com/office/officeart/2005/8/layout/radial4"/>
    <dgm:cxn modelId="{2C21573C-0CDC-4DD3-94A6-22969100D8BE}" type="presOf" srcId="{079085D3-7792-4F19-BF21-4CA63D3CBD79}" destId="{62E613A9-F5C4-4D27-AD94-D5DF52CC0829}" srcOrd="0" destOrd="3" presId="urn:microsoft.com/office/officeart/2005/8/layout/radial4"/>
    <dgm:cxn modelId="{8BBA187E-2E08-4465-BC90-77AE1C78BAC6}" type="presOf" srcId="{E0DE7FC3-05DD-41F8-A93B-17E37FBA99A2}" destId="{E2B26D40-CEB8-480B-9958-6903BBB4B7DE}" srcOrd="0" destOrd="0" presId="urn:microsoft.com/office/officeart/2005/8/layout/radial4"/>
    <dgm:cxn modelId="{BC844564-CFB9-4932-8652-BDD5FE2E44EF}" srcId="{D4AD5703-DE06-44C7-B060-E21C427613C5}" destId="{B6B87358-C7E8-4BA3-82AE-0786FD133632}" srcOrd="1" destOrd="0" parTransId="{666F73E1-EBB5-4D31-8DA6-C30C33DA2806}" sibTransId="{AC83105E-C117-4FAC-BBF3-9263603C23A7}"/>
    <dgm:cxn modelId="{8E57632E-81B8-43AD-A513-5FF6D03C2B8E}" type="presOf" srcId="{D4AD5703-DE06-44C7-B060-E21C427613C5}" destId="{37840515-5973-4B60-9470-DCC494E77099}" srcOrd="0" destOrd="0" presId="urn:microsoft.com/office/officeart/2005/8/layout/radial4"/>
    <dgm:cxn modelId="{756FCB27-21F6-44E8-92CC-CAE5C4F623B6}" srcId="{D4AD5703-DE06-44C7-B060-E21C427613C5}" destId="{6E059438-127A-4A56-A9CE-AE03D4CF5224}" srcOrd="0" destOrd="0" parTransId="{D16A259A-7E18-4603-B336-237847753EB9}" sibTransId="{22BB07CC-58B8-44C4-B006-281071CFF969}"/>
    <dgm:cxn modelId="{FC93683D-B6BF-4B01-ABF3-8456DC5D97E5}" srcId="{53FB7279-8AB2-41F2-9E6E-538C3EA3557B}" destId="{8598A1C0-EF24-423F-B066-60E9E267CED4}" srcOrd="5" destOrd="0" parTransId="{E4BBF837-C67F-40C2-AF60-1B59E276C482}" sibTransId="{25668446-8590-4067-B9CE-F10793D6B573}"/>
    <dgm:cxn modelId="{2A6A6359-3F59-4A21-B684-3623C9B565A2}" type="presOf" srcId="{6E059438-127A-4A56-A9CE-AE03D4CF5224}" destId="{37840515-5973-4B60-9470-DCC494E77099}" srcOrd="0" destOrd="1" presId="urn:microsoft.com/office/officeart/2005/8/layout/radial4"/>
    <dgm:cxn modelId="{DE152BE6-5D09-432C-BF2C-4A8B7DFA3BA4}" type="presOf" srcId="{65ABCF01-7144-4C18-A595-A44C05FACFFF}" destId="{23B2D597-4BCD-4CBB-8167-C9AF0A7E6FF6}"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E7345313-E056-4731-8C37-786A0268BDA0}" type="presOf" srcId="{9EAC1B51-A5CE-4F5D-A5A5-DF9EAC404E02}" destId="{62E613A9-F5C4-4D27-AD94-D5DF52CC0829}" srcOrd="0" destOrd="4" presId="urn:microsoft.com/office/officeart/2005/8/layout/radial4"/>
    <dgm:cxn modelId="{7B3A6B9B-20D5-4298-9946-B5F92F29686C}" type="presOf" srcId="{C6D5D297-301B-49C3-BC65-F639C9C7E4AC}" destId="{A880F464-E98F-45C5-B9EB-5090EFF0923B}" srcOrd="0" destOrd="3" presId="urn:microsoft.com/office/officeart/2005/8/layout/radial4"/>
    <dgm:cxn modelId="{174A473E-AA44-4D01-AE57-474568DCFA48}" type="presOf" srcId="{2E10DDA2-C3CC-477D-9BDD-C126C84E5A17}" destId="{1C8AB41D-24DC-4091-AEFF-E52AEEF470CC}" srcOrd="0" destOrd="0" presId="urn:microsoft.com/office/officeart/2005/8/layout/radial4"/>
    <dgm:cxn modelId="{572B8ED7-3209-4CEF-A896-BED96F029A56}" srcId="{E0DE7FC3-05DD-41F8-A93B-17E37FBA99A2}" destId="{41013CF1-6C84-439C-94FE-3BE03AA62E9A}" srcOrd="3" destOrd="0" parTransId="{96738D35-7F2D-4409-80FC-157059F5B346}" sibTransId="{D772B393-E5CF-4B56-A285-A34A4B6C688D}"/>
    <dgm:cxn modelId="{AEE872B1-F8E7-480D-A852-C750695B22EC}" srcId="{E0DE7FC3-05DD-41F8-A93B-17E37FBA99A2}" destId="{2E10DDA2-C3CC-477D-9BDD-C126C84E5A17}" srcOrd="0" destOrd="0" parTransId="{B68BCCBA-4CDD-4BDE-B444-4DE7199F6CE9}" sibTransId="{D30FB8F5-C61B-47A3-9A69-8533E1E5498A}"/>
    <dgm:cxn modelId="{57CBFFC0-6DFE-42C8-964C-E1098E8DDEDC}" srcId="{2E10DDA2-C3CC-477D-9BDD-C126C84E5A17}" destId="{86C37B4D-7328-4B3E-AE0A-C9931A4CD173}" srcOrd="0" destOrd="0" parTransId="{B606AFDB-4094-4967-A60D-AC66EF3E6A0C}" sibTransId="{90A6BA48-8D64-4339-BDCB-4F247978186C}"/>
    <dgm:cxn modelId="{78115D10-39CC-4915-8642-E9BAB5CE2363}" type="presOf" srcId="{F5C1ED01-E780-4E2B-B58D-A49CFBD64193}" destId="{62E613A9-F5C4-4D27-AD94-D5DF52CC0829}" srcOrd="0" destOrd="1" presId="urn:microsoft.com/office/officeart/2005/8/layout/radial4"/>
    <dgm:cxn modelId="{E8ADFC60-5202-45A8-BC23-3D168CA93840}" type="presParOf" srcId="{62222EA0-69AD-435D-B846-D23728F3081C}" destId="{E2B26D40-CEB8-480B-9958-6903BBB4B7DE}" srcOrd="0" destOrd="0" presId="urn:microsoft.com/office/officeart/2005/8/layout/radial4"/>
    <dgm:cxn modelId="{A8A4D40D-831B-4585-B2A0-9644715ECB06}" type="presParOf" srcId="{62222EA0-69AD-435D-B846-D23728F3081C}" destId="{8392C9FF-A8EA-439E-A648-53E7E32E0AA6}" srcOrd="1" destOrd="0" presId="urn:microsoft.com/office/officeart/2005/8/layout/radial4"/>
    <dgm:cxn modelId="{E9979852-CB64-410D-87CF-DF88BE47C569}" type="presParOf" srcId="{62222EA0-69AD-435D-B846-D23728F3081C}" destId="{1C8AB41D-24DC-4091-AEFF-E52AEEF470CC}" srcOrd="2" destOrd="0" presId="urn:microsoft.com/office/officeart/2005/8/layout/radial4"/>
    <dgm:cxn modelId="{3AB83639-97BD-438F-869C-1CEFC77215F6}" type="presParOf" srcId="{62222EA0-69AD-435D-B846-D23728F3081C}" destId="{4079F557-B870-4692-B361-17B891DAF6D5}" srcOrd="3" destOrd="0" presId="urn:microsoft.com/office/officeart/2005/8/layout/radial4"/>
    <dgm:cxn modelId="{41183868-A4B8-4B5B-8C7F-198EA48899CA}" type="presParOf" srcId="{62222EA0-69AD-435D-B846-D23728F3081C}" destId="{62E613A9-F5C4-4D27-AD94-D5DF52CC0829}" srcOrd="4" destOrd="0" presId="urn:microsoft.com/office/officeart/2005/8/layout/radial4"/>
    <dgm:cxn modelId="{BC6132D3-8B4E-4206-85C3-CC39940D2F5E}" type="presParOf" srcId="{62222EA0-69AD-435D-B846-D23728F3081C}" destId="{23B2D597-4BCD-4CBB-8167-C9AF0A7E6FF6}" srcOrd="5" destOrd="0" presId="urn:microsoft.com/office/officeart/2005/8/layout/radial4"/>
    <dgm:cxn modelId="{4102015A-6BC8-44B1-922F-B4E8845B31E1}" type="presParOf" srcId="{62222EA0-69AD-435D-B846-D23728F3081C}" destId="{37840515-5973-4B60-9470-DCC494E77099}" srcOrd="6" destOrd="0" presId="urn:microsoft.com/office/officeart/2005/8/layout/radial4"/>
    <dgm:cxn modelId="{0E5D1B51-5AD7-4695-82E4-BBCBE0615C0E}" type="presParOf" srcId="{62222EA0-69AD-435D-B846-D23728F3081C}" destId="{3EFB5B0E-65DB-4411-9406-CBBE06E618F5}" srcOrd="7" destOrd="0" presId="urn:microsoft.com/office/officeart/2005/8/layout/radial4"/>
    <dgm:cxn modelId="{2ACF8B95-FA98-45DD-8011-BC2002035310}" type="presParOf" srcId="{62222EA0-69AD-435D-B846-D23728F3081C}" destId="{A880F464-E98F-45C5-B9EB-5090EFF0923B}" srcOrd="8" destOrd="0" presId="urn:microsoft.com/office/officeart/2005/8/layout/radial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miastem wysokiej jakości środowiska przyrodniczego, dzięki świadczeniu nowoczesnych i wysokiej jakości usług komunalnych  </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1000">
              <a:solidFill>
                <a:srgbClr val="FF0000"/>
              </a:solidFill>
            </a:rPr>
            <a:t>Słabe strony: </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0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10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2">
              <a:lumMod val="50000"/>
            </a:schemeClr>
          </a:solidFill>
        </a:ln>
      </dgm:spPr>
      <dgm:t>
        <a:bodyPr/>
        <a:lstStyle/>
        <a:p>
          <a:r>
            <a:rPr lang="pl-PL" sz="1000">
              <a:solidFill>
                <a:schemeClr val="bg2">
                  <a:lumMod val="25000"/>
                </a:schemeClr>
              </a:solidFill>
            </a:rPr>
            <a:t>Zagrożenia:</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4B355684-F088-4775-A0EC-57E282FA7795}">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Zanieczyszczenie środowiska: wysokie stężenie zanieczyszczeń powietrza - niska emisja, zanieczyszczenie gleb w pobliżu Huty Miedzi, występowanie dzikich wysypisk</a:t>
          </a:r>
          <a:endParaRPr lang="pl-PL" sz="800">
            <a:solidFill>
              <a:srgbClr val="FF0000"/>
            </a:solidFill>
          </a:endParaRPr>
        </a:p>
      </dgm:t>
    </dgm:pt>
    <dgm:pt modelId="{4509EA89-EBAA-4E72-8836-B7CC6426BABA}" type="parTrans" cxnId="{1F64B2C0-94C6-4C28-978C-ABEECA133107}">
      <dgm:prSet/>
      <dgm:spPr/>
      <dgm:t>
        <a:bodyPr/>
        <a:lstStyle/>
        <a:p>
          <a:endParaRPr lang="pl-PL"/>
        </a:p>
      </dgm:t>
    </dgm:pt>
    <dgm:pt modelId="{78376C91-B7C5-4A62-9A49-FDD12C90A231}" type="sibTrans" cxnId="{1F64B2C0-94C6-4C28-978C-ABEECA133107}">
      <dgm:prSet/>
      <dgm:spPr/>
      <dgm:t>
        <a:bodyPr/>
        <a:lstStyle/>
        <a:p>
          <a:endParaRPr lang="pl-PL"/>
        </a:p>
      </dgm:t>
    </dgm:pt>
    <dgm:pt modelId="{C9C310DC-C4DC-4C66-9236-46171DF6B083}">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800" b="0" i="0" u="none"/>
            <a:t>Duże obciążenie ruchem komunikacyjnym wewnętrznego układu drogowego</a:t>
          </a:r>
          <a:endParaRPr lang="pl-PL" sz="800">
            <a:solidFill>
              <a:srgbClr val="FF0000"/>
            </a:solidFill>
          </a:endParaRPr>
        </a:p>
      </dgm:t>
    </dgm:pt>
    <dgm:pt modelId="{30EACD43-A82C-4938-8557-5393F48111F0}" type="parTrans" cxnId="{6C9161AB-D47B-4F3A-B9EA-A4311F1DF530}">
      <dgm:prSet/>
      <dgm:spPr/>
      <dgm:t>
        <a:bodyPr/>
        <a:lstStyle/>
        <a:p>
          <a:endParaRPr lang="pl-PL"/>
        </a:p>
      </dgm:t>
    </dgm:pt>
    <dgm:pt modelId="{E8239508-FBCD-401B-9E40-FF96F9F7D988}" type="sibTrans" cxnId="{6C9161AB-D47B-4F3A-B9EA-A4311F1DF530}">
      <dgm:prSet/>
      <dgm:spPr/>
      <dgm:t>
        <a:bodyPr/>
        <a:lstStyle/>
        <a:p>
          <a:endParaRPr lang="pl-PL"/>
        </a:p>
      </dgm:t>
    </dgm:pt>
    <dgm:pt modelId="{99E2B18A-C8BE-4E08-9E68-7A24C43706D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Wysoka dostępność do infrastruktury technicznej i usług komunalnych</a:t>
          </a:r>
          <a:endParaRPr lang="pl-PL" sz="800">
            <a:solidFill>
              <a:schemeClr val="accent3">
                <a:lumMod val="75000"/>
              </a:schemeClr>
            </a:solidFill>
          </a:endParaRPr>
        </a:p>
      </dgm:t>
    </dgm:pt>
    <dgm:pt modelId="{AFCB8D6E-966D-4986-A72C-1BB59DD874EB}" type="parTrans" cxnId="{BD46CA34-2504-404D-A5EB-DC002D6DCF0D}">
      <dgm:prSet/>
      <dgm:spPr/>
      <dgm:t>
        <a:bodyPr/>
        <a:lstStyle/>
        <a:p>
          <a:endParaRPr lang="pl-PL"/>
        </a:p>
      </dgm:t>
    </dgm:pt>
    <dgm:pt modelId="{32F95DB9-D9E5-44E7-90AC-27802CE68DF5}" type="sibTrans" cxnId="{BD46CA34-2504-404D-A5EB-DC002D6DCF0D}">
      <dgm:prSet/>
      <dgm:spPr/>
      <dgm:t>
        <a:bodyPr/>
        <a:lstStyle/>
        <a:p>
          <a:endParaRPr lang="pl-PL"/>
        </a:p>
      </dgm:t>
    </dgm:pt>
    <dgm:pt modelId="{48A4AACC-C513-4D7D-B806-E5C6A7C7D088}">
      <dgm:prSet custT="1"/>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F54DC1C3-A3A1-4E97-8F03-A9949EE4845B}" type="parTrans" cxnId="{FD85CD8D-BAE7-47E1-9961-63E5C825ED69}">
      <dgm:prSet/>
      <dgm:spPr/>
      <dgm:t>
        <a:bodyPr/>
        <a:lstStyle/>
        <a:p>
          <a:endParaRPr lang="pl-PL"/>
        </a:p>
      </dgm:t>
    </dgm:pt>
    <dgm:pt modelId="{547C9E7B-A218-473A-8997-023116681A90}" type="sibTrans" cxnId="{FD85CD8D-BAE7-47E1-9961-63E5C825ED69}">
      <dgm:prSet/>
      <dgm:spPr/>
      <dgm:t>
        <a:bodyPr/>
        <a:lstStyle/>
        <a:p>
          <a:endParaRPr lang="pl-PL"/>
        </a:p>
      </dgm:t>
    </dgm:pt>
    <dgm:pt modelId="{DFAF90BE-B49D-4104-8EED-B559BE9951EB}">
      <dgm:prSet custT="1"/>
      <dgm:spPr/>
      <dgm:t>
        <a:bodyPr/>
        <a:lstStyle/>
        <a:p>
          <a:endParaRPr lang="pl-PL" sz="800">
            <a:solidFill>
              <a:schemeClr val="accent1">
                <a:lumMod val="75000"/>
              </a:schemeClr>
            </a:solidFill>
          </a:endParaRPr>
        </a:p>
      </dgm:t>
    </dgm:pt>
    <dgm:pt modelId="{CE419467-46E5-4432-A5CF-B22A9BF01F20}" type="parTrans" cxnId="{1A215D99-6B7C-4FCC-A806-3A759F76D2C6}">
      <dgm:prSet/>
      <dgm:spPr/>
      <dgm:t>
        <a:bodyPr/>
        <a:lstStyle/>
        <a:p>
          <a:endParaRPr lang="pl-PL"/>
        </a:p>
      </dgm:t>
    </dgm:pt>
    <dgm:pt modelId="{73E89ED0-CAE8-41AA-AD5F-EFD0B53F7425}" type="sibTrans" cxnId="{1A215D99-6B7C-4FCC-A806-3A759F76D2C6}">
      <dgm:prSet/>
      <dgm:spPr/>
      <dgm:t>
        <a:bodyPr/>
        <a:lstStyle/>
        <a:p>
          <a:endParaRPr lang="pl-PL"/>
        </a:p>
      </dgm:t>
    </dgm:pt>
    <dgm:pt modelId="{070842A4-0515-4BF5-98F8-EFD3BBDFCB67}">
      <dgm:prSet custT="1"/>
      <dgm:spPr/>
      <dgm:t>
        <a:bodyPr/>
        <a:lstStyle/>
        <a:p>
          <a:r>
            <a:rPr lang="pl-PL" sz="800" b="0" i="0" u="none"/>
            <a:t>Rozwijająca się moda na uprawianie sportu, rekreacji i zdrowy tryb życia w społeczeństwie</a:t>
          </a:r>
          <a:endParaRPr lang="pl-PL" sz="800">
            <a:solidFill>
              <a:schemeClr val="accent1">
                <a:lumMod val="75000"/>
              </a:schemeClr>
            </a:solidFill>
          </a:endParaRPr>
        </a:p>
      </dgm:t>
    </dgm:pt>
    <dgm:pt modelId="{49E37FC9-67DE-464E-BC9F-52875662E876}" type="parTrans" cxnId="{30D7BC9C-7D12-498C-B917-B26AEDEC3114}">
      <dgm:prSet/>
      <dgm:spPr/>
      <dgm:t>
        <a:bodyPr/>
        <a:lstStyle/>
        <a:p>
          <a:endParaRPr lang="pl-PL"/>
        </a:p>
      </dgm:t>
    </dgm:pt>
    <dgm:pt modelId="{E649215F-57FF-44D7-AE43-AE44D20381B3}" type="sibTrans" cxnId="{30D7BC9C-7D12-498C-B917-B26AEDEC3114}">
      <dgm:prSet/>
      <dgm:spPr/>
      <dgm:t>
        <a:bodyPr/>
        <a:lstStyle/>
        <a:p>
          <a:endParaRPr lang="pl-PL"/>
        </a:p>
      </dgm:t>
    </dgm:pt>
    <dgm:pt modelId="{42322289-35BA-4D81-92EF-E48452A2189B}">
      <dgm:prSet phldrT="[Tekst]" custT="1">
        <dgm:style>
          <a:lnRef idx="2">
            <a:schemeClr val="accent5"/>
          </a:lnRef>
          <a:fillRef idx="1">
            <a:schemeClr val="lt1"/>
          </a:fillRef>
          <a:effectRef idx="0">
            <a:schemeClr val="accent5"/>
          </a:effectRef>
          <a:fontRef idx="minor">
            <a:schemeClr val="dk1"/>
          </a:fontRef>
        </dgm:style>
      </dgm:prSet>
      <dgm:spPr>
        <a:ln>
          <a:solidFill>
            <a:schemeClr val="bg2">
              <a:lumMod val="50000"/>
            </a:schemeClr>
          </a:solidFill>
        </a:ln>
      </dgm:spPr>
      <dgm:t>
        <a:bodyPr/>
        <a:lstStyle/>
        <a:p>
          <a:r>
            <a:rPr lang="pl-PL" sz="800" b="0" i="0" u="none"/>
            <a:t>Brak pewności co do realizacji zewnętrznych inwestycji drogowych: drogi ekspresowej S-3 na odcinku Legnica-Lubawka, ograniczenia węzłów drogowych na A4 w związku z dostosowaniem A-4 do autostrady płatnej. Od ich realizacji zależeć będzie przekierowanie części ruchu na drogę krajową nr 94 i miasto.</a:t>
          </a:r>
          <a:endParaRPr lang="pl-PL" sz="800">
            <a:solidFill>
              <a:schemeClr val="bg2">
                <a:lumMod val="25000"/>
              </a:schemeClr>
            </a:solidFill>
          </a:endParaRPr>
        </a:p>
      </dgm:t>
    </dgm:pt>
    <dgm:pt modelId="{4B88A748-3021-4B24-879F-6F292327A8E1}" type="parTrans" cxnId="{B7CAB2EA-FE59-49B5-BA74-187BEDB5AAA7}">
      <dgm:prSet/>
      <dgm:spPr/>
      <dgm:t>
        <a:bodyPr/>
        <a:lstStyle/>
        <a:p>
          <a:endParaRPr lang="pl-PL"/>
        </a:p>
      </dgm:t>
    </dgm:pt>
    <dgm:pt modelId="{C8A41EFE-0FC4-48C7-BAA0-75974E115612}" type="sibTrans" cxnId="{B7CAB2EA-FE59-49B5-BA74-187BEDB5AAA7}">
      <dgm:prSet/>
      <dgm:spPr/>
      <dgm:t>
        <a:bodyPr/>
        <a:lstStyle/>
        <a:p>
          <a:endParaRPr lang="pl-PL"/>
        </a:p>
      </dgm:t>
    </dgm:pt>
    <dgm:pt modelId="{08E7E6F2-7F61-4E4B-ACBE-9C5D4CDB1335}">
      <dgm:prSet custT="1"/>
      <dgm:spPr/>
      <dgm:t>
        <a:bodyPr/>
        <a:lstStyle/>
        <a:p>
          <a:r>
            <a:rPr lang="pl-PL" sz="800" b="0" i="0" u="none"/>
            <a:t>Wzrost znaczenia polityki miejskiej – nowe instrumenty wspierające rozwój miejskich obszarów funkcjonalnych</a:t>
          </a:r>
          <a:endParaRPr lang="pl-PL" sz="800">
            <a:solidFill>
              <a:schemeClr val="accent1">
                <a:lumMod val="75000"/>
              </a:schemeClr>
            </a:solidFill>
          </a:endParaRPr>
        </a:p>
      </dgm:t>
    </dgm:pt>
    <dgm:pt modelId="{4A8FB8C4-E73D-41A6-AF22-2CB7F2C4A7F3}" type="parTrans" cxnId="{F4F19509-A276-42D8-9046-655D7FF8277D}">
      <dgm:prSet/>
      <dgm:spPr/>
      <dgm:t>
        <a:bodyPr/>
        <a:lstStyle/>
        <a:p>
          <a:endParaRPr lang="pl-PL"/>
        </a:p>
      </dgm:t>
    </dgm:pt>
    <dgm:pt modelId="{DD546A70-FC40-4DCB-ABFC-7E719B648683}" type="sibTrans" cxnId="{F4F19509-A276-42D8-9046-655D7FF8277D}">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49392" custScaleY="38527" custLinFactNeighborX="-272" custLinFactNeighborY="-26024"/>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custScaleX="87238"/>
      <dgm:spPr/>
      <dgm:t>
        <a:bodyPr/>
        <a:lstStyle/>
        <a:p>
          <a:endParaRPr lang="pl-PL"/>
        </a:p>
      </dgm:t>
    </dgm:pt>
    <dgm:pt modelId="{1C8AB41D-24DC-4091-AEFF-E52AEEF470CC}" type="pres">
      <dgm:prSet presAssocID="{2E10DDA2-C3CC-477D-9BDD-C126C84E5A17}" presName="node" presStyleLbl="node1" presStyleIdx="0" presStyleCnt="4" custScaleX="180055" custScaleY="79771" custRadScaleRad="68937" custRadScaleInc="-34684">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custScaleX="83043"/>
      <dgm:spPr/>
      <dgm:t>
        <a:bodyPr/>
        <a:lstStyle/>
        <a:p>
          <a:endParaRPr lang="pl-PL"/>
        </a:p>
      </dgm:t>
    </dgm:pt>
    <dgm:pt modelId="{62E613A9-F5C4-4D27-AD94-D5DF52CC0829}" type="pres">
      <dgm:prSet presAssocID="{53FB7279-8AB2-41F2-9E6E-538C3EA3557B}" presName="node" presStyleLbl="node1" presStyleIdx="1" presStyleCnt="4" custScaleX="175872" custScaleY="48905" custRadScaleRad="119240" custRadScaleInc="-28298">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custScaleX="88771"/>
      <dgm:spPr/>
      <dgm:t>
        <a:bodyPr/>
        <a:lstStyle/>
        <a:p>
          <a:endParaRPr lang="pl-PL"/>
        </a:p>
      </dgm:t>
    </dgm:pt>
    <dgm:pt modelId="{37840515-5973-4B60-9470-DCC494E77099}" type="pres">
      <dgm:prSet presAssocID="{D4AD5703-DE06-44C7-B060-E21C427613C5}" presName="node" presStyleLbl="node1" presStyleIdx="2" presStyleCnt="4" custScaleX="184017" custScaleY="89357" custRadScaleRad="119398" custRadScaleInc="9776">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3" presStyleCnt="4" custScaleX="89880"/>
      <dgm:spPr/>
      <dgm:t>
        <a:bodyPr/>
        <a:lstStyle/>
        <a:p>
          <a:endParaRPr lang="pl-PL"/>
        </a:p>
      </dgm:t>
    </dgm:pt>
    <dgm:pt modelId="{0705A7DC-BA1D-47B6-986E-36DB063A45C7}" type="pres">
      <dgm:prSet presAssocID="{D20E421B-DFB4-45C3-BA00-49FA0E1CC344}" presName="node" presStyleLbl="node1" presStyleIdx="3" presStyleCnt="4" custScaleX="186136" custScaleY="83703" custRadScaleRad="60587" custRadScaleInc="37248">
        <dgm:presLayoutVars>
          <dgm:bulletEnabled val="1"/>
        </dgm:presLayoutVars>
      </dgm:prSet>
      <dgm:spPr/>
      <dgm:t>
        <a:bodyPr/>
        <a:lstStyle/>
        <a:p>
          <a:endParaRPr lang="pl-PL"/>
        </a:p>
      </dgm:t>
    </dgm:pt>
  </dgm:ptLst>
  <dgm:cxnLst>
    <dgm:cxn modelId="{E3777684-31CF-4A90-8EB6-F6B1C1C89C8D}" srcId="{E0DE7FC3-05DD-41F8-A93B-17E37FBA99A2}" destId="{D20E421B-DFB4-45C3-BA00-49FA0E1CC344}" srcOrd="3" destOrd="0" parTransId="{DA013B53-CE7E-47E8-AD95-056724E186A9}" sibTransId="{0C698FC3-B64E-41D5-90E6-DDD60C7432B2}"/>
    <dgm:cxn modelId="{73A3BAE3-AFDA-4017-B7A8-D22D87576718}" type="presOf" srcId="{08E7E6F2-7F61-4E4B-ACBE-9C5D4CDB1335}" destId="{37840515-5973-4B60-9470-DCC494E77099}" srcOrd="0" destOrd="3" presId="urn:microsoft.com/office/officeart/2005/8/layout/radial4"/>
    <dgm:cxn modelId="{BD46CA34-2504-404D-A5EB-DC002D6DCF0D}" srcId="{53FB7279-8AB2-41F2-9E6E-538C3EA3557B}" destId="{99E2B18A-C8BE-4E08-9E68-7A24C43706D2}" srcOrd="0" destOrd="0" parTransId="{AFCB8D6E-966D-4986-A72C-1BB59DD874EB}" sibTransId="{32F95DB9-D9E5-44E7-90AC-27802CE68DF5}"/>
    <dgm:cxn modelId="{F4F19509-A276-42D8-9046-655D7FF8277D}" srcId="{D4AD5703-DE06-44C7-B060-E21C427613C5}" destId="{08E7E6F2-7F61-4E4B-ACBE-9C5D4CDB1335}" srcOrd="2" destOrd="0" parTransId="{4A8FB8C4-E73D-41A6-AF22-2CB7F2C4A7F3}" sibTransId="{DD546A70-FC40-4DCB-ABFC-7E719B648683}"/>
    <dgm:cxn modelId="{32D8F8C8-80AF-4B63-84DB-D51F4CF1DB76}" type="presOf" srcId="{53FB7279-8AB2-41F2-9E6E-538C3EA3557B}" destId="{62E613A9-F5C4-4D27-AD94-D5DF52CC0829}" srcOrd="0" destOrd="0" presId="urn:microsoft.com/office/officeart/2005/8/layout/radial4"/>
    <dgm:cxn modelId="{8ED1B838-FB2B-4CDC-A2B9-47EF2449119D}" type="presOf" srcId="{DA013B53-CE7E-47E8-AD95-056724E186A9}" destId="{CBEC65E8-103E-43F6-920E-1F4E5107EC87}" srcOrd="0" destOrd="0" presId="urn:microsoft.com/office/officeart/2005/8/layout/radial4"/>
    <dgm:cxn modelId="{B9830A41-0425-4166-A6C1-AC4A8317975B}" type="presOf" srcId="{070842A4-0515-4BF5-98F8-EFD3BBDFCB67}" destId="{37840515-5973-4B60-9470-DCC494E77099}" srcOrd="0" destOrd="2" presId="urn:microsoft.com/office/officeart/2005/8/layout/radial4"/>
    <dgm:cxn modelId="{FD85CD8D-BAE7-47E1-9961-63E5C825ED69}" srcId="{D4AD5703-DE06-44C7-B060-E21C427613C5}" destId="{48A4AACC-C513-4D7D-B806-E5C6A7C7D088}" srcOrd="0" destOrd="0" parTransId="{F54DC1C3-A3A1-4E97-8F03-A9949EE4845B}" sibTransId="{547C9E7B-A218-473A-8997-023116681A90}"/>
    <dgm:cxn modelId="{DB215F73-0E1F-41C2-9792-02790FCFB583}" type="presOf" srcId="{E0DE7FC3-05DD-41F8-A93B-17E37FBA99A2}" destId="{E2B26D40-CEB8-480B-9958-6903BBB4B7DE}" srcOrd="0" destOrd="0" presId="urn:microsoft.com/office/officeart/2005/8/layout/radial4"/>
    <dgm:cxn modelId="{AEE872B1-F8E7-480D-A852-C750695B22EC}" srcId="{E0DE7FC3-05DD-41F8-A93B-17E37FBA99A2}" destId="{2E10DDA2-C3CC-477D-9BDD-C126C84E5A17}" srcOrd="0" destOrd="0" parTransId="{B68BCCBA-4CDD-4BDE-B444-4DE7199F6CE9}" sibTransId="{D30FB8F5-C61B-47A3-9A69-8533E1E5498A}"/>
    <dgm:cxn modelId="{6E3CB1C0-6172-4CB8-83E8-C1EE5237C1F0}" type="presOf" srcId="{4B355684-F088-4775-A0EC-57E282FA7795}" destId="{1C8AB41D-24DC-4091-AEFF-E52AEEF470CC}" srcOrd="0" destOrd="1" presId="urn:microsoft.com/office/officeart/2005/8/layout/radial4"/>
    <dgm:cxn modelId="{4BCCFB5B-2566-403D-BAFC-8D6E31768B51}" type="presOf" srcId="{65ABCF01-7144-4C18-A595-A44C05FACFFF}" destId="{23B2D597-4BCD-4CBB-8167-C9AF0A7E6FF6}"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2023A0DD-0C2F-4378-8F4F-0C0FD13FE5CA}" type="presOf" srcId="{99E2B18A-C8BE-4E08-9E68-7A24C43706D2}" destId="{62E613A9-F5C4-4D27-AD94-D5DF52CC0829}" srcOrd="0" destOrd="1" presId="urn:microsoft.com/office/officeart/2005/8/layout/radial4"/>
    <dgm:cxn modelId="{B71B1F19-B7EC-45A1-B7D3-127BEB9214AB}" type="presOf" srcId="{42322289-35BA-4D81-92EF-E48452A2189B}" destId="{0705A7DC-BA1D-47B6-986E-36DB063A45C7}" srcOrd="0" destOrd="1" presId="urn:microsoft.com/office/officeart/2005/8/layout/radial4"/>
    <dgm:cxn modelId="{30D7BC9C-7D12-498C-B917-B26AEDEC3114}" srcId="{D4AD5703-DE06-44C7-B060-E21C427613C5}" destId="{070842A4-0515-4BF5-98F8-EFD3BBDFCB67}" srcOrd="1" destOrd="0" parTransId="{49E37FC9-67DE-464E-BC9F-52875662E876}" sibTransId="{E649215F-57FF-44D7-AE43-AE44D20381B3}"/>
    <dgm:cxn modelId="{6BA130E2-1CF8-4C89-BA7D-9FE904B00695}" type="presOf" srcId="{9B6FA2A3-388A-44C1-ADFC-66A57833DEC1}" destId="{62222EA0-69AD-435D-B846-D23728F3081C}" srcOrd="0" destOrd="0" presId="urn:microsoft.com/office/officeart/2005/8/layout/radial4"/>
    <dgm:cxn modelId="{639F1702-FDF0-4130-B49C-F2438C3E3E5E}" type="presOf" srcId="{D20E421B-DFB4-45C3-BA00-49FA0E1CC344}" destId="{0705A7DC-BA1D-47B6-986E-36DB063A45C7}" srcOrd="0" destOrd="0" presId="urn:microsoft.com/office/officeart/2005/8/layout/radial4"/>
    <dgm:cxn modelId="{46C8B2CE-D8B5-40A0-8ADE-50319578D46F}" type="presOf" srcId="{1E708C46-3FA4-47BE-91B6-298260E2983A}" destId="{4079F557-B870-4692-B361-17B891DAF6D5}" srcOrd="0" destOrd="0" presId="urn:microsoft.com/office/officeart/2005/8/layout/radial4"/>
    <dgm:cxn modelId="{3B1E4921-DD00-4679-9550-21C2D4A7D1E5}" srcId="{E0DE7FC3-05DD-41F8-A93B-17E37FBA99A2}" destId="{D4AD5703-DE06-44C7-B060-E21C427613C5}" srcOrd="2" destOrd="0" parTransId="{65ABCF01-7144-4C18-A595-A44C05FACFFF}" sibTransId="{3A330B5E-C9BB-42E4-B972-0A169D971D62}"/>
    <dgm:cxn modelId="{DB04F684-1F0D-446E-BA84-1ECFD936707D}" type="presOf" srcId="{48A4AACC-C513-4D7D-B806-E5C6A7C7D088}" destId="{37840515-5973-4B60-9470-DCC494E77099}" srcOrd="0" destOrd="1" presId="urn:microsoft.com/office/officeart/2005/8/layout/radial4"/>
    <dgm:cxn modelId="{8E5AC2A8-F23F-443C-90E0-A42BC212BA5F}" type="presOf" srcId="{D4AD5703-DE06-44C7-B060-E21C427613C5}" destId="{37840515-5973-4B60-9470-DCC494E77099}" srcOrd="0" destOrd="0" presId="urn:microsoft.com/office/officeart/2005/8/layout/radial4"/>
    <dgm:cxn modelId="{780C3000-8ACA-4E07-A39D-1319AA778A19}" type="presOf" srcId="{B68BCCBA-4CDD-4BDE-B444-4DE7199F6CE9}" destId="{8392C9FF-A8EA-439E-A648-53E7E32E0AA6}" srcOrd="0" destOrd="0" presId="urn:microsoft.com/office/officeart/2005/8/layout/radial4"/>
    <dgm:cxn modelId="{F3387D5C-0A8E-44D9-8696-733865FE082E}" srcId="{E0DE7FC3-05DD-41F8-A93B-17E37FBA99A2}" destId="{53FB7279-8AB2-41F2-9E6E-538C3EA3557B}" srcOrd="1" destOrd="0" parTransId="{1E708C46-3FA4-47BE-91B6-298260E2983A}" sibTransId="{9D1654F8-85CB-4E50-8554-00121DB246C9}"/>
    <dgm:cxn modelId="{88E52DD6-D0D9-475E-B96A-6A0584231B55}" type="presOf" srcId="{2E10DDA2-C3CC-477D-9BDD-C126C84E5A17}" destId="{1C8AB41D-24DC-4091-AEFF-E52AEEF470CC}" srcOrd="0" destOrd="0" presId="urn:microsoft.com/office/officeart/2005/8/layout/radial4"/>
    <dgm:cxn modelId="{B7CAB2EA-FE59-49B5-BA74-187BEDB5AAA7}" srcId="{D20E421B-DFB4-45C3-BA00-49FA0E1CC344}" destId="{42322289-35BA-4D81-92EF-E48452A2189B}" srcOrd="0" destOrd="0" parTransId="{4B88A748-3021-4B24-879F-6F292327A8E1}" sibTransId="{C8A41EFE-0FC4-48C7-BAA0-75974E115612}"/>
    <dgm:cxn modelId="{E1ACD4C7-03B2-4D7B-98C9-548E64FA1A87}" type="presOf" srcId="{DFAF90BE-B49D-4104-8EED-B559BE9951EB}" destId="{37840515-5973-4B60-9470-DCC494E77099}" srcOrd="0" destOrd="4" presId="urn:microsoft.com/office/officeart/2005/8/layout/radial4"/>
    <dgm:cxn modelId="{1F64B2C0-94C6-4C28-978C-ABEECA133107}" srcId="{2E10DDA2-C3CC-477D-9BDD-C126C84E5A17}" destId="{4B355684-F088-4775-A0EC-57E282FA7795}" srcOrd="0" destOrd="0" parTransId="{4509EA89-EBAA-4E72-8836-B7CC6426BABA}" sibTransId="{78376C91-B7C5-4A62-9A49-FDD12C90A231}"/>
    <dgm:cxn modelId="{6C9161AB-D47B-4F3A-B9EA-A4311F1DF530}" srcId="{2E10DDA2-C3CC-477D-9BDD-C126C84E5A17}" destId="{C9C310DC-C4DC-4C66-9236-46171DF6B083}" srcOrd="1" destOrd="0" parTransId="{30EACD43-A82C-4938-8557-5393F48111F0}" sibTransId="{E8239508-FBCD-401B-9E40-FF96F9F7D988}"/>
    <dgm:cxn modelId="{1A215D99-6B7C-4FCC-A806-3A759F76D2C6}" srcId="{D4AD5703-DE06-44C7-B060-E21C427613C5}" destId="{DFAF90BE-B49D-4104-8EED-B559BE9951EB}" srcOrd="3" destOrd="0" parTransId="{CE419467-46E5-4432-A5CF-B22A9BF01F20}" sibTransId="{73E89ED0-CAE8-41AA-AD5F-EFD0B53F7425}"/>
    <dgm:cxn modelId="{AD73B72B-2DA7-4B88-850C-4DDCA9404805}" type="presOf" srcId="{C9C310DC-C4DC-4C66-9236-46171DF6B083}" destId="{1C8AB41D-24DC-4091-AEFF-E52AEEF470CC}" srcOrd="0" destOrd="2" presId="urn:microsoft.com/office/officeart/2005/8/layout/radial4"/>
    <dgm:cxn modelId="{40E048A6-09CA-4A0B-8C61-D8C1E15338CF}" type="presParOf" srcId="{62222EA0-69AD-435D-B846-D23728F3081C}" destId="{E2B26D40-CEB8-480B-9958-6903BBB4B7DE}" srcOrd="0" destOrd="0" presId="urn:microsoft.com/office/officeart/2005/8/layout/radial4"/>
    <dgm:cxn modelId="{54E6D89A-AA52-44F7-ADAE-52A35E092DD5}" type="presParOf" srcId="{62222EA0-69AD-435D-B846-D23728F3081C}" destId="{8392C9FF-A8EA-439E-A648-53E7E32E0AA6}" srcOrd="1" destOrd="0" presId="urn:microsoft.com/office/officeart/2005/8/layout/radial4"/>
    <dgm:cxn modelId="{448EB6AE-435D-4427-805F-54C7008A9894}" type="presParOf" srcId="{62222EA0-69AD-435D-B846-D23728F3081C}" destId="{1C8AB41D-24DC-4091-AEFF-E52AEEF470CC}" srcOrd="2" destOrd="0" presId="urn:microsoft.com/office/officeart/2005/8/layout/radial4"/>
    <dgm:cxn modelId="{1A525F41-9C45-4601-94DE-AB93FA92D05A}" type="presParOf" srcId="{62222EA0-69AD-435D-B846-D23728F3081C}" destId="{4079F557-B870-4692-B361-17B891DAF6D5}" srcOrd="3" destOrd="0" presId="urn:microsoft.com/office/officeart/2005/8/layout/radial4"/>
    <dgm:cxn modelId="{CDE54DE7-FCEC-4F00-8D41-F39F56BC709B}" type="presParOf" srcId="{62222EA0-69AD-435D-B846-D23728F3081C}" destId="{62E613A9-F5C4-4D27-AD94-D5DF52CC0829}" srcOrd="4" destOrd="0" presId="urn:microsoft.com/office/officeart/2005/8/layout/radial4"/>
    <dgm:cxn modelId="{AF27F455-1A8D-4FC9-B75D-55A22C8DC9E7}" type="presParOf" srcId="{62222EA0-69AD-435D-B846-D23728F3081C}" destId="{23B2D597-4BCD-4CBB-8167-C9AF0A7E6FF6}" srcOrd="5" destOrd="0" presId="urn:microsoft.com/office/officeart/2005/8/layout/radial4"/>
    <dgm:cxn modelId="{0360837D-E5A0-4688-91BA-517DF6137AA0}" type="presParOf" srcId="{62222EA0-69AD-435D-B846-D23728F3081C}" destId="{37840515-5973-4B60-9470-DCC494E77099}" srcOrd="6" destOrd="0" presId="urn:microsoft.com/office/officeart/2005/8/layout/radial4"/>
    <dgm:cxn modelId="{753FF506-158C-488F-B431-752C39A31FA5}" type="presParOf" srcId="{62222EA0-69AD-435D-B846-D23728F3081C}" destId="{CBEC65E8-103E-43F6-920E-1F4E5107EC87}" srcOrd="7" destOrd="0" presId="urn:microsoft.com/office/officeart/2005/8/layout/radial4"/>
    <dgm:cxn modelId="{A45176F4-A6B3-4FF7-919F-3E2BAD2B3793}" type="presParOf" srcId="{62222EA0-69AD-435D-B846-D23728F3081C}" destId="{0705A7DC-BA1D-47B6-986E-36DB063A45C7}" srcOrd="8" destOrd="0" presId="urn:microsoft.com/office/officeart/2005/8/layout/radial4"/>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miastem sprzyjającym rodzinie: bezpiecznym, zapewniającym powszechny dostęp do rozbudowanej infrastruktury społecznej i wysokospecjalistycznych usług zdrowia</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2E10DDA2-C3CC-477D-9BDD-C126C84E5A17}">
      <dgm:prSet phldrT="[Tekst]" custT="1">
        <dgm:style>
          <a:lnRef idx="2">
            <a:schemeClr val="accent2"/>
          </a:lnRef>
          <a:fillRef idx="1">
            <a:schemeClr val="lt1"/>
          </a:fillRef>
          <a:effectRef idx="0">
            <a:schemeClr val="accent2"/>
          </a:effectRef>
          <a:fontRef idx="minor">
            <a:schemeClr val="dk1"/>
          </a:fontRef>
        </dgm:style>
      </dgm:prSet>
      <dgm:spPr/>
      <dgm:t>
        <a:bodyPr/>
        <a:lstStyle/>
        <a:p>
          <a:r>
            <a:rPr lang="pl-PL" sz="1000">
              <a:solidFill>
                <a:srgbClr val="FF0000"/>
              </a:solidFill>
            </a:rPr>
            <a:t>Słabe strony:</a:t>
          </a:r>
        </a:p>
      </dgm:t>
    </dgm:pt>
    <dgm:pt modelId="{B68BCCBA-4CDD-4BDE-B444-4DE7199F6CE9}" type="parTrans" cxnId="{AEE872B1-F8E7-480D-A852-C750695B22EC}">
      <dgm:prSet/>
      <dgm:spPr/>
      <dgm:t>
        <a:bodyPr/>
        <a:lstStyle/>
        <a:p>
          <a:endParaRPr lang="pl-PL"/>
        </a:p>
      </dgm:t>
    </dgm:pt>
    <dgm:pt modelId="{D30FB8F5-C61B-47A3-9A69-8533E1E5498A}" type="sibTrans" cxnId="{AEE872B1-F8E7-480D-A852-C750695B22EC}">
      <dgm:prSet/>
      <dgm:spPr/>
      <dgm:t>
        <a:bodyPr/>
        <a:lstStyle/>
        <a:p>
          <a:endParaRPr lang="pl-PL"/>
        </a:p>
      </dgm:t>
    </dgm:pt>
    <dgm:pt modelId="{53FB7279-8AB2-41F2-9E6E-538C3EA3557B}">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000">
              <a:solidFill>
                <a:schemeClr val="accent3">
                  <a:lumMod val="75000"/>
                </a:schemeClr>
              </a:solidFill>
            </a:rPr>
            <a:t>Mocne strony:</a:t>
          </a:r>
        </a:p>
      </dgm:t>
    </dgm:pt>
    <dgm:pt modelId="{1E708C46-3FA4-47BE-91B6-298260E2983A}" type="parTrans" cxnId="{F3387D5C-0A8E-44D9-8696-733865FE082E}">
      <dgm:prSet/>
      <dgm:spPr/>
      <dgm:t>
        <a:bodyPr/>
        <a:lstStyle/>
        <a:p>
          <a:endParaRPr lang="pl-PL"/>
        </a:p>
      </dgm:t>
    </dgm:pt>
    <dgm:pt modelId="{9D1654F8-85CB-4E50-8554-00121DB246C9}" type="sibTrans" cxnId="{F3387D5C-0A8E-44D9-8696-733865FE082E}">
      <dgm:prSet/>
      <dgm:spPr/>
      <dgm:t>
        <a:bodyPr/>
        <a:lstStyle/>
        <a:p>
          <a:endParaRPr lang="pl-PL"/>
        </a:p>
      </dgm:t>
    </dgm:pt>
    <dgm:pt modelId="{D4AD5703-DE06-44C7-B060-E21C427613C5}">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1000">
              <a:solidFill>
                <a:schemeClr val="accent1">
                  <a:lumMod val="75000"/>
                </a:schemeClr>
              </a:solidFill>
            </a:rPr>
            <a:t>Szanse:</a:t>
          </a:r>
        </a:p>
      </dgm:t>
    </dgm:pt>
    <dgm:pt modelId="{65ABCF01-7144-4C18-A595-A44C05FACFFF}" type="parTrans" cxnId="{3B1E4921-DD00-4679-9550-21C2D4A7D1E5}">
      <dgm:prSet/>
      <dgm:spPr/>
      <dgm:t>
        <a:bodyPr/>
        <a:lstStyle/>
        <a:p>
          <a:endParaRPr lang="pl-PL"/>
        </a:p>
      </dgm:t>
    </dgm:pt>
    <dgm:pt modelId="{3A330B5E-C9BB-42E4-B972-0A169D971D62}" type="sibTrans" cxnId="{3B1E4921-DD00-4679-9550-21C2D4A7D1E5}">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1000">
              <a:solidFill>
                <a:schemeClr val="bg2">
                  <a:lumMod val="25000"/>
                </a:schemeClr>
              </a:solidFill>
            </a:rPr>
            <a:t>Zagrożenia:</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B51D8924-281D-42C4-8777-86EC623965B9}">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Migracje mieszkańców Legnicy do ościennych gmin i Wrocławia, w tym wysoko wykwalifikowanych specjalistów</a:t>
          </a:r>
          <a:endParaRPr lang="pl-PL" sz="800">
            <a:solidFill>
              <a:schemeClr val="bg2">
                <a:lumMod val="25000"/>
              </a:schemeClr>
            </a:solidFill>
          </a:endParaRPr>
        </a:p>
      </dgm:t>
    </dgm:pt>
    <dgm:pt modelId="{D4A60ABF-7E16-4252-AAFB-084BEE3867AB}" type="parTrans" cxnId="{4D0834A0-9378-4452-8145-B192D1FFF5C9}">
      <dgm:prSet/>
      <dgm:spPr/>
      <dgm:t>
        <a:bodyPr/>
        <a:lstStyle/>
        <a:p>
          <a:endParaRPr lang="pl-PL"/>
        </a:p>
      </dgm:t>
    </dgm:pt>
    <dgm:pt modelId="{B019127B-18BC-4D39-AE1D-7FADA0C404CE}" type="sibTrans" cxnId="{4D0834A0-9378-4452-8145-B192D1FFF5C9}">
      <dgm:prSet/>
      <dgm:spPr/>
      <dgm:t>
        <a:bodyPr/>
        <a:lstStyle/>
        <a:p>
          <a:endParaRPr lang="pl-PL"/>
        </a:p>
      </dgm:t>
    </dgm:pt>
    <dgm:pt modelId="{D6998ED8-AD13-49BF-A111-62321A05A676}">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Negatywne tendencje demograficzne. Wzrost obciążenia demograficznego ludności w wieku produkcyjnym</a:t>
          </a:r>
          <a:endParaRPr lang="pl-PL" sz="800">
            <a:solidFill>
              <a:schemeClr val="bg2">
                <a:lumMod val="25000"/>
              </a:schemeClr>
            </a:solidFill>
          </a:endParaRPr>
        </a:p>
      </dgm:t>
    </dgm:pt>
    <dgm:pt modelId="{6C44E62F-247E-45EA-BA6F-68A4E33F9430}" type="parTrans" cxnId="{4CFB2382-23DF-4BFC-9CA5-43C62B3C5CBA}">
      <dgm:prSet/>
      <dgm:spPr/>
      <dgm:t>
        <a:bodyPr/>
        <a:lstStyle/>
        <a:p>
          <a:endParaRPr lang="pl-PL"/>
        </a:p>
      </dgm:t>
    </dgm:pt>
    <dgm:pt modelId="{F3BAFD4E-AFD4-490C-B89E-90AB24931E66}" type="sibTrans" cxnId="{4CFB2382-23DF-4BFC-9CA5-43C62B3C5CBA}">
      <dgm:prSet/>
      <dgm:spPr/>
      <dgm:t>
        <a:bodyPr/>
        <a:lstStyle/>
        <a:p>
          <a:endParaRPr lang="pl-PL"/>
        </a:p>
      </dgm:t>
    </dgm:pt>
    <dgm:pt modelId="{12A0BD35-53F0-4D9B-BB2A-F30C2909F5DD}">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B7A87E28-2EA7-4E44-BCAF-3CF82ACE9DCC}" type="parTrans" cxnId="{33B91EE6-5535-4F70-904E-F5649F0B4655}">
      <dgm:prSet/>
      <dgm:spPr/>
      <dgm:t>
        <a:bodyPr/>
        <a:lstStyle/>
        <a:p>
          <a:endParaRPr lang="pl-PL"/>
        </a:p>
      </dgm:t>
    </dgm:pt>
    <dgm:pt modelId="{9A328D79-705C-41D0-A400-6A66AF635364}" type="sibTrans" cxnId="{33B91EE6-5535-4F70-904E-F5649F0B4655}">
      <dgm:prSet/>
      <dgm:spPr/>
      <dgm:t>
        <a:bodyPr/>
        <a:lstStyle/>
        <a:p>
          <a:endParaRPr lang="pl-PL"/>
        </a:p>
      </dgm:t>
    </dgm:pt>
    <dgm:pt modelId="{7F5C3157-CC99-42DA-A5D1-9C67D84BF945}">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Korzystny rynek pracy. Relatywnie niski poziom bezrobocia, wzrastająca liczba zarejestrowanych podmiotów gospodarczych</a:t>
          </a:r>
          <a:endParaRPr lang="pl-PL" sz="800">
            <a:solidFill>
              <a:schemeClr val="accent3">
                <a:lumMod val="75000"/>
              </a:schemeClr>
            </a:solidFill>
          </a:endParaRPr>
        </a:p>
      </dgm:t>
    </dgm:pt>
    <dgm:pt modelId="{3BBE36CB-4307-46E2-B0E9-97ABBDFC3396}" type="parTrans" cxnId="{8AB6956D-2C21-45B5-8095-5A91D7D4E4E7}">
      <dgm:prSet/>
      <dgm:spPr/>
      <dgm:t>
        <a:bodyPr/>
        <a:lstStyle/>
        <a:p>
          <a:endParaRPr lang="pl-PL"/>
        </a:p>
      </dgm:t>
    </dgm:pt>
    <dgm:pt modelId="{28624E80-53F1-465A-BFB7-1454499E2FCC}" type="sibTrans" cxnId="{8AB6956D-2C21-45B5-8095-5A91D7D4E4E7}">
      <dgm:prSet/>
      <dgm:spPr/>
      <dgm:t>
        <a:bodyPr/>
        <a:lstStyle/>
        <a:p>
          <a:endParaRPr lang="pl-PL"/>
        </a:p>
      </dgm:t>
    </dgm:pt>
    <dgm:pt modelId="{11B6A919-B41B-43C6-AEFD-ED8AFDA618FB}">
      <dgm:prSet phldrT="[Tekst]" custT="1">
        <dgm:style>
          <a:lnRef idx="2">
            <a:schemeClr val="accent3"/>
          </a:lnRef>
          <a:fillRef idx="1">
            <a:schemeClr val="lt1"/>
          </a:fillRef>
          <a:effectRef idx="0">
            <a:schemeClr val="accent3"/>
          </a:effectRef>
          <a:fontRef idx="minor">
            <a:schemeClr val="dk1"/>
          </a:fontRef>
        </dgm:style>
      </dgm:prSet>
      <dgm:spPr/>
      <dgm:t>
        <a:bodyPr/>
        <a:lstStyle/>
        <a:p>
          <a:endParaRPr lang="pl-PL" sz="800">
            <a:solidFill>
              <a:schemeClr val="accent3">
                <a:lumMod val="75000"/>
              </a:schemeClr>
            </a:solidFill>
          </a:endParaRPr>
        </a:p>
      </dgm:t>
    </dgm:pt>
    <dgm:pt modelId="{347A4731-CE33-4EBD-97D4-EAF557D13497}" type="parTrans" cxnId="{87324746-7E45-480B-BC3D-CE8ACA7E8D2F}">
      <dgm:prSet/>
      <dgm:spPr/>
      <dgm:t>
        <a:bodyPr/>
        <a:lstStyle/>
        <a:p>
          <a:endParaRPr lang="pl-PL"/>
        </a:p>
      </dgm:t>
    </dgm:pt>
    <dgm:pt modelId="{4B84E01A-AB71-4C2D-AF8B-4DF0AD368BAE}" type="sibTrans" cxnId="{87324746-7E45-480B-BC3D-CE8ACA7E8D2F}">
      <dgm:prSet/>
      <dgm:spPr/>
      <dgm:t>
        <a:bodyPr/>
        <a:lstStyle/>
        <a:p>
          <a:endParaRPr lang="pl-PL"/>
        </a:p>
      </dgm:t>
    </dgm:pt>
    <dgm:pt modelId="{A09A5382-6617-4386-9CAA-428F9807E09A}">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Dobre wyposażenie placówek opieki zdrowotnej, funkcjonowanie Wojewódzkiego Szpitala Specjalistycznego</a:t>
          </a:r>
          <a:endParaRPr lang="pl-PL" sz="800">
            <a:solidFill>
              <a:schemeClr val="accent3">
                <a:lumMod val="75000"/>
              </a:schemeClr>
            </a:solidFill>
          </a:endParaRPr>
        </a:p>
      </dgm:t>
    </dgm:pt>
    <dgm:pt modelId="{38521DBA-4EF7-46F3-ABDC-D5C0B13FC4CE}" type="parTrans" cxnId="{86D2F555-D56C-4A65-908A-D2E7560D025A}">
      <dgm:prSet/>
      <dgm:spPr/>
      <dgm:t>
        <a:bodyPr/>
        <a:lstStyle/>
        <a:p>
          <a:endParaRPr lang="pl-PL"/>
        </a:p>
      </dgm:t>
    </dgm:pt>
    <dgm:pt modelId="{82904235-D10E-482A-9C70-27452E002BD3}" type="sibTrans" cxnId="{86D2F555-D56C-4A65-908A-D2E7560D025A}">
      <dgm:prSet/>
      <dgm:spPr/>
      <dgm:t>
        <a:bodyPr/>
        <a:lstStyle/>
        <a:p>
          <a:endParaRPr lang="pl-PL"/>
        </a:p>
      </dgm:t>
    </dgm:pt>
    <dgm:pt modelId="{3C192C6B-6BD6-4C17-BE8A-20B74ACBB8D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Dobry dostęp do placówek wychowania przedszkolnego i edukacji podstawowej i gimnazjalnej</a:t>
          </a:r>
          <a:endParaRPr lang="pl-PL" sz="800">
            <a:solidFill>
              <a:schemeClr val="accent3">
                <a:lumMod val="75000"/>
              </a:schemeClr>
            </a:solidFill>
          </a:endParaRPr>
        </a:p>
      </dgm:t>
    </dgm:pt>
    <dgm:pt modelId="{1B1E017A-0F7E-4411-A0B1-343965269282}" type="parTrans" cxnId="{F44630C7-DD40-4133-8DD5-28FB299C258E}">
      <dgm:prSet/>
      <dgm:spPr/>
      <dgm:t>
        <a:bodyPr/>
        <a:lstStyle/>
        <a:p>
          <a:endParaRPr lang="pl-PL"/>
        </a:p>
      </dgm:t>
    </dgm:pt>
    <dgm:pt modelId="{1332DEAE-5BF8-4AE4-9451-10425E63308D}" type="sibTrans" cxnId="{F44630C7-DD40-4133-8DD5-28FB299C258E}">
      <dgm:prSet/>
      <dgm:spPr/>
      <dgm:t>
        <a:bodyPr/>
        <a:lstStyle/>
        <a:p>
          <a:endParaRPr lang="pl-PL"/>
        </a:p>
      </dgm:t>
    </dgm:pt>
    <dgm:pt modelId="{6AB30334-F842-48F3-8F07-BA95C952F52F}">
      <dgm:prSet custT="1"/>
      <dgm:spPr/>
      <dgm:t>
        <a:bodyPr/>
        <a:lstStyle/>
        <a:p>
          <a:r>
            <a:rPr lang="pl-PL" sz="800" b="0" i="0" u="none"/>
            <a:t>Słabe połączenia komunikacji publicznej z sąsiednimi obszarami i okalającymi gminami. Oparcie komunikacji na funkcjonowaniu prywatnych busów</a:t>
          </a:r>
          <a:endParaRPr lang="pl-PL" sz="800">
            <a:solidFill>
              <a:srgbClr val="FF0000"/>
            </a:solidFill>
          </a:endParaRPr>
        </a:p>
      </dgm:t>
    </dgm:pt>
    <dgm:pt modelId="{C5DF160F-34E8-4BCE-931F-BD30EFD2036E}" type="parTrans" cxnId="{63BB0CA2-863C-4BC1-9190-6E5695E09504}">
      <dgm:prSet/>
      <dgm:spPr/>
      <dgm:t>
        <a:bodyPr/>
        <a:lstStyle/>
        <a:p>
          <a:endParaRPr lang="pl-PL"/>
        </a:p>
      </dgm:t>
    </dgm:pt>
    <dgm:pt modelId="{21AA152F-1710-4102-9668-B08E144B7D71}" type="sibTrans" cxnId="{63BB0CA2-863C-4BC1-9190-6E5695E09504}">
      <dgm:prSet/>
      <dgm:spPr/>
      <dgm:t>
        <a:bodyPr/>
        <a:lstStyle/>
        <a:p>
          <a:endParaRPr lang="pl-PL"/>
        </a:p>
      </dgm:t>
    </dgm:pt>
    <dgm:pt modelId="{03986938-9CE5-4BAA-9E35-C23E051E4B76}">
      <dgm:prSet custT="1"/>
      <dgm:spPr/>
      <dgm:t>
        <a:bodyPr/>
        <a:lstStyle/>
        <a:p>
          <a:r>
            <a:rPr lang="pl-PL" sz="800" b="0" i="0" u="none"/>
            <a:t>Utrzymujące się wysokie wskaźniki przestępczości</a:t>
          </a:r>
          <a:endParaRPr lang="pl-PL" sz="800">
            <a:solidFill>
              <a:srgbClr val="FF0000"/>
            </a:solidFill>
          </a:endParaRPr>
        </a:p>
      </dgm:t>
    </dgm:pt>
    <dgm:pt modelId="{74E38802-1234-43CB-B9CB-928CFE3C0BAD}" type="parTrans" cxnId="{1E143298-D668-4F57-AD67-75EBB7DD59BA}">
      <dgm:prSet/>
      <dgm:spPr/>
      <dgm:t>
        <a:bodyPr/>
        <a:lstStyle/>
        <a:p>
          <a:endParaRPr lang="pl-PL"/>
        </a:p>
      </dgm:t>
    </dgm:pt>
    <dgm:pt modelId="{61F10507-CDB3-4811-AC28-69C5A3B74F5D}" type="sibTrans" cxnId="{1E143298-D668-4F57-AD67-75EBB7DD59BA}">
      <dgm:prSet/>
      <dgm:spPr/>
      <dgm:t>
        <a:bodyPr/>
        <a:lstStyle/>
        <a:p>
          <a:endParaRPr lang="pl-PL"/>
        </a:p>
      </dgm:t>
    </dgm:pt>
    <dgm:pt modelId="{EE354721-67AB-4EB1-80B8-FC97CFA3C780}">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Podnoszący się wskaźnik wykształcenia społeczeństwa</a:t>
          </a:r>
          <a:endParaRPr lang="pl-PL" sz="800">
            <a:solidFill>
              <a:schemeClr val="accent1">
                <a:lumMod val="75000"/>
              </a:schemeClr>
            </a:solidFill>
          </a:endParaRPr>
        </a:p>
      </dgm:t>
    </dgm:pt>
    <dgm:pt modelId="{6EDD0467-72EB-473A-AF98-561FAB2B0A98}" type="parTrans" cxnId="{FEDF1E4D-07E3-4565-A488-5156EF8C0907}">
      <dgm:prSet/>
      <dgm:spPr/>
      <dgm:t>
        <a:bodyPr/>
        <a:lstStyle/>
        <a:p>
          <a:endParaRPr lang="pl-PL"/>
        </a:p>
      </dgm:t>
    </dgm:pt>
    <dgm:pt modelId="{9DD8A60B-3ACD-4E73-9E82-F1F1370CEF10}" type="sibTrans" cxnId="{FEDF1E4D-07E3-4565-A488-5156EF8C0907}">
      <dgm:prSet/>
      <dgm:spPr/>
      <dgm:t>
        <a:bodyPr/>
        <a:lstStyle/>
        <a:p>
          <a:endParaRPr lang="pl-PL"/>
        </a:p>
      </dgm:t>
    </dgm:pt>
    <dgm:pt modelId="{5135BAED-385A-49F0-8B6C-E2FA20DF9423}">
      <dgm:prSet custT="1"/>
      <dgm:spPr/>
      <dgm:t>
        <a:bodyPr/>
        <a:lstStyle/>
        <a:p>
          <a:r>
            <a:rPr lang="pl-PL" sz="800" b="0" i="0" u="none"/>
            <a:t>Relatywnie niskie średnie dochody mieszkańców</a:t>
          </a:r>
          <a:endParaRPr lang="pl-PL" sz="800">
            <a:solidFill>
              <a:srgbClr val="FF0000"/>
            </a:solidFill>
          </a:endParaRPr>
        </a:p>
      </dgm:t>
    </dgm:pt>
    <dgm:pt modelId="{48DA01DD-122C-4D59-9213-42A37B9190E2}" type="parTrans" cxnId="{0F2A1966-EDDF-424C-89A3-7ED7A0E8A322}">
      <dgm:prSet/>
      <dgm:spPr/>
      <dgm:t>
        <a:bodyPr/>
        <a:lstStyle/>
        <a:p>
          <a:endParaRPr lang="pl-PL"/>
        </a:p>
      </dgm:t>
    </dgm:pt>
    <dgm:pt modelId="{73E23E2A-3B81-41EC-8A8C-21961502D08B}" type="sibTrans" cxnId="{0F2A1966-EDDF-424C-89A3-7ED7A0E8A322}">
      <dgm:prSet/>
      <dgm:spPr/>
      <dgm:t>
        <a:bodyPr/>
        <a:lstStyle/>
        <a:p>
          <a:endParaRPr lang="pl-PL"/>
        </a:p>
      </dgm:t>
    </dgm:pt>
    <dgm:pt modelId="{08425043-4CB6-4D86-9984-6E361746D93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b="0" i="0" u="none"/>
            <a:t>Dostęp do usług administracji ponadlokalnej</a:t>
          </a:r>
          <a:endParaRPr lang="pl-PL" sz="800">
            <a:solidFill>
              <a:schemeClr val="accent3">
                <a:lumMod val="75000"/>
              </a:schemeClr>
            </a:solidFill>
          </a:endParaRPr>
        </a:p>
      </dgm:t>
    </dgm:pt>
    <dgm:pt modelId="{93E22126-BA4C-430C-A30D-F2DB19BC7736}" type="parTrans" cxnId="{6734B9DB-0047-4645-8AEE-31E0CB7F6DB1}">
      <dgm:prSet/>
      <dgm:spPr/>
      <dgm:t>
        <a:bodyPr/>
        <a:lstStyle/>
        <a:p>
          <a:endParaRPr lang="pl-PL"/>
        </a:p>
      </dgm:t>
    </dgm:pt>
    <dgm:pt modelId="{9641A765-D059-44E8-A83D-BB38F00F9DC7}" type="sibTrans" cxnId="{6734B9DB-0047-4645-8AEE-31E0CB7F6DB1}">
      <dgm:prSet/>
      <dgm:spPr/>
      <dgm:t>
        <a:bodyPr/>
        <a:lstStyle/>
        <a:p>
          <a:endParaRPr lang="pl-PL"/>
        </a:p>
      </dgm:t>
    </dgm:pt>
    <dgm:pt modelId="{28FD9706-03E4-4298-B2DD-0634B9007944}">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800" b="0" i="0" u="none"/>
            <a:t>Rozwijająca się moda na uprawianie sportu, rekreacji i zdrowy tryb życia w społeczeństwie</a:t>
          </a:r>
          <a:endParaRPr lang="pl-PL" sz="800">
            <a:solidFill>
              <a:schemeClr val="accent1">
                <a:lumMod val="75000"/>
              </a:schemeClr>
            </a:solidFill>
          </a:endParaRPr>
        </a:p>
      </dgm:t>
    </dgm:pt>
    <dgm:pt modelId="{BB306D68-EF22-4D0D-BBFD-2793F7169999}" type="parTrans" cxnId="{C7F1997F-CBDC-44EA-A832-26C7B0786A88}">
      <dgm:prSet/>
      <dgm:spPr/>
      <dgm:t>
        <a:bodyPr/>
        <a:lstStyle/>
        <a:p>
          <a:endParaRPr lang="pl-PL"/>
        </a:p>
      </dgm:t>
    </dgm:pt>
    <dgm:pt modelId="{73690AA9-C0F2-4580-9DF8-9A9306842828}" type="sibTrans" cxnId="{C7F1997F-CBDC-44EA-A832-26C7B0786A88}">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70370" custScaleY="51640" custLinFactNeighborX="0" custLinFactNeighborY="-21124"/>
      <dgm:spPr>
        <a:prstGeom prst="round2DiagRect">
          <a:avLst/>
        </a:prstGeom>
      </dgm:spPr>
      <dgm:t>
        <a:bodyPr/>
        <a:lstStyle/>
        <a:p>
          <a:endParaRPr lang="pl-PL"/>
        </a:p>
      </dgm:t>
    </dgm:pt>
    <dgm:pt modelId="{8392C9FF-A8EA-439E-A648-53E7E32E0AA6}" type="pres">
      <dgm:prSet presAssocID="{B68BCCBA-4CDD-4BDE-B444-4DE7199F6CE9}" presName="parTrans" presStyleLbl="bgSibTrans2D1" presStyleIdx="0" presStyleCnt="4"/>
      <dgm:spPr/>
      <dgm:t>
        <a:bodyPr/>
        <a:lstStyle/>
        <a:p>
          <a:endParaRPr lang="pl-PL"/>
        </a:p>
      </dgm:t>
    </dgm:pt>
    <dgm:pt modelId="{1C8AB41D-24DC-4091-AEFF-E52AEEF470CC}" type="pres">
      <dgm:prSet presAssocID="{2E10DDA2-C3CC-477D-9BDD-C126C84E5A17}" presName="node" presStyleLbl="node1" presStyleIdx="0" presStyleCnt="4" custScaleX="180215" custScaleY="75980" custRadScaleRad="70844" custRadScaleInc="-54206">
        <dgm:presLayoutVars>
          <dgm:bulletEnabled val="1"/>
        </dgm:presLayoutVars>
      </dgm:prSet>
      <dgm:spPr/>
      <dgm:t>
        <a:bodyPr/>
        <a:lstStyle/>
        <a:p>
          <a:endParaRPr lang="pl-PL"/>
        </a:p>
      </dgm:t>
    </dgm:pt>
    <dgm:pt modelId="{4079F557-B870-4692-B361-17B891DAF6D5}" type="pres">
      <dgm:prSet presAssocID="{1E708C46-3FA4-47BE-91B6-298260E2983A}" presName="parTrans" presStyleLbl="bgSibTrans2D1" presStyleIdx="1" presStyleCnt="4"/>
      <dgm:spPr/>
      <dgm:t>
        <a:bodyPr/>
        <a:lstStyle/>
        <a:p>
          <a:endParaRPr lang="pl-PL"/>
        </a:p>
      </dgm:t>
    </dgm:pt>
    <dgm:pt modelId="{62E613A9-F5C4-4D27-AD94-D5DF52CC0829}" type="pres">
      <dgm:prSet presAssocID="{53FB7279-8AB2-41F2-9E6E-538C3EA3557B}" presName="node" presStyleLbl="node1" presStyleIdx="1" presStyleCnt="4" custScaleX="180215" custScaleY="123493" custRadScaleRad="141800" custRadScaleInc="-10070">
        <dgm:presLayoutVars>
          <dgm:bulletEnabled val="1"/>
        </dgm:presLayoutVars>
      </dgm:prSet>
      <dgm:spPr/>
      <dgm:t>
        <a:bodyPr/>
        <a:lstStyle/>
        <a:p>
          <a:endParaRPr lang="pl-PL"/>
        </a:p>
      </dgm:t>
    </dgm:pt>
    <dgm:pt modelId="{23B2D597-4BCD-4CBB-8167-C9AF0A7E6FF6}" type="pres">
      <dgm:prSet presAssocID="{65ABCF01-7144-4C18-A595-A44C05FACFFF}" presName="parTrans" presStyleLbl="bgSibTrans2D1" presStyleIdx="2" presStyleCnt="4" custScaleX="82788"/>
      <dgm:spPr/>
      <dgm:t>
        <a:bodyPr/>
        <a:lstStyle/>
        <a:p>
          <a:endParaRPr lang="pl-PL"/>
        </a:p>
      </dgm:t>
    </dgm:pt>
    <dgm:pt modelId="{37840515-5973-4B60-9470-DCC494E77099}" type="pres">
      <dgm:prSet presAssocID="{D4AD5703-DE06-44C7-B060-E21C427613C5}" presName="node" presStyleLbl="node1" presStyleIdx="2" presStyleCnt="4" custScaleX="180215" custScaleY="90591" custRadScaleRad="122749" custRadScaleInc="21575">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3" presStyleCnt="4"/>
      <dgm:spPr/>
      <dgm:t>
        <a:bodyPr/>
        <a:lstStyle/>
        <a:p>
          <a:endParaRPr lang="pl-PL"/>
        </a:p>
      </dgm:t>
    </dgm:pt>
    <dgm:pt modelId="{0705A7DC-BA1D-47B6-986E-36DB063A45C7}" type="pres">
      <dgm:prSet presAssocID="{D20E421B-DFB4-45C3-BA00-49FA0E1CC344}" presName="node" presStyleLbl="node1" presStyleIdx="3" presStyleCnt="4" custScaleX="180215" custScaleY="83080" custRadScaleRad="71160" custRadScaleInc="57392">
        <dgm:presLayoutVars>
          <dgm:bulletEnabled val="1"/>
        </dgm:presLayoutVars>
      </dgm:prSet>
      <dgm:spPr/>
      <dgm:t>
        <a:bodyPr/>
        <a:lstStyle/>
        <a:p>
          <a:endParaRPr lang="pl-PL"/>
        </a:p>
      </dgm:t>
    </dgm:pt>
  </dgm:ptLst>
  <dgm:cxnLst>
    <dgm:cxn modelId="{CB9A2869-7563-4461-AC17-A5F3A1CC25EB}" type="presOf" srcId="{D4AD5703-DE06-44C7-B060-E21C427613C5}" destId="{37840515-5973-4B60-9470-DCC494E77099}" srcOrd="0" destOrd="0" presId="urn:microsoft.com/office/officeart/2005/8/layout/radial4"/>
    <dgm:cxn modelId="{AA95E748-117D-4A49-8BB7-B327C0BC7979}" type="presOf" srcId="{1E708C46-3FA4-47BE-91B6-298260E2983A}" destId="{4079F557-B870-4692-B361-17B891DAF6D5}" srcOrd="0" destOrd="0" presId="urn:microsoft.com/office/officeart/2005/8/layout/radial4"/>
    <dgm:cxn modelId="{7716983F-6808-4E36-979C-E0A043C610CF}" type="presOf" srcId="{E0DE7FC3-05DD-41F8-A93B-17E37FBA99A2}" destId="{E2B26D40-CEB8-480B-9958-6903BBB4B7DE}" srcOrd="0" destOrd="0" presId="urn:microsoft.com/office/officeart/2005/8/layout/radial4"/>
    <dgm:cxn modelId="{5052E761-D8CF-41A9-B740-98154995873E}" type="presOf" srcId="{D20E421B-DFB4-45C3-BA00-49FA0E1CC344}" destId="{0705A7DC-BA1D-47B6-986E-36DB063A45C7}" srcOrd="0" destOrd="0" presId="urn:microsoft.com/office/officeart/2005/8/layout/radial4"/>
    <dgm:cxn modelId="{5A555335-8D2C-4A62-9CB0-7B53DD373E4C}" type="presOf" srcId="{08425043-4CB6-4D86-9984-6E361746D933}" destId="{62E613A9-F5C4-4D27-AD94-D5DF52CC0829}" srcOrd="0" destOrd="4" presId="urn:microsoft.com/office/officeart/2005/8/layout/radial4"/>
    <dgm:cxn modelId="{3B1E4921-DD00-4679-9550-21C2D4A7D1E5}" srcId="{E0DE7FC3-05DD-41F8-A93B-17E37FBA99A2}" destId="{D4AD5703-DE06-44C7-B060-E21C427613C5}" srcOrd="2" destOrd="0" parTransId="{65ABCF01-7144-4C18-A595-A44C05FACFFF}" sibTransId="{3A330B5E-C9BB-42E4-B972-0A169D971D62}"/>
    <dgm:cxn modelId="{F44630C7-DD40-4133-8DD5-28FB299C258E}" srcId="{53FB7279-8AB2-41F2-9E6E-538C3EA3557B}" destId="{3C192C6B-6BD6-4C17-BE8A-20B74ACBB8D2}" srcOrd="2" destOrd="0" parTransId="{1B1E017A-0F7E-4411-A0B1-343965269282}" sibTransId="{1332DEAE-5BF8-4AE4-9451-10425E63308D}"/>
    <dgm:cxn modelId="{9A0CD468-0E58-4AC9-A806-8FE4AF2AEAD7}" type="presOf" srcId="{A09A5382-6617-4386-9CAA-428F9807E09A}" destId="{62E613A9-F5C4-4D27-AD94-D5DF52CC0829}" srcOrd="0" destOrd="2" presId="urn:microsoft.com/office/officeart/2005/8/layout/radial4"/>
    <dgm:cxn modelId="{FEDF1E4D-07E3-4565-A488-5156EF8C0907}" srcId="{D4AD5703-DE06-44C7-B060-E21C427613C5}" destId="{EE354721-67AB-4EB1-80B8-FC97CFA3C780}" srcOrd="1" destOrd="0" parTransId="{6EDD0467-72EB-473A-AF98-561FAB2B0A98}" sibTransId="{9DD8A60B-3ACD-4E73-9E82-F1F1370CEF10}"/>
    <dgm:cxn modelId="{974932F7-449B-423D-B532-8319FB947441}" type="presOf" srcId="{B68BCCBA-4CDD-4BDE-B444-4DE7199F6CE9}" destId="{8392C9FF-A8EA-439E-A648-53E7E32E0AA6}" srcOrd="0" destOrd="0" presId="urn:microsoft.com/office/officeart/2005/8/layout/radial4"/>
    <dgm:cxn modelId="{8AB6956D-2C21-45B5-8095-5A91D7D4E4E7}" srcId="{53FB7279-8AB2-41F2-9E6E-538C3EA3557B}" destId="{7F5C3157-CC99-42DA-A5D1-9C67D84BF945}" srcOrd="0" destOrd="0" parTransId="{3BBE36CB-4307-46E2-B0E9-97ABBDFC3396}" sibTransId="{28624E80-53F1-465A-BFB7-1454499E2FCC}"/>
    <dgm:cxn modelId="{C7F1997F-CBDC-44EA-A832-26C7B0786A88}" srcId="{D4AD5703-DE06-44C7-B060-E21C427613C5}" destId="{28FD9706-03E4-4298-B2DD-0634B9007944}" srcOrd="2" destOrd="0" parTransId="{BB306D68-EF22-4D0D-BBFD-2793F7169999}" sibTransId="{73690AA9-C0F2-4580-9DF8-9A9306842828}"/>
    <dgm:cxn modelId="{6992923C-1EA5-4DFC-BAC1-0456A9EFB855}" type="presOf" srcId="{9B6FA2A3-388A-44C1-ADFC-66A57833DEC1}" destId="{62222EA0-69AD-435D-B846-D23728F3081C}" srcOrd="0" destOrd="0" presId="urn:microsoft.com/office/officeart/2005/8/layout/radial4"/>
    <dgm:cxn modelId="{66AB1D4F-5FF3-467E-B12D-D56E03C2612F}" type="presOf" srcId="{5135BAED-385A-49F0-8B6C-E2FA20DF9423}" destId="{1C8AB41D-24DC-4091-AEFF-E52AEEF470CC}" srcOrd="0" destOrd="3" presId="urn:microsoft.com/office/officeart/2005/8/layout/radial4"/>
    <dgm:cxn modelId="{268FF03C-3CB0-4445-BCAF-892AD6A5B946}" type="presOf" srcId="{7F5C3157-CC99-42DA-A5D1-9C67D84BF945}" destId="{62E613A9-F5C4-4D27-AD94-D5DF52CC0829}" srcOrd="0" destOrd="1" presId="urn:microsoft.com/office/officeart/2005/8/layout/radial4"/>
    <dgm:cxn modelId="{63BB0CA2-863C-4BC1-9190-6E5695E09504}" srcId="{2E10DDA2-C3CC-477D-9BDD-C126C84E5A17}" destId="{6AB30334-F842-48F3-8F07-BA95C952F52F}" srcOrd="0" destOrd="0" parTransId="{C5DF160F-34E8-4BCE-931F-BD30EFD2036E}" sibTransId="{21AA152F-1710-4102-9668-B08E144B7D71}"/>
    <dgm:cxn modelId="{40CD2D09-FC77-4A2C-ACDE-CE7C8AF7B250}" type="presOf" srcId="{D6998ED8-AD13-49BF-A111-62321A05A676}" destId="{0705A7DC-BA1D-47B6-986E-36DB063A45C7}" srcOrd="0" destOrd="2" presId="urn:microsoft.com/office/officeart/2005/8/layout/radial4"/>
    <dgm:cxn modelId="{87324746-7E45-480B-BC3D-CE8ACA7E8D2F}" srcId="{53FB7279-8AB2-41F2-9E6E-538C3EA3557B}" destId="{11B6A919-B41B-43C6-AEFD-ED8AFDA618FB}" srcOrd="4" destOrd="0" parTransId="{347A4731-CE33-4EBD-97D4-EAF557D13497}" sibTransId="{4B84E01A-AB71-4C2D-AF8B-4DF0AD368BAE}"/>
    <dgm:cxn modelId="{6436C8A3-9EE7-4A85-8907-70B2865E2973}" type="presOf" srcId="{3C192C6B-6BD6-4C17-BE8A-20B74ACBB8D2}" destId="{62E613A9-F5C4-4D27-AD94-D5DF52CC0829}" srcOrd="0" destOrd="3" presId="urn:microsoft.com/office/officeart/2005/8/layout/radial4"/>
    <dgm:cxn modelId="{1AEB3ADE-8D87-4B07-9FA2-360C83EBF41F}" type="presOf" srcId="{65ABCF01-7144-4C18-A595-A44C05FACFFF}" destId="{23B2D597-4BCD-4CBB-8167-C9AF0A7E6FF6}" srcOrd="0" destOrd="0" presId="urn:microsoft.com/office/officeart/2005/8/layout/radial4"/>
    <dgm:cxn modelId="{6734B9DB-0047-4645-8AEE-31E0CB7F6DB1}" srcId="{53FB7279-8AB2-41F2-9E6E-538C3EA3557B}" destId="{08425043-4CB6-4D86-9984-6E361746D933}" srcOrd="3" destOrd="0" parTransId="{93E22126-BA4C-430C-A30D-F2DB19BC7736}" sibTransId="{9641A765-D059-44E8-A83D-BB38F00F9DC7}"/>
    <dgm:cxn modelId="{AEE872B1-F8E7-480D-A852-C750695B22EC}" srcId="{E0DE7FC3-05DD-41F8-A93B-17E37FBA99A2}" destId="{2E10DDA2-C3CC-477D-9BDD-C126C84E5A17}" srcOrd="0" destOrd="0" parTransId="{B68BCCBA-4CDD-4BDE-B444-4DE7199F6CE9}" sibTransId="{D30FB8F5-C61B-47A3-9A69-8533E1E5498A}"/>
    <dgm:cxn modelId="{04646B59-22E3-41F8-BFA4-5B92FEB3ED83}" type="presOf" srcId="{12A0BD35-53F0-4D9B-BB2A-F30C2909F5DD}" destId="{37840515-5973-4B60-9470-DCC494E77099}" srcOrd="0" destOrd="1" presId="urn:microsoft.com/office/officeart/2005/8/layout/radial4"/>
    <dgm:cxn modelId="{0F2A1966-EDDF-424C-89A3-7ED7A0E8A322}" srcId="{2E10DDA2-C3CC-477D-9BDD-C126C84E5A17}" destId="{5135BAED-385A-49F0-8B6C-E2FA20DF9423}" srcOrd="2" destOrd="0" parTransId="{48DA01DD-122C-4D59-9213-42A37B9190E2}" sibTransId="{73E23E2A-3B81-41EC-8A8C-21961502D08B}"/>
    <dgm:cxn modelId="{E10B47EE-31C9-4AC1-A51C-3C68DB85A73E}" type="presOf" srcId="{2E10DDA2-C3CC-477D-9BDD-C126C84E5A17}" destId="{1C8AB41D-24DC-4091-AEFF-E52AEEF470CC}" srcOrd="0" destOrd="0" presId="urn:microsoft.com/office/officeart/2005/8/layout/radial4"/>
    <dgm:cxn modelId="{0CE2DDAD-5CCF-4F0B-AD88-51840C34D8EA}" type="presOf" srcId="{DA013B53-CE7E-47E8-AD95-056724E186A9}" destId="{CBEC65E8-103E-43F6-920E-1F4E5107EC87}"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4CFB2382-23DF-4BFC-9CA5-43C62B3C5CBA}" srcId="{D20E421B-DFB4-45C3-BA00-49FA0E1CC344}" destId="{D6998ED8-AD13-49BF-A111-62321A05A676}" srcOrd="1" destOrd="0" parTransId="{6C44E62F-247E-45EA-BA6F-68A4E33F9430}" sibTransId="{F3BAFD4E-AFD4-490C-B89E-90AB24931E66}"/>
    <dgm:cxn modelId="{1E143298-D668-4F57-AD67-75EBB7DD59BA}" srcId="{2E10DDA2-C3CC-477D-9BDD-C126C84E5A17}" destId="{03986938-9CE5-4BAA-9E35-C23E051E4B76}" srcOrd="1" destOrd="0" parTransId="{74E38802-1234-43CB-B9CB-928CFE3C0BAD}" sibTransId="{61F10507-CDB3-4811-AC28-69C5A3B74F5D}"/>
    <dgm:cxn modelId="{E3777684-31CF-4A90-8EB6-F6B1C1C89C8D}" srcId="{E0DE7FC3-05DD-41F8-A93B-17E37FBA99A2}" destId="{D20E421B-DFB4-45C3-BA00-49FA0E1CC344}" srcOrd="3" destOrd="0" parTransId="{DA013B53-CE7E-47E8-AD95-056724E186A9}" sibTransId="{0C698FC3-B64E-41D5-90E6-DDD60C7432B2}"/>
    <dgm:cxn modelId="{3FE2CBC9-2D60-401A-972E-6280ED2EC839}" type="presOf" srcId="{B51D8924-281D-42C4-8777-86EC623965B9}" destId="{0705A7DC-BA1D-47B6-986E-36DB063A45C7}" srcOrd="0" destOrd="1" presId="urn:microsoft.com/office/officeart/2005/8/layout/radial4"/>
    <dgm:cxn modelId="{28EF57AA-E720-4503-8FE2-938BAFF77584}" type="presOf" srcId="{11B6A919-B41B-43C6-AEFD-ED8AFDA618FB}" destId="{62E613A9-F5C4-4D27-AD94-D5DF52CC0829}" srcOrd="0" destOrd="5" presId="urn:microsoft.com/office/officeart/2005/8/layout/radial4"/>
    <dgm:cxn modelId="{A9D730BC-228B-4A2E-9270-8B87EA09C0FF}" type="presOf" srcId="{28FD9706-03E4-4298-B2DD-0634B9007944}" destId="{37840515-5973-4B60-9470-DCC494E77099}" srcOrd="0" destOrd="3" presId="urn:microsoft.com/office/officeart/2005/8/layout/radial4"/>
    <dgm:cxn modelId="{F3387D5C-0A8E-44D9-8696-733865FE082E}" srcId="{E0DE7FC3-05DD-41F8-A93B-17E37FBA99A2}" destId="{53FB7279-8AB2-41F2-9E6E-538C3EA3557B}" srcOrd="1" destOrd="0" parTransId="{1E708C46-3FA4-47BE-91B6-298260E2983A}" sibTransId="{9D1654F8-85CB-4E50-8554-00121DB246C9}"/>
    <dgm:cxn modelId="{33B91EE6-5535-4F70-904E-F5649F0B4655}" srcId="{D4AD5703-DE06-44C7-B060-E21C427613C5}" destId="{12A0BD35-53F0-4D9B-BB2A-F30C2909F5DD}" srcOrd="0" destOrd="0" parTransId="{B7A87E28-2EA7-4E44-BCAF-3CF82ACE9DCC}" sibTransId="{9A328D79-705C-41D0-A400-6A66AF635364}"/>
    <dgm:cxn modelId="{D752FD6F-516B-4A3B-8113-1D0A907C0718}" type="presOf" srcId="{EE354721-67AB-4EB1-80B8-FC97CFA3C780}" destId="{37840515-5973-4B60-9470-DCC494E77099}" srcOrd="0" destOrd="2" presId="urn:microsoft.com/office/officeart/2005/8/layout/radial4"/>
    <dgm:cxn modelId="{8CA6B587-7F75-47C0-99AD-2DFB071AA16A}" type="presOf" srcId="{6AB30334-F842-48F3-8F07-BA95C952F52F}" destId="{1C8AB41D-24DC-4091-AEFF-E52AEEF470CC}" srcOrd="0" destOrd="1" presId="urn:microsoft.com/office/officeart/2005/8/layout/radial4"/>
    <dgm:cxn modelId="{86D2F555-D56C-4A65-908A-D2E7560D025A}" srcId="{53FB7279-8AB2-41F2-9E6E-538C3EA3557B}" destId="{A09A5382-6617-4386-9CAA-428F9807E09A}" srcOrd="1" destOrd="0" parTransId="{38521DBA-4EF7-46F3-ABDC-D5C0B13FC4CE}" sibTransId="{82904235-D10E-482A-9C70-27452E002BD3}"/>
    <dgm:cxn modelId="{7BF1E21E-27EB-4987-9F34-C4A8CF8D07F3}" type="presOf" srcId="{53FB7279-8AB2-41F2-9E6E-538C3EA3557B}" destId="{62E613A9-F5C4-4D27-AD94-D5DF52CC0829}" srcOrd="0" destOrd="0" presId="urn:microsoft.com/office/officeart/2005/8/layout/radial4"/>
    <dgm:cxn modelId="{92214525-F02C-4553-B29B-C0C60B5EF59D}" type="presOf" srcId="{03986938-9CE5-4BAA-9E35-C23E051E4B76}" destId="{1C8AB41D-24DC-4091-AEFF-E52AEEF470CC}" srcOrd="0" destOrd="2" presId="urn:microsoft.com/office/officeart/2005/8/layout/radial4"/>
    <dgm:cxn modelId="{4D0834A0-9378-4452-8145-B192D1FFF5C9}" srcId="{D20E421B-DFB4-45C3-BA00-49FA0E1CC344}" destId="{B51D8924-281D-42C4-8777-86EC623965B9}" srcOrd="0" destOrd="0" parTransId="{D4A60ABF-7E16-4252-AAFB-084BEE3867AB}" sibTransId="{B019127B-18BC-4D39-AE1D-7FADA0C404CE}"/>
    <dgm:cxn modelId="{C062F7EB-7C38-4D96-90B6-E4E80D98F7B6}" type="presParOf" srcId="{62222EA0-69AD-435D-B846-D23728F3081C}" destId="{E2B26D40-CEB8-480B-9958-6903BBB4B7DE}" srcOrd="0" destOrd="0" presId="urn:microsoft.com/office/officeart/2005/8/layout/radial4"/>
    <dgm:cxn modelId="{333E591F-7049-4557-8011-93E4C0B03EF0}" type="presParOf" srcId="{62222EA0-69AD-435D-B846-D23728F3081C}" destId="{8392C9FF-A8EA-439E-A648-53E7E32E0AA6}" srcOrd="1" destOrd="0" presId="urn:microsoft.com/office/officeart/2005/8/layout/radial4"/>
    <dgm:cxn modelId="{8E3DC3D8-4885-40CD-8729-00883A03BE3C}" type="presParOf" srcId="{62222EA0-69AD-435D-B846-D23728F3081C}" destId="{1C8AB41D-24DC-4091-AEFF-E52AEEF470CC}" srcOrd="2" destOrd="0" presId="urn:microsoft.com/office/officeart/2005/8/layout/radial4"/>
    <dgm:cxn modelId="{D7F4EA4C-C16E-435F-9CB4-0281B730F451}" type="presParOf" srcId="{62222EA0-69AD-435D-B846-D23728F3081C}" destId="{4079F557-B870-4692-B361-17B891DAF6D5}" srcOrd="3" destOrd="0" presId="urn:microsoft.com/office/officeart/2005/8/layout/radial4"/>
    <dgm:cxn modelId="{E416B95E-80EC-40F4-BA27-C8BAC0F8F5A4}" type="presParOf" srcId="{62222EA0-69AD-435D-B846-D23728F3081C}" destId="{62E613A9-F5C4-4D27-AD94-D5DF52CC0829}" srcOrd="4" destOrd="0" presId="urn:microsoft.com/office/officeart/2005/8/layout/radial4"/>
    <dgm:cxn modelId="{5FBE2D2F-94B3-44CF-8707-11C039D312BF}" type="presParOf" srcId="{62222EA0-69AD-435D-B846-D23728F3081C}" destId="{23B2D597-4BCD-4CBB-8167-C9AF0A7E6FF6}" srcOrd="5" destOrd="0" presId="urn:microsoft.com/office/officeart/2005/8/layout/radial4"/>
    <dgm:cxn modelId="{10F5CE6F-CB79-4E47-B018-36B296F18BB4}" type="presParOf" srcId="{62222EA0-69AD-435D-B846-D23728F3081C}" destId="{37840515-5973-4B60-9470-DCC494E77099}" srcOrd="6" destOrd="0" presId="urn:microsoft.com/office/officeart/2005/8/layout/radial4"/>
    <dgm:cxn modelId="{E596ED78-4227-416D-B792-D19C8A5FD0C9}" type="presParOf" srcId="{62222EA0-69AD-435D-B846-D23728F3081C}" destId="{CBEC65E8-103E-43F6-920E-1F4E5107EC87}" srcOrd="7" destOrd="0" presId="urn:microsoft.com/office/officeart/2005/8/layout/radial4"/>
    <dgm:cxn modelId="{1B33939A-670B-4B32-B8A5-7697B76A8A0C}" type="presParOf" srcId="{62222EA0-69AD-435D-B846-D23728F3081C}" destId="{0705A7DC-BA1D-47B6-986E-36DB063A45C7}" srcOrd="8" destOrd="0" presId="urn:microsoft.com/office/officeart/2005/8/layout/radial4"/>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6FA2A3-388A-44C1-ADFC-66A57833DEC1}"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l-PL"/>
        </a:p>
      </dgm:t>
    </dgm:pt>
    <dgm:pt modelId="{E0DE7FC3-05DD-41F8-A93B-17E37FBA99A2}">
      <dgm:prSet phldrT="[Tekst]" custT="1">
        <dgm:style>
          <a:lnRef idx="2">
            <a:schemeClr val="accent2"/>
          </a:lnRef>
          <a:fillRef idx="1">
            <a:schemeClr val="lt1"/>
          </a:fillRef>
          <a:effectRef idx="0">
            <a:schemeClr val="accent2"/>
          </a:effectRef>
          <a:fontRef idx="minor">
            <a:schemeClr val="dk1"/>
          </a:fontRef>
        </dgm:style>
      </dgm:prSet>
      <dgm:spPr>
        <a:ln w="38100"/>
      </dgm:spPr>
      <dgm:t>
        <a:bodyPr/>
        <a:lstStyle/>
        <a:p>
          <a:r>
            <a:rPr lang="pl-PL" sz="1200" b="1">
              <a:solidFill>
                <a:schemeClr val="accent1">
                  <a:lumMod val="50000"/>
                </a:schemeClr>
              </a:solidFill>
            </a:rPr>
            <a:t>Legnica miastem o wysokim dostępie do Internetu szerokopasmowego, rozwijającym e-usługi, w tym usługi publiczne, którego mieszkańcy powszechnie i umiejętnie wykorzystują technologie teleinformatyczne</a:t>
          </a:r>
          <a:endParaRPr lang="pl-PL" sz="1200">
            <a:solidFill>
              <a:schemeClr val="accent1">
                <a:lumMod val="50000"/>
              </a:schemeClr>
            </a:solidFill>
          </a:endParaRPr>
        </a:p>
      </dgm:t>
    </dgm:pt>
    <dgm:pt modelId="{E35055FD-471C-4A8A-A01E-7FD9DBB350E6}" type="parTrans" cxnId="{02543445-1C0A-46F9-B6EB-43B601F133F3}">
      <dgm:prSet/>
      <dgm:spPr/>
      <dgm:t>
        <a:bodyPr/>
        <a:lstStyle/>
        <a:p>
          <a:endParaRPr lang="pl-PL"/>
        </a:p>
      </dgm:t>
    </dgm:pt>
    <dgm:pt modelId="{D8E9451C-0B4B-4443-8273-3064A7EA324D}" type="sibTrans" cxnId="{02543445-1C0A-46F9-B6EB-43B601F133F3}">
      <dgm:prSet/>
      <dgm:spPr/>
      <dgm:t>
        <a:bodyPr/>
        <a:lstStyle/>
        <a:p>
          <a:endParaRPr lang="pl-PL"/>
        </a:p>
      </dgm:t>
    </dgm:pt>
    <dgm:pt modelId="{D20E421B-DFB4-45C3-BA00-49FA0E1CC344}">
      <dgm:prSet phldrT="[Tekst]" custT="1">
        <dgm:style>
          <a:lnRef idx="2">
            <a:schemeClr val="accent5"/>
          </a:lnRef>
          <a:fillRef idx="1">
            <a:schemeClr val="lt1"/>
          </a:fillRef>
          <a:effectRef idx="0">
            <a:schemeClr val="accent5"/>
          </a:effectRef>
          <a:fontRef idx="minor">
            <a:schemeClr val="dk1"/>
          </a:fontRef>
        </dgm:style>
      </dgm:prSet>
      <dgm:spPr>
        <a:ln>
          <a:solidFill>
            <a:schemeClr val="accent2">
              <a:lumMod val="75000"/>
            </a:schemeClr>
          </a:solidFill>
        </a:ln>
      </dgm:spPr>
      <dgm:t>
        <a:bodyPr/>
        <a:lstStyle/>
        <a:p>
          <a:r>
            <a:rPr lang="pl-PL" sz="1000">
              <a:solidFill>
                <a:srgbClr val="FF0000"/>
              </a:solidFill>
            </a:rPr>
            <a:t>Słabe strony:</a:t>
          </a:r>
        </a:p>
      </dgm:t>
    </dgm:pt>
    <dgm:pt modelId="{DA013B53-CE7E-47E8-AD95-056724E186A9}" type="parTrans" cxnId="{E3777684-31CF-4A90-8EB6-F6B1C1C89C8D}">
      <dgm:prSet/>
      <dgm:spPr/>
      <dgm:t>
        <a:bodyPr/>
        <a:lstStyle/>
        <a:p>
          <a:endParaRPr lang="pl-PL"/>
        </a:p>
      </dgm:t>
    </dgm:pt>
    <dgm:pt modelId="{0C698FC3-B64E-41D5-90E6-DDD60C7432B2}" type="sibTrans" cxnId="{E3777684-31CF-4A90-8EB6-F6B1C1C89C8D}">
      <dgm:prSet/>
      <dgm:spPr/>
      <dgm:t>
        <a:bodyPr/>
        <a:lstStyle/>
        <a:p>
          <a:endParaRPr lang="pl-PL"/>
        </a:p>
      </dgm:t>
    </dgm:pt>
    <dgm:pt modelId="{5FF05905-5A7E-4801-8D8E-B04D7D602503}">
      <dgm:prSet phldrT="[Tekst]">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800" b="0" i="0" u="none"/>
            <a:t>Brak wypracowanych praktyk w zakresie transferu technologii i współpracy pomiędzy sektorem naukowo-badawczym, a przedsiębiorstwami powodujący utrzymywanie się niskiego poziomu innowacyjności w kraju. </a:t>
          </a:r>
          <a:endParaRPr lang="pl-PL" sz="800">
            <a:solidFill>
              <a:schemeClr val="bg2">
                <a:lumMod val="25000"/>
              </a:schemeClr>
            </a:solidFill>
          </a:endParaRPr>
        </a:p>
      </dgm:t>
    </dgm:pt>
    <dgm:pt modelId="{F8AFCCD0-9289-4C52-A941-E1296736BB64}" type="parTrans" cxnId="{0666EBFF-D14E-4996-98A3-15A58A68C7DE}">
      <dgm:prSet/>
      <dgm:spPr/>
      <dgm:t>
        <a:bodyPr/>
        <a:lstStyle/>
        <a:p>
          <a:endParaRPr lang="pl-PL"/>
        </a:p>
      </dgm:t>
    </dgm:pt>
    <dgm:pt modelId="{10B4E17C-411E-4E4C-A872-6D12710D5BA6}" type="sibTrans" cxnId="{0666EBFF-D14E-4996-98A3-15A58A68C7DE}">
      <dgm:prSet/>
      <dgm:spPr/>
      <dgm:t>
        <a:bodyPr/>
        <a:lstStyle/>
        <a:p>
          <a:endParaRPr lang="pl-PL"/>
        </a:p>
      </dgm:t>
    </dgm:pt>
    <dgm:pt modelId="{EEC40ED6-5A80-446E-A76F-4F0E354F9462}">
      <dgm:prSet custT="1"/>
      <dgm:spPr/>
      <dgm:t>
        <a:bodyPr/>
        <a:lstStyle/>
        <a:p>
          <a:r>
            <a:rPr lang="pl-PL" sz="800" b="0" i="0" u="none"/>
            <a:t>Umiejscowienie Legnicy w ważnych dokumentach strategicznych na szczeblu centralnym i wojewódzkim: Legnica miejskim obszarem funkcjonalnym o znaczeniu regionalnym, położenie w pasmach rozwojowych: Autostradzie Nowej Gospodarki, Legnicko-Głogowskim Obszarze Przemysłowym,Obszarze Rolniczym</a:t>
          </a:r>
          <a:endParaRPr lang="pl-PL" sz="800">
            <a:solidFill>
              <a:schemeClr val="accent1">
                <a:lumMod val="75000"/>
              </a:schemeClr>
            </a:solidFill>
          </a:endParaRPr>
        </a:p>
      </dgm:t>
    </dgm:pt>
    <dgm:pt modelId="{95480EF8-93C8-4F11-8EB9-9E44C923D9CB}" type="parTrans" cxnId="{F380DB5C-63FC-4F48-96C3-78119FA06A77}">
      <dgm:prSet/>
      <dgm:spPr/>
      <dgm:t>
        <a:bodyPr/>
        <a:lstStyle/>
        <a:p>
          <a:endParaRPr lang="pl-PL"/>
        </a:p>
      </dgm:t>
    </dgm:pt>
    <dgm:pt modelId="{4C18D965-0564-4B9F-8872-00B9A63FFEDC}" type="sibTrans" cxnId="{F380DB5C-63FC-4F48-96C3-78119FA06A77}">
      <dgm:prSet/>
      <dgm:spPr/>
      <dgm:t>
        <a:bodyPr/>
        <a:lstStyle/>
        <a:p>
          <a:endParaRPr lang="pl-PL"/>
        </a:p>
      </dgm:t>
    </dgm:pt>
    <dgm:pt modelId="{BFEDB770-30CF-4827-92D4-E00FC3ECFA82}">
      <dgm:prSet custT="1"/>
      <dgm:spPr/>
      <dgm:t>
        <a:bodyPr/>
        <a:lstStyle/>
        <a:p>
          <a:r>
            <a:rPr lang="pl-PL" sz="800" b="0" i="0" u="none"/>
            <a:t>Wykorzystanie dla rozwoju miasta kolejnego okresu budżetowego UE</a:t>
          </a:r>
          <a:endParaRPr lang="pl-PL" sz="800">
            <a:solidFill>
              <a:schemeClr val="accent1">
                <a:lumMod val="75000"/>
              </a:schemeClr>
            </a:solidFill>
          </a:endParaRPr>
        </a:p>
      </dgm:t>
    </dgm:pt>
    <dgm:pt modelId="{9F5B5B1C-3D6C-41FD-8057-BBCAB2A4BF25}" type="parTrans" cxnId="{8F39CDAB-790E-4B1C-AFBD-A4D48A70EA85}">
      <dgm:prSet/>
      <dgm:spPr/>
      <dgm:t>
        <a:bodyPr/>
        <a:lstStyle/>
        <a:p>
          <a:endParaRPr lang="pl-PL"/>
        </a:p>
      </dgm:t>
    </dgm:pt>
    <dgm:pt modelId="{31E02F8E-5E63-4239-ACF7-9B49E82C7A14}" type="sibTrans" cxnId="{8F39CDAB-790E-4B1C-AFBD-A4D48A70EA85}">
      <dgm:prSet/>
      <dgm:spPr/>
      <dgm:t>
        <a:bodyPr/>
        <a:lstStyle/>
        <a:p>
          <a:endParaRPr lang="pl-PL"/>
        </a:p>
      </dgm:t>
    </dgm:pt>
    <dgm:pt modelId="{BD08EFB9-5CD2-43B1-BEEC-ADD0A8549CE8}">
      <dgm:prSet custT="1"/>
      <dgm:spPr/>
      <dgm:t>
        <a:bodyPr/>
        <a:lstStyle/>
        <a:p>
          <a:r>
            <a:rPr lang="pl-PL" sz="800" b="0" i="0" u="none"/>
            <a:t>Dynamicznie rozwijający się rynek usług świadczonych i pobieranych za pomocą usług teleinformatycznych umożliwiający mniejszym ośrodkom miejskim funkcjonowanie na rynku globalnym</a:t>
          </a:r>
          <a:endParaRPr lang="pl-PL" sz="800">
            <a:solidFill>
              <a:schemeClr val="accent1">
                <a:lumMod val="75000"/>
              </a:schemeClr>
            </a:solidFill>
          </a:endParaRPr>
        </a:p>
      </dgm:t>
    </dgm:pt>
    <dgm:pt modelId="{7478AB6E-C2B4-4C84-97C1-1ED873AA8253}" type="parTrans" cxnId="{D7CF2073-A49B-4458-A4B1-3840527830A1}">
      <dgm:prSet/>
      <dgm:spPr/>
      <dgm:t>
        <a:bodyPr/>
        <a:lstStyle/>
        <a:p>
          <a:endParaRPr lang="pl-PL"/>
        </a:p>
      </dgm:t>
    </dgm:pt>
    <dgm:pt modelId="{B945C705-F639-4ECF-A150-17112887CBAB}" type="sibTrans" cxnId="{D7CF2073-A49B-4458-A4B1-3840527830A1}">
      <dgm:prSet/>
      <dgm:spPr/>
      <dgm:t>
        <a:bodyPr/>
        <a:lstStyle/>
        <a:p>
          <a:endParaRPr lang="pl-PL"/>
        </a:p>
      </dgm:t>
    </dgm:pt>
    <dgm:pt modelId="{3526AD83-551C-4FC1-A126-07DC455B981C}">
      <dgm:prSet phldrT="[Tekst]" custT="1">
        <dgm:style>
          <a:lnRef idx="2">
            <a:schemeClr val="accent5"/>
          </a:lnRef>
          <a:fillRef idx="1">
            <a:schemeClr val="lt1"/>
          </a:fillRef>
          <a:effectRef idx="0">
            <a:schemeClr val="accent5"/>
          </a:effectRef>
          <a:fontRef idx="minor">
            <a:schemeClr val="dk1"/>
          </a:fontRef>
        </dgm:style>
      </dgm:prSet>
      <dgm:spPr/>
      <dgm:t>
        <a:bodyPr/>
        <a:lstStyle/>
        <a:p>
          <a:r>
            <a:rPr lang="pl-PL" sz="1000">
              <a:solidFill>
                <a:schemeClr val="accent1">
                  <a:lumMod val="75000"/>
                </a:schemeClr>
              </a:solidFill>
            </a:rPr>
            <a:t>Szanse:</a:t>
          </a:r>
        </a:p>
      </dgm:t>
    </dgm:pt>
    <dgm:pt modelId="{BE5B3C89-CED4-4780-8A93-EABAA5C05257}" type="parTrans" cxnId="{3424CC13-02B9-4D44-BC11-B05B89EC76BB}">
      <dgm:prSet/>
      <dgm:spPr/>
      <dgm:t>
        <a:bodyPr/>
        <a:lstStyle/>
        <a:p>
          <a:endParaRPr lang="pl-PL"/>
        </a:p>
      </dgm:t>
    </dgm:pt>
    <dgm:pt modelId="{147B295A-EBF9-4A20-87BB-664DD4844506}" type="sibTrans" cxnId="{3424CC13-02B9-4D44-BC11-B05B89EC76BB}">
      <dgm:prSet/>
      <dgm:spPr/>
      <dgm:t>
        <a:bodyPr/>
        <a:lstStyle/>
        <a:p>
          <a:endParaRPr lang="pl-PL"/>
        </a:p>
      </dgm:t>
    </dgm:pt>
    <dgm:pt modelId="{AA52E464-0DD4-465D-B209-04C115A98368}">
      <dgm:prSet phldrT="[Tekst]" custT="1">
        <dgm:style>
          <a:lnRef idx="2">
            <a:schemeClr val="accent5"/>
          </a:lnRef>
          <a:fillRef idx="1">
            <a:schemeClr val="lt1"/>
          </a:fillRef>
          <a:effectRef idx="0">
            <a:schemeClr val="accent5"/>
          </a:effectRef>
          <a:fontRef idx="minor">
            <a:schemeClr val="dk1"/>
          </a:fontRef>
        </dgm:style>
      </dgm:prSet>
      <dgm:spPr>
        <a:ln>
          <a:solidFill>
            <a:schemeClr val="bg1">
              <a:lumMod val="50000"/>
            </a:schemeClr>
          </a:solidFill>
        </a:ln>
      </dgm:spPr>
      <dgm:t>
        <a:bodyPr/>
        <a:lstStyle/>
        <a:p>
          <a:r>
            <a:rPr lang="pl-PL" sz="1000">
              <a:solidFill>
                <a:schemeClr val="bg2">
                  <a:lumMod val="25000"/>
                </a:schemeClr>
              </a:solidFill>
            </a:rPr>
            <a:t>Zagrożenia:</a:t>
          </a:r>
        </a:p>
      </dgm:t>
    </dgm:pt>
    <dgm:pt modelId="{CEEA15DC-5EAB-42B4-A891-08DF65C4940D}" type="parTrans" cxnId="{ED7C7E37-BD44-45EF-81CE-E1628D508EFE}">
      <dgm:prSet/>
      <dgm:spPr/>
      <dgm:t>
        <a:bodyPr/>
        <a:lstStyle/>
        <a:p>
          <a:endParaRPr lang="pl-PL"/>
        </a:p>
      </dgm:t>
    </dgm:pt>
    <dgm:pt modelId="{068DBD26-5C38-461A-8123-66B795C7FAC3}" type="sibTrans" cxnId="{ED7C7E37-BD44-45EF-81CE-E1628D508EFE}">
      <dgm:prSet/>
      <dgm:spPr/>
      <dgm:t>
        <a:bodyPr/>
        <a:lstStyle/>
        <a:p>
          <a:endParaRPr lang="pl-PL"/>
        </a:p>
      </dgm:t>
    </dgm:pt>
    <dgm:pt modelId="{9F38184A-05AE-4C6E-B789-39CBA4E35302}">
      <dgm:prSet phldrT="[Tekst]" custT="1">
        <dgm:style>
          <a:lnRef idx="2">
            <a:schemeClr val="accent5"/>
          </a:lnRef>
          <a:fillRef idx="1">
            <a:schemeClr val="lt1"/>
          </a:fillRef>
          <a:effectRef idx="0">
            <a:schemeClr val="accent5"/>
          </a:effectRef>
          <a:fontRef idx="minor">
            <a:schemeClr val="dk1"/>
          </a:fontRef>
        </dgm:style>
      </dgm:prSet>
      <dgm:spPr>
        <a:ln>
          <a:solidFill>
            <a:schemeClr val="accent2">
              <a:lumMod val="75000"/>
            </a:schemeClr>
          </a:solidFill>
        </a:ln>
      </dgm:spPr>
      <dgm:t>
        <a:bodyPr/>
        <a:lstStyle/>
        <a:p>
          <a:r>
            <a:rPr lang="pl-PL" sz="800"/>
            <a:t>Brak dedykowanej infrastruktury teletechnicznej na potrzeby usług z obszaru "inteligentne miasto"  </a:t>
          </a:r>
          <a:endParaRPr lang="pl-PL" sz="800">
            <a:solidFill>
              <a:schemeClr val="bg2">
                <a:lumMod val="25000"/>
              </a:schemeClr>
            </a:solidFill>
          </a:endParaRPr>
        </a:p>
      </dgm:t>
    </dgm:pt>
    <dgm:pt modelId="{E10E3D59-9E90-4C74-BE8A-C3F968230D0C}" type="parTrans" cxnId="{CB320ACB-BF0D-4A8F-8533-BCAE37317CDC}">
      <dgm:prSet/>
      <dgm:spPr/>
      <dgm:t>
        <a:bodyPr/>
        <a:lstStyle/>
        <a:p>
          <a:endParaRPr lang="pl-PL"/>
        </a:p>
      </dgm:t>
    </dgm:pt>
    <dgm:pt modelId="{343A6376-7B79-4639-8AF9-13C7783B2383}" type="sibTrans" cxnId="{CB320ACB-BF0D-4A8F-8533-BCAE37317CDC}">
      <dgm:prSet/>
      <dgm:spPr/>
      <dgm:t>
        <a:bodyPr/>
        <a:lstStyle/>
        <a:p>
          <a:endParaRPr lang="pl-PL"/>
        </a:p>
      </dgm:t>
    </dgm:pt>
    <dgm:pt modelId="{F0AC4513-BE09-4812-B49F-4CCCF79F56D4}">
      <dgm:prSet custT="1"/>
      <dgm:spPr>
        <a:ln>
          <a:solidFill>
            <a:schemeClr val="accent2">
              <a:lumMod val="75000"/>
            </a:schemeClr>
          </a:solidFill>
        </a:ln>
      </dgm:spPr>
      <dgm:t>
        <a:bodyPr/>
        <a:lstStyle/>
        <a:p>
          <a:r>
            <a:rPr lang="pl-PL" sz="800"/>
            <a:t>Brak spójnego ogólnomiejskiego programu rozwoju teleinformatyki i e-usług.</a:t>
          </a:r>
        </a:p>
      </dgm:t>
    </dgm:pt>
    <dgm:pt modelId="{F10375E0-5807-4E35-8F57-9D8D55B1ABDA}" type="parTrans" cxnId="{C91E7B67-BBAA-4FF2-8AFD-8D784EE396EA}">
      <dgm:prSet/>
      <dgm:spPr/>
      <dgm:t>
        <a:bodyPr/>
        <a:lstStyle/>
        <a:p>
          <a:endParaRPr lang="pl-PL"/>
        </a:p>
      </dgm:t>
    </dgm:pt>
    <dgm:pt modelId="{753D1F18-7F1B-43FF-882E-00887DC3BD84}" type="sibTrans" cxnId="{C91E7B67-BBAA-4FF2-8AFD-8D784EE396EA}">
      <dgm:prSet/>
      <dgm:spPr/>
      <dgm:t>
        <a:bodyPr/>
        <a:lstStyle/>
        <a:p>
          <a:endParaRPr lang="pl-PL"/>
        </a:p>
      </dgm:t>
    </dgm:pt>
    <dgm:pt modelId="{F35C9B67-ADBC-4CE8-98C8-4AD885B0DCE1}">
      <dgm:prSet custT="1"/>
      <dgm:spPr>
        <a:ln>
          <a:solidFill>
            <a:schemeClr val="accent2">
              <a:lumMod val="75000"/>
            </a:schemeClr>
          </a:solidFill>
        </a:ln>
      </dgm:spPr>
      <dgm:t>
        <a:bodyPr/>
        <a:lstStyle/>
        <a:p>
          <a:r>
            <a:rPr lang="pl-PL" sz="800"/>
            <a:t>Wciąż jeszcze małe zainteresowanie wśród mieszkańców miasta wykorzystywania usług świadczonych elektronicznie.</a:t>
          </a:r>
        </a:p>
      </dgm:t>
    </dgm:pt>
    <dgm:pt modelId="{5DDC7B93-1FF5-495C-8D7B-48E7CD9DEBC9}" type="parTrans" cxnId="{C4458B8B-D46E-431F-B9F8-6FE281F46473}">
      <dgm:prSet/>
      <dgm:spPr/>
      <dgm:t>
        <a:bodyPr/>
        <a:lstStyle/>
        <a:p>
          <a:endParaRPr lang="pl-PL"/>
        </a:p>
      </dgm:t>
    </dgm:pt>
    <dgm:pt modelId="{BB6DE09E-C409-4059-BEE6-20102CF8ADA3}" type="sibTrans" cxnId="{C4458B8B-D46E-431F-B9F8-6FE281F46473}">
      <dgm:prSet/>
      <dgm:spPr/>
      <dgm:t>
        <a:bodyPr/>
        <a:lstStyle/>
        <a:p>
          <a:endParaRPr lang="pl-PL"/>
        </a:p>
      </dgm:t>
    </dgm:pt>
    <dgm:pt modelId="{730E613C-A6AA-4A5B-9A9B-895F5368A3FB}">
      <dgm:prSet phldrT="[Tekst]" custT="1">
        <dgm:style>
          <a:lnRef idx="2">
            <a:schemeClr val="accent5"/>
          </a:lnRef>
          <a:fillRef idx="1">
            <a:schemeClr val="lt1"/>
          </a:fillRef>
          <a:effectRef idx="0">
            <a:schemeClr val="accent5"/>
          </a:effectRef>
          <a:fontRef idx="minor">
            <a:schemeClr val="dk1"/>
          </a:fontRef>
        </dgm:style>
      </dgm:prSet>
      <dgm:spPr>
        <a:ln>
          <a:solidFill>
            <a:schemeClr val="accent2">
              <a:lumMod val="75000"/>
            </a:schemeClr>
          </a:solidFill>
        </a:ln>
      </dgm:spPr>
      <dgm:t>
        <a:bodyPr/>
        <a:lstStyle/>
        <a:p>
          <a:endParaRPr lang="pl-PL" sz="1000">
            <a:solidFill>
              <a:schemeClr val="bg2">
                <a:lumMod val="25000"/>
              </a:schemeClr>
            </a:solidFill>
          </a:endParaRPr>
        </a:p>
      </dgm:t>
    </dgm:pt>
    <dgm:pt modelId="{DC8E7F36-FDE7-492A-8E51-6DB5199837FD}" type="sibTrans" cxnId="{75A123BC-5D70-4337-A9D1-C694D689C92B}">
      <dgm:prSet/>
      <dgm:spPr/>
      <dgm:t>
        <a:bodyPr/>
        <a:lstStyle/>
        <a:p>
          <a:endParaRPr lang="pl-PL"/>
        </a:p>
      </dgm:t>
    </dgm:pt>
    <dgm:pt modelId="{3969FE23-72CB-41DE-AEDB-7DE1FFFE5410}" type="parTrans" cxnId="{75A123BC-5D70-4337-A9D1-C694D689C92B}">
      <dgm:prSet/>
      <dgm:spPr/>
      <dgm:t>
        <a:bodyPr/>
        <a:lstStyle/>
        <a:p>
          <a:endParaRPr lang="pl-PL"/>
        </a:p>
      </dgm:t>
    </dgm:pt>
    <dgm:pt modelId="{D4AD5703-DE06-44C7-B060-E21C427613C5}">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000">
              <a:solidFill>
                <a:schemeClr val="accent3">
                  <a:lumMod val="75000"/>
                </a:schemeClr>
              </a:solidFill>
            </a:rPr>
            <a:t>Mocne strony:</a:t>
          </a:r>
          <a:endParaRPr lang="pl-PL" sz="1000">
            <a:solidFill>
              <a:schemeClr val="accent1">
                <a:lumMod val="75000"/>
              </a:schemeClr>
            </a:solidFill>
          </a:endParaRPr>
        </a:p>
      </dgm:t>
    </dgm:pt>
    <dgm:pt modelId="{3A330B5E-C9BB-42E4-B972-0A169D971D62}" type="sibTrans" cxnId="{3B1E4921-DD00-4679-9550-21C2D4A7D1E5}">
      <dgm:prSet/>
      <dgm:spPr/>
      <dgm:t>
        <a:bodyPr/>
        <a:lstStyle/>
        <a:p>
          <a:endParaRPr lang="pl-PL"/>
        </a:p>
      </dgm:t>
    </dgm:pt>
    <dgm:pt modelId="{65ABCF01-7144-4C18-A595-A44C05FACFFF}" type="parTrans" cxnId="{3B1E4921-DD00-4679-9550-21C2D4A7D1E5}">
      <dgm:prSet/>
      <dgm:spPr/>
      <dgm:t>
        <a:bodyPr/>
        <a:lstStyle/>
        <a:p>
          <a:endParaRPr lang="pl-PL"/>
        </a:p>
      </dgm:t>
    </dgm:pt>
    <dgm:pt modelId="{B6604AD6-C016-4AF4-A2A9-CDEE36AEF7CB}">
      <dgm:prSet custT="1">
        <dgm:style>
          <a:lnRef idx="2">
            <a:schemeClr val="accent3"/>
          </a:lnRef>
          <a:fillRef idx="1">
            <a:schemeClr val="lt1"/>
          </a:fillRef>
          <a:effectRef idx="0">
            <a:schemeClr val="accent3"/>
          </a:effectRef>
          <a:fontRef idx="minor">
            <a:schemeClr val="dk1"/>
          </a:fontRef>
        </dgm:style>
      </dgm:prSet>
      <dgm:spPr/>
      <dgm:t>
        <a:bodyPr/>
        <a:lstStyle/>
        <a:p>
          <a:r>
            <a:rPr lang="pl-PL" sz="800"/>
            <a:t>Organizacja szkoleń dla seniorów oraz osób niepełnosprawnych</a:t>
          </a:r>
        </a:p>
      </dgm:t>
    </dgm:pt>
    <dgm:pt modelId="{554F1BD3-23FC-447F-9310-F04B60C41670}" type="sibTrans" cxnId="{C53D0B75-F35A-4D58-81A3-78960F54256E}">
      <dgm:prSet/>
      <dgm:spPr/>
      <dgm:t>
        <a:bodyPr/>
        <a:lstStyle/>
        <a:p>
          <a:endParaRPr lang="pl-PL"/>
        </a:p>
      </dgm:t>
    </dgm:pt>
    <dgm:pt modelId="{AFADD17F-DE75-4FCF-9B23-35727923E5A9}" type="parTrans" cxnId="{C53D0B75-F35A-4D58-81A3-78960F54256E}">
      <dgm:prSet/>
      <dgm:spPr/>
      <dgm:t>
        <a:bodyPr/>
        <a:lstStyle/>
        <a:p>
          <a:endParaRPr lang="pl-PL"/>
        </a:p>
      </dgm:t>
    </dgm:pt>
    <dgm:pt modelId="{E7C7274B-CD90-4963-9681-A654C78F6D92}">
      <dgm:prSet custT="1">
        <dgm:style>
          <a:lnRef idx="2">
            <a:schemeClr val="accent3"/>
          </a:lnRef>
          <a:fillRef idx="1">
            <a:schemeClr val="lt1"/>
          </a:fillRef>
          <a:effectRef idx="0">
            <a:schemeClr val="accent3"/>
          </a:effectRef>
          <a:fontRef idx="minor">
            <a:schemeClr val="dk1"/>
          </a:fontRef>
        </dgm:style>
      </dgm:prSet>
      <dgm:spPr/>
      <dgm:t>
        <a:bodyPr/>
        <a:lstStyle/>
        <a:p>
          <a:r>
            <a:rPr lang="pl-PL" sz="800"/>
            <a:t>Edukacja na wszystkich szczeblach kształcenia w kierunkach związanych z tworzeniem i wykorzystaniem technologii IT</a:t>
          </a:r>
        </a:p>
      </dgm:t>
    </dgm:pt>
    <dgm:pt modelId="{6832671A-D059-4183-9AF5-FE06C9DA9BB3}" type="sibTrans" cxnId="{EAD15CC5-3F6B-4915-8C18-6F132FE473D9}">
      <dgm:prSet/>
      <dgm:spPr/>
      <dgm:t>
        <a:bodyPr/>
        <a:lstStyle/>
        <a:p>
          <a:endParaRPr lang="pl-PL"/>
        </a:p>
      </dgm:t>
    </dgm:pt>
    <dgm:pt modelId="{8E234C68-28A3-441E-A8A3-B15F7B7DA176}" type="parTrans" cxnId="{EAD15CC5-3F6B-4915-8C18-6F132FE473D9}">
      <dgm:prSet/>
      <dgm:spPr/>
      <dgm:t>
        <a:bodyPr/>
        <a:lstStyle/>
        <a:p>
          <a:endParaRPr lang="pl-PL"/>
        </a:p>
      </dgm:t>
    </dgm:pt>
    <dgm:pt modelId="{E2CBD51E-C719-4625-9696-6F5A2332E033}">
      <dgm:prSet custT="1">
        <dgm:style>
          <a:lnRef idx="2">
            <a:schemeClr val="accent3"/>
          </a:lnRef>
          <a:fillRef idx="1">
            <a:schemeClr val="lt1"/>
          </a:fillRef>
          <a:effectRef idx="0">
            <a:schemeClr val="accent3"/>
          </a:effectRef>
          <a:fontRef idx="minor">
            <a:schemeClr val="dk1"/>
          </a:fontRef>
        </dgm:style>
      </dgm:prSet>
      <dgm:spPr/>
      <dgm:t>
        <a:bodyPr/>
        <a:lstStyle/>
        <a:p>
          <a:r>
            <a:rPr lang="pl-PL" sz="800"/>
            <a:t>Uruchomienie e- usługi dedykowanych dla osób niepełnosprawnych</a:t>
          </a:r>
        </a:p>
      </dgm:t>
    </dgm:pt>
    <dgm:pt modelId="{0861BA2D-825C-48D1-A40A-C1867E8701E6}" type="sibTrans" cxnId="{506F7A1B-0985-440A-9D2C-CF7145C27777}">
      <dgm:prSet/>
      <dgm:spPr/>
      <dgm:t>
        <a:bodyPr/>
        <a:lstStyle/>
        <a:p>
          <a:endParaRPr lang="pl-PL"/>
        </a:p>
      </dgm:t>
    </dgm:pt>
    <dgm:pt modelId="{D553AB36-9052-4954-B3DC-63776CC07D40}" type="parTrans" cxnId="{506F7A1B-0985-440A-9D2C-CF7145C27777}">
      <dgm:prSet/>
      <dgm:spPr/>
      <dgm:t>
        <a:bodyPr/>
        <a:lstStyle/>
        <a:p>
          <a:endParaRPr lang="pl-PL"/>
        </a:p>
      </dgm:t>
    </dgm:pt>
    <dgm:pt modelId="{D99D6539-43B6-4A0B-A758-DCF6C177434F}">
      <dgm:prSet custT="1">
        <dgm:style>
          <a:lnRef idx="2">
            <a:schemeClr val="accent3"/>
          </a:lnRef>
          <a:fillRef idx="1">
            <a:schemeClr val="lt1"/>
          </a:fillRef>
          <a:effectRef idx="0">
            <a:schemeClr val="accent3"/>
          </a:effectRef>
          <a:fontRef idx="minor">
            <a:schemeClr val="dk1"/>
          </a:fontRef>
        </dgm:style>
      </dgm:prSet>
      <dgm:spPr/>
      <dgm:t>
        <a:bodyPr/>
        <a:lstStyle/>
        <a:p>
          <a:r>
            <a:rPr lang="pl-PL" sz="800"/>
            <a:t>Dostęp do bezpłatnego Internetu bezprzewodowego na terenie miejskich placówek oświatowych, w obrębie centrum  miasta oraz w przestrzeni publicznej obiektów handlowych i gastronomicznych </a:t>
          </a:r>
        </a:p>
      </dgm:t>
    </dgm:pt>
    <dgm:pt modelId="{0A89AB42-6B57-413B-A640-3D5E3978EC0B}" type="sibTrans" cxnId="{F60950CD-E357-4E08-A0B3-94B247AA3E1A}">
      <dgm:prSet/>
      <dgm:spPr/>
      <dgm:t>
        <a:bodyPr/>
        <a:lstStyle/>
        <a:p>
          <a:endParaRPr lang="pl-PL"/>
        </a:p>
      </dgm:t>
    </dgm:pt>
    <dgm:pt modelId="{5DBA0DB2-1DAB-4A46-900F-8973EE15F49C}" type="parTrans" cxnId="{F60950CD-E357-4E08-A0B3-94B247AA3E1A}">
      <dgm:prSet/>
      <dgm:spPr/>
      <dgm:t>
        <a:bodyPr/>
        <a:lstStyle/>
        <a:p>
          <a:endParaRPr lang="pl-PL"/>
        </a:p>
      </dgm:t>
    </dgm:pt>
    <dgm:pt modelId="{133DAA12-7313-4E63-A3D1-89F423D5035D}">
      <dgm:prSet custT="1">
        <dgm:style>
          <a:lnRef idx="2">
            <a:schemeClr val="accent3"/>
          </a:lnRef>
          <a:fillRef idx="1">
            <a:schemeClr val="lt1"/>
          </a:fillRef>
          <a:effectRef idx="0">
            <a:schemeClr val="accent3"/>
          </a:effectRef>
          <a:fontRef idx="minor">
            <a:schemeClr val="dk1"/>
          </a:fontRef>
        </dgm:style>
      </dgm:prSet>
      <dgm:spPr/>
      <dgm:t>
        <a:bodyPr/>
        <a:lstStyle/>
        <a:p>
          <a:r>
            <a:rPr lang="pl-PL" sz="800"/>
            <a:t>Budowa własnej infrastruktury teletechnicznej (LEGMAN) w ramach realizacji innych projektów realizowanych w obrębie miasta </a:t>
          </a:r>
        </a:p>
      </dgm:t>
    </dgm:pt>
    <dgm:pt modelId="{4D362972-3FF9-48E4-A99E-2D225832B12C}" type="sibTrans" cxnId="{E7B6EE9D-EE2D-4A18-A282-9893339F8C20}">
      <dgm:prSet/>
      <dgm:spPr/>
      <dgm:t>
        <a:bodyPr/>
        <a:lstStyle/>
        <a:p>
          <a:endParaRPr lang="pl-PL"/>
        </a:p>
      </dgm:t>
    </dgm:pt>
    <dgm:pt modelId="{81157141-AAE5-439C-93EE-972A93D4765B}" type="parTrans" cxnId="{E7B6EE9D-EE2D-4A18-A282-9893339F8C20}">
      <dgm:prSet/>
      <dgm:spPr/>
      <dgm:t>
        <a:bodyPr/>
        <a:lstStyle/>
        <a:p>
          <a:endParaRPr lang="pl-PL"/>
        </a:p>
      </dgm:t>
    </dgm:pt>
    <dgm:pt modelId="{9A272527-AEC1-4A11-B257-1D17899994EB}">
      <dgm:prSet custT="1">
        <dgm:style>
          <a:lnRef idx="2">
            <a:schemeClr val="accent3"/>
          </a:lnRef>
          <a:fillRef idx="1">
            <a:schemeClr val="lt1"/>
          </a:fillRef>
          <a:effectRef idx="0">
            <a:schemeClr val="accent3"/>
          </a:effectRef>
          <a:fontRef idx="minor">
            <a:schemeClr val="dk1"/>
          </a:fontRef>
        </dgm:style>
      </dgm:prSet>
      <dgm:spPr/>
      <dgm:t>
        <a:bodyPr/>
        <a:lstStyle/>
        <a:p>
          <a:r>
            <a:rPr lang="pl-PL" sz="800"/>
            <a:t>Świadczenie przez jednostki miejskie ( Urząd Miasta, ZUS, US, NFZ, potwierdzanie profilu zaufanego ePUAP itd) e-usług </a:t>
          </a:r>
        </a:p>
      </dgm:t>
    </dgm:pt>
    <dgm:pt modelId="{CCF02D18-6F67-4D89-BC75-FC865B972F9A}" type="sibTrans" cxnId="{E86BF506-6071-4856-802B-9187CE69F77E}">
      <dgm:prSet/>
      <dgm:spPr/>
      <dgm:t>
        <a:bodyPr/>
        <a:lstStyle/>
        <a:p>
          <a:endParaRPr lang="pl-PL"/>
        </a:p>
      </dgm:t>
    </dgm:pt>
    <dgm:pt modelId="{0A5E748F-71E1-4DAE-A609-566557780A01}" type="parTrans" cxnId="{E86BF506-6071-4856-802B-9187CE69F77E}">
      <dgm:prSet/>
      <dgm:spPr/>
      <dgm:t>
        <a:bodyPr/>
        <a:lstStyle/>
        <a:p>
          <a:endParaRPr lang="pl-PL"/>
        </a:p>
      </dgm:t>
    </dgm:pt>
    <dgm:pt modelId="{647CB51B-A4B6-425F-8C89-A31491E068B5}">
      <dgm:prSet custT="1">
        <dgm:style>
          <a:lnRef idx="2">
            <a:schemeClr val="accent3"/>
          </a:lnRef>
          <a:fillRef idx="1">
            <a:schemeClr val="lt1"/>
          </a:fillRef>
          <a:effectRef idx="0">
            <a:schemeClr val="accent3"/>
          </a:effectRef>
          <a:fontRef idx="minor">
            <a:schemeClr val="dk1"/>
          </a:fontRef>
        </dgm:style>
      </dgm:prSet>
      <dgm:spPr/>
      <dgm:t>
        <a:bodyPr/>
        <a:lstStyle/>
        <a:p>
          <a:r>
            <a:rPr lang="pl-PL" sz="800"/>
            <a:t>Szeroki dostęp do usług telekomuni8kacyjnych  - miasto nie jest wykluczone cyfrowo pod względem dostępnej infrastruktury teletechnicznej operatorów komercyjnych</a:t>
          </a:r>
        </a:p>
      </dgm:t>
    </dgm:pt>
    <dgm:pt modelId="{920BDCFE-EA70-4B22-8644-ECE446635142}" type="sibTrans" cxnId="{8B090508-18EE-42B6-B681-969423C774C5}">
      <dgm:prSet/>
      <dgm:spPr/>
      <dgm:t>
        <a:bodyPr/>
        <a:lstStyle/>
        <a:p>
          <a:endParaRPr lang="pl-PL"/>
        </a:p>
      </dgm:t>
    </dgm:pt>
    <dgm:pt modelId="{00017D14-7071-46AC-9FA1-12B642F03136}" type="parTrans" cxnId="{8B090508-18EE-42B6-B681-969423C774C5}">
      <dgm:prSet/>
      <dgm:spPr/>
      <dgm:t>
        <a:bodyPr/>
        <a:lstStyle/>
        <a:p>
          <a:endParaRPr lang="pl-PL"/>
        </a:p>
      </dgm:t>
    </dgm:pt>
    <dgm:pt modelId="{5A6D455F-8231-4722-B378-7B2431EDDBEC}">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800"/>
            <a:t>Wielu operatorów oferujących komercyjne usługi dostępu do Internetu bezprzewodowego i przewodowego </a:t>
          </a:r>
          <a:endParaRPr lang="pl-PL" sz="800">
            <a:solidFill>
              <a:schemeClr val="accent1">
                <a:lumMod val="75000"/>
              </a:schemeClr>
            </a:solidFill>
          </a:endParaRPr>
        </a:p>
      </dgm:t>
    </dgm:pt>
    <dgm:pt modelId="{D21A0CF1-7671-4F77-A594-5242F1699435}" type="sibTrans" cxnId="{F08FB49E-FE91-490C-8733-845678F56B18}">
      <dgm:prSet/>
      <dgm:spPr/>
      <dgm:t>
        <a:bodyPr/>
        <a:lstStyle/>
        <a:p>
          <a:endParaRPr lang="pl-PL"/>
        </a:p>
      </dgm:t>
    </dgm:pt>
    <dgm:pt modelId="{10AF869B-4B11-4515-878F-41FDC2201FAA}" type="parTrans" cxnId="{F08FB49E-FE91-490C-8733-845678F56B18}">
      <dgm:prSet/>
      <dgm:spPr/>
      <dgm:t>
        <a:bodyPr/>
        <a:lstStyle/>
        <a:p>
          <a:endParaRPr lang="pl-PL"/>
        </a:p>
      </dgm:t>
    </dgm:pt>
    <dgm:pt modelId="{62222EA0-69AD-435D-B846-D23728F3081C}" type="pres">
      <dgm:prSet presAssocID="{9B6FA2A3-388A-44C1-ADFC-66A57833DEC1}" presName="cycle" presStyleCnt="0">
        <dgm:presLayoutVars>
          <dgm:chMax val="1"/>
          <dgm:dir/>
          <dgm:animLvl val="ctr"/>
          <dgm:resizeHandles val="exact"/>
        </dgm:presLayoutVars>
      </dgm:prSet>
      <dgm:spPr/>
      <dgm:t>
        <a:bodyPr/>
        <a:lstStyle/>
        <a:p>
          <a:endParaRPr lang="pl-PL"/>
        </a:p>
      </dgm:t>
    </dgm:pt>
    <dgm:pt modelId="{E2B26D40-CEB8-480B-9958-6903BBB4B7DE}" type="pres">
      <dgm:prSet presAssocID="{E0DE7FC3-05DD-41F8-A93B-17E37FBA99A2}" presName="centerShape" presStyleLbl="node0" presStyleIdx="0" presStyleCnt="1" custScaleX="343452" custScaleY="39196" custLinFactNeighborX="-13388" custLinFactNeighborY="-12479"/>
      <dgm:spPr>
        <a:prstGeom prst="round2DiagRect">
          <a:avLst/>
        </a:prstGeom>
      </dgm:spPr>
      <dgm:t>
        <a:bodyPr/>
        <a:lstStyle/>
        <a:p>
          <a:endParaRPr lang="pl-PL"/>
        </a:p>
      </dgm:t>
    </dgm:pt>
    <dgm:pt modelId="{23B2D597-4BCD-4CBB-8167-C9AF0A7E6FF6}" type="pres">
      <dgm:prSet presAssocID="{65ABCF01-7144-4C18-A595-A44C05FACFFF}" presName="parTrans" presStyleLbl="bgSibTrans2D1" presStyleIdx="0" presStyleCnt="4" custAng="20953241" custScaleX="79812" custScaleY="93940" custLinFactNeighborX="7825" custLinFactNeighborY="53351"/>
      <dgm:spPr/>
      <dgm:t>
        <a:bodyPr/>
        <a:lstStyle/>
        <a:p>
          <a:endParaRPr lang="pl-PL"/>
        </a:p>
      </dgm:t>
    </dgm:pt>
    <dgm:pt modelId="{37840515-5973-4B60-9470-DCC494E77099}" type="pres">
      <dgm:prSet presAssocID="{D4AD5703-DE06-44C7-B060-E21C427613C5}" presName="node" presStyleLbl="node1" presStyleIdx="0" presStyleCnt="4" custScaleX="213929" custScaleY="190039" custRadScaleRad="153962" custRadScaleInc="97545">
        <dgm:presLayoutVars>
          <dgm:bulletEnabled val="1"/>
        </dgm:presLayoutVars>
      </dgm:prSet>
      <dgm:spPr/>
      <dgm:t>
        <a:bodyPr/>
        <a:lstStyle/>
        <a:p>
          <a:endParaRPr lang="pl-PL"/>
        </a:p>
      </dgm:t>
    </dgm:pt>
    <dgm:pt modelId="{23762DEE-6CE9-4EB4-980F-2228379FEF9D}" type="pres">
      <dgm:prSet presAssocID="{BE5B3C89-CED4-4780-8A93-EABAA5C05257}" presName="parTrans" presStyleLbl="bgSibTrans2D1" presStyleIdx="1" presStyleCnt="4"/>
      <dgm:spPr/>
      <dgm:t>
        <a:bodyPr/>
        <a:lstStyle/>
        <a:p>
          <a:endParaRPr lang="pl-PL"/>
        </a:p>
      </dgm:t>
    </dgm:pt>
    <dgm:pt modelId="{3D4C0AF9-0E89-4621-A721-2FB9AA31FBD5}" type="pres">
      <dgm:prSet presAssocID="{3526AD83-551C-4FC1-A126-07DC455B981C}" presName="node" presStyleLbl="node1" presStyleIdx="1" presStyleCnt="4" custScaleX="157882" custScaleY="169434" custRadScaleRad="118707" custRadScaleInc="113120">
        <dgm:presLayoutVars>
          <dgm:bulletEnabled val="1"/>
        </dgm:presLayoutVars>
      </dgm:prSet>
      <dgm:spPr/>
      <dgm:t>
        <a:bodyPr/>
        <a:lstStyle/>
        <a:p>
          <a:endParaRPr lang="pl-PL"/>
        </a:p>
      </dgm:t>
    </dgm:pt>
    <dgm:pt modelId="{CBEC65E8-103E-43F6-920E-1F4E5107EC87}" type="pres">
      <dgm:prSet presAssocID="{DA013B53-CE7E-47E8-AD95-056724E186A9}" presName="parTrans" presStyleLbl="bgSibTrans2D1" presStyleIdx="2" presStyleCnt="4" custScaleX="79813" custScaleY="93940" custLinFactNeighborX="-10085" custLinFactNeighborY="-11580"/>
      <dgm:spPr/>
      <dgm:t>
        <a:bodyPr/>
        <a:lstStyle/>
        <a:p>
          <a:endParaRPr lang="pl-PL"/>
        </a:p>
      </dgm:t>
    </dgm:pt>
    <dgm:pt modelId="{0705A7DC-BA1D-47B6-986E-36DB063A45C7}" type="pres">
      <dgm:prSet presAssocID="{D20E421B-DFB4-45C3-BA00-49FA0E1CC344}" presName="node" presStyleLbl="node1" presStyleIdx="2" presStyleCnt="4" custScaleX="196250" custScaleY="90125" custRadScaleRad="78673" custRadScaleInc="-294669">
        <dgm:presLayoutVars>
          <dgm:bulletEnabled val="1"/>
        </dgm:presLayoutVars>
      </dgm:prSet>
      <dgm:spPr/>
      <dgm:t>
        <a:bodyPr/>
        <a:lstStyle/>
        <a:p>
          <a:endParaRPr lang="pl-PL"/>
        </a:p>
      </dgm:t>
    </dgm:pt>
    <dgm:pt modelId="{E750B10D-3CE0-4C02-B96C-91B619D224D4}" type="pres">
      <dgm:prSet presAssocID="{CEEA15DC-5EAB-42B4-A891-08DF65C4940D}" presName="parTrans" presStyleLbl="bgSibTrans2D1" presStyleIdx="3" presStyleCnt="4"/>
      <dgm:spPr/>
      <dgm:t>
        <a:bodyPr/>
        <a:lstStyle/>
        <a:p>
          <a:endParaRPr lang="pl-PL"/>
        </a:p>
      </dgm:t>
    </dgm:pt>
    <dgm:pt modelId="{24F5BD4A-B829-4B5F-A719-F54C308D9A81}" type="pres">
      <dgm:prSet presAssocID="{AA52E464-0DD4-465D-B209-04C115A98368}" presName="node" presStyleLbl="node1" presStyleIdx="3" presStyleCnt="4" custScaleX="157388" custScaleY="79628" custRadScaleRad="58288" custRadScaleInc="77264">
        <dgm:presLayoutVars>
          <dgm:bulletEnabled val="1"/>
        </dgm:presLayoutVars>
      </dgm:prSet>
      <dgm:spPr/>
      <dgm:t>
        <a:bodyPr/>
        <a:lstStyle/>
        <a:p>
          <a:endParaRPr lang="pl-PL"/>
        </a:p>
      </dgm:t>
    </dgm:pt>
  </dgm:ptLst>
  <dgm:cxnLst>
    <dgm:cxn modelId="{D643AE8F-823A-4195-A17B-D24E674A752D}" type="presOf" srcId="{5FF05905-5A7E-4801-8D8E-B04D7D602503}" destId="{24F5BD4A-B829-4B5F-A719-F54C308D9A81}" srcOrd="0" destOrd="1" presId="urn:microsoft.com/office/officeart/2005/8/layout/radial4"/>
    <dgm:cxn modelId="{8B090508-18EE-42B6-B681-969423C774C5}" srcId="{D4AD5703-DE06-44C7-B060-E21C427613C5}" destId="{647CB51B-A4B6-425F-8C89-A31491E068B5}" srcOrd="1" destOrd="0" parTransId="{00017D14-7071-46AC-9FA1-12B642F03136}" sibTransId="{920BDCFE-EA70-4B22-8644-ECE446635142}"/>
    <dgm:cxn modelId="{0666EBFF-D14E-4996-98A3-15A58A68C7DE}" srcId="{AA52E464-0DD4-465D-B209-04C115A98368}" destId="{5FF05905-5A7E-4801-8D8E-B04D7D602503}" srcOrd="0" destOrd="0" parTransId="{F8AFCCD0-9289-4C52-A941-E1296736BB64}" sibTransId="{10B4E17C-411E-4E4C-A872-6D12710D5BA6}"/>
    <dgm:cxn modelId="{3B1E4921-DD00-4679-9550-21C2D4A7D1E5}" srcId="{E0DE7FC3-05DD-41F8-A93B-17E37FBA99A2}" destId="{D4AD5703-DE06-44C7-B060-E21C427613C5}" srcOrd="0" destOrd="0" parTransId="{65ABCF01-7144-4C18-A595-A44C05FACFFF}" sibTransId="{3A330B5E-C9BB-42E4-B972-0A169D971D62}"/>
    <dgm:cxn modelId="{C11C3B6F-4B96-47F4-9F14-8B86B89528C6}" type="presOf" srcId="{D4AD5703-DE06-44C7-B060-E21C427613C5}" destId="{37840515-5973-4B60-9470-DCC494E77099}" srcOrd="0" destOrd="0" presId="urn:microsoft.com/office/officeart/2005/8/layout/radial4"/>
    <dgm:cxn modelId="{C4458B8B-D46E-431F-B9F8-6FE281F46473}" srcId="{D20E421B-DFB4-45C3-BA00-49FA0E1CC344}" destId="{F35C9B67-ADBC-4CE8-98C8-4AD885B0DCE1}" srcOrd="2" destOrd="0" parTransId="{5DDC7B93-1FF5-495C-8D7B-48E7CD9DEBC9}" sibTransId="{BB6DE09E-C409-4059-BEE6-20102CF8ADA3}"/>
    <dgm:cxn modelId="{8520C540-AFD8-4A98-B264-B9E5748AD231}" type="presOf" srcId="{D99D6539-43B6-4A0B-A758-DCF6C177434F}" destId="{37840515-5973-4B60-9470-DCC494E77099}" srcOrd="0" destOrd="5" presId="urn:microsoft.com/office/officeart/2005/8/layout/radial4"/>
    <dgm:cxn modelId="{75A123BC-5D70-4337-A9D1-C694D689C92B}" srcId="{D20E421B-DFB4-45C3-BA00-49FA0E1CC344}" destId="{730E613C-A6AA-4A5B-9A9B-895F5368A3FB}" srcOrd="3" destOrd="0" parTransId="{3969FE23-72CB-41DE-AEDB-7DE1FFFE5410}" sibTransId="{DC8E7F36-FDE7-492A-8E51-6DB5199837FD}"/>
    <dgm:cxn modelId="{57483507-E64A-4682-B8E0-3771B9FBE5CD}" type="presOf" srcId="{EEC40ED6-5A80-446E-A76F-4F0E354F9462}" destId="{3D4C0AF9-0E89-4621-A721-2FB9AA31FBD5}" srcOrd="0" destOrd="1" presId="urn:microsoft.com/office/officeart/2005/8/layout/radial4"/>
    <dgm:cxn modelId="{506F7A1B-0985-440A-9D2C-CF7145C27777}" srcId="{D4AD5703-DE06-44C7-B060-E21C427613C5}" destId="{E2CBD51E-C719-4625-9696-6F5A2332E033}" srcOrd="5" destOrd="0" parTransId="{D553AB36-9052-4954-B3DC-63776CC07D40}" sibTransId="{0861BA2D-825C-48D1-A40A-C1867E8701E6}"/>
    <dgm:cxn modelId="{18241876-39B6-4B84-8EA0-BA3EA2CCA360}" type="presOf" srcId="{5A6D455F-8231-4722-B378-7B2431EDDBEC}" destId="{37840515-5973-4B60-9470-DCC494E77099}" srcOrd="0" destOrd="1" presId="urn:microsoft.com/office/officeart/2005/8/layout/radial4"/>
    <dgm:cxn modelId="{38C2D5F1-D3E6-47B1-ABAD-DF40086B52F9}" type="presOf" srcId="{BD08EFB9-5CD2-43B1-BEEC-ADD0A8549CE8}" destId="{3D4C0AF9-0E89-4621-A721-2FB9AA31FBD5}" srcOrd="0" destOrd="3" presId="urn:microsoft.com/office/officeart/2005/8/layout/radial4"/>
    <dgm:cxn modelId="{F08FB49E-FE91-490C-8733-845678F56B18}" srcId="{D4AD5703-DE06-44C7-B060-E21C427613C5}" destId="{5A6D455F-8231-4722-B378-7B2431EDDBEC}" srcOrd="0" destOrd="0" parTransId="{10AF869B-4B11-4515-878F-41FDC2201FAA}" sibTransId="{D21A0CF1-7671-4F77-A594-5242F1699435}"/>
    <dgm:cxn modelId="{D7CF2073-A49B-4458-A4B1-3840527830A1}" srcId="{3526AD83-551C-4FC1-A126-07DC455B981C}" destId="{BD08EFB9-5CD2-43B1-BEEC-ADD0A8549CE8}" srcOrd="2" destOrd="0" parTransId="{7478AB6E-C2B4-4C84-97C1-1ED873AA8253}" sibTransId="{B945C705-F639-4ECF-A150-17112887CBAB}"/>
    <dgm:cxn modelId="{6DAB1373-BFE5-4AF6-8CDD-2CEE7994CE55}" type="presOf" srcId="{133DAA12-7313-4E63-A3D1-89F423D5035D}" destId="{37840515-5973-4B60-9470-DCC494E77099}" srcOrd="0" destOrd="4" presId="urn:microsoft.com/office/officeart/2005/8/layout/radial4"/>
    <dgm:cxn modelId="{48C0195E-B1E1-492F-8B1E-A66972E2832D}" type="presOf" srcId="{DA013B53-CE7E-47E8-AD95-056724E186A9}" destId="{CBEC65E8-103E-43F6-920E-1F4E5107EC87}" srcOrd="0" destOrd="0" presId="urn:microsoft.com/office/officeart/2005/8/layout/radial4"/>
    <dgm:cxn modelId="{C91E7B67-BBAA-4FF2-8AFD-8D784EE396EA}" srcId="{D20E421B-DFB4-45C3-BA00-49FA0E1CC344}" destId="{F0AC4513-BE09-4812-B49F-4CCCF79F56D4}" srcOrd="1" destOrd="0" parTransId="{F10375E0-5807-4E35-8F57-9D8D55B1ABDA}" sibTransId="{753D1F18-7F1B-43FF-882E-00887DC3BD84}"/>
    <dgm:cxn modelId="{670A4123-B339-4B88-AE48-6B57CBE803E3}" type="presOf" srcId="{9B6FA2A3-388A-44C1-ADFC-66A57833DEC1}" destId="{62222EA0-69AD-435D-B846-D23728F3081C}" srcOrd="0" destOrd="0" presId="urn:microsoft.com/office/officeart/2005/8/layout/radial4"/>
    <dgm:cxn modelId="{85290A90-4218-446D-83E6-13B525253126}" type="presOf" srcId="{E2CBD51E-C719-4625-9696-6F5A2332E033}" destId="{37840515-5973-4B60-9470-DCC494E77099}" srcOrd="0" destOrd="6" presId="urn:microsoft.com/office/officeart/2005/8/layout/radial4"/>
    <dgm:cxn modelId="{EAD15CC5-3F6B-4915-8C18-6F132FE473D9}" srcId="{D4AD5703-DE06-44C7-B060-E21C427613C5}" destId="{E7C7274B-CD90-4963-9681-A654C78F6D92}" srcOrd="6" destOrd="0" parTransId="{8E234C68-28A3-441E-A8A3-B15F7B7DA176}" sibTransId="{6832671A-D059-4183-9AF5-FE06C9DA9BB3}"/>
    <dgm:cxn modelId="{AECC5013-C29B-4A1A-BE29-3DEB370F520D}" type="presOf" srcId="{D20E421B-DFB4-45C3-BA00-49FA0E1CC344}" destId="{0705A7DC-BA1D-47B6-986E-36DB063A45C7}" srcOrd="0" destOrd="0" presId="urn:microsoft.com/office/officeart/2005/8/layout/radial4"/>
    <dgm:cxn modelId="{ED1A9834-7EFB-4C22-9101-DE67F0A74302}" type="presOf" srcId="{65ABCF01-7144-4C18-A595-A44C05FACFFF}" destId="{23B2D597-4BCD-4CBB-8167-C9AF0A7E6FF6}" srcOrd="0" destOrd="0" presId="urn:microsoft.com/office/officeart/2005/8/layout/radial4"/>
    <dgm:cxn modelId="{E86BF506-6071-4856-802B-9187CE69F77E}" srcId="{D4AD5703-DE06-44C7-B060-E21C427613C5}" destId="{9A272527-AEC1-4A11-B257-1D17899994EB}" srcOrd="2" destOrd="0" parTransId="{0A5E748F-71E1-4DAE-A609-566557780A01}" sibTransId="{CCF02D18-6F67-4D89-BC75-FC865B972F9A}"/>
    <dgm:cxn modelId="{B8CBF791-D0C2-4347-BA47-F4366586202B}" type="presOf" srcId="{E7C7274B-CD90-4963-9681-A654C78F6D92}" destId="{37840515-5973-4B60-9470-DCC494E77099}" srcOrd="0" destOrd="7" presId="urn:microsoft.com/office/officeart/2005/8/layout/radial4"/>
    <dgm:cxn modelId="{23C56495-790D-4080-9BBE-11B5BA02CD6A}" type="presOf" srcId="{BFEDB770-30CF-4827-92D4-E00FC3ECFA82}" destId="{3D4C0AF9-0E89-4621-A721-2FB9AA31FBD5}" srcOrd="0" destOrd="2" presId="urn:microsoft.com/office/officeart/2005/8/layout/radial4"/>
    <dgm:cxn modelId="{9B5DAF4E-452D-4EE5-B2D8-4F7A86D69141}" type="presOf" srcId="{AA52E464-0DD4-465D-B209-04C115A98368}" destId="{24F5BD4A-B829-4B5F-A719-F54C308D9A81}" srcOrd="0" destOrd="0" presId="urn:microsoft.com/office/officeart/2005/8/layout/radial4"/>
    <dgm:cxn modelId="{02543445-1C0A-46F9-B6EB-43B601F133F3}" srcId="{9B6FA2A3-388A-44C1-ADFC-66A57833DEC1}" destId="{E0DE7FC3-05DD-41F8-A93B-17E37FBA99A2}" srcOrd="0" destOrd="0" parTransId="{E35055FD-471C-4A8A-A01E-7FD9DBB350E6}" sibTransId="{D8E9451C-0B4B-4443-8273-3064A7EA324D}"/>
    <dgm:cxn modelId="{F60950CD-E357-4E08-A0B3-94B247AA3E1A}" srcId="{D4AD5703-DE06-44C7-B060-E21C427613C5}" destId="{D99D6539-43B6-4A0B-A758-DCF6C177434F}" srcOrd="4" destOrd="0" parTransId="{5DBA0DB2-1DAB-4A46-900F-8973EE15F49C}" sibTransId="{0A89AB42-6B57-413B-A640-3D5E3978EC0B}"/>
    <dgm:cxn modelId="{B7C199F0-F80E-47BB-A1C4-766D9C3FFBAB}" type="presOf" srcId="{E0DE7FC3-05DD-41F8-A93B-17E37FBA99A2}" destId="{E2B26D40-CEB8-480B-9958-6903BBB4B7DE}" srcOrd="0" destOrd="0" presId="urn:microsoft.com/office/officeart/2005/8/layout/radial4"/>
    <dgm:cxn modelId="{E7B6EE9D-EE2D-4A18-A282-9893339F8C20}" srcId="{D4AD5703-DE06-44C7-B060-E21C427613C5}" destId="{133DAA12-7313-4E63-A3D1-89F423D5035D}" srcOrd="3" destOrd="0" parTransId="{81157141-AAE5-439C-93EE-972A93D4765B}" sibTransId="{4D362972-3FF9-48E4-A99E-2D225832B12C}"/>
    <dgm:cxn modelId="{106A7B7C-99B3-4BC4-AD4F-9449B9F0B05B}" type="presOf" srcId="{9F38184A-05AE-4C6E-B789-39CBA4E35302}" destId="{0705A7DC-BA1D-47B6-986E-36DB063A45C7}" srcOrd="0" destOrd="1" presId="urn:microsoft.com/office/officeart/2005/8/layout/radial4"/>
    <dgm:cxn modelId="{E3777684-31CF-4A90-8EB6-F6B1C1C89C8D}" srcId="{E0DE7FC3-05DD-41F8-A93B-17E37FBA99A2}" destId="{D20E421B-DFB4-45C3-BA00-49FA0E1CC344}" srcOrd="2" destOrd="0" parTransId="{DA013B53-CE7E-47E8-AD95-056724E186A9}" sibTransId="{0C698FC3-B64E-41D5-90E6-DDD60C7432B2}"/>
    <dgm:cxn modelId="{8F39CDAB-790E-4B1C-AFBD-A4D48A70EA85}" srcId="{3526AD83-551C-4FC1-A126-07DC455B981C}" destId="{BFEDB770-30CF-4827-92D4-E00FC3ECFA82}" srcOrd="1" destOrd="0" parTransId="{9F5B5B1C-3D6C-41FD-8057-BBCAB2A4BF25}" sibTransId="{31E02F8E-5E63-4239-ACF7-9B49E82C7A14}"/>
    <dgm:cxn modelId="{93A92CCF-5A36-4590-885A-8D017EF76401}" type="presOf" srcId="{F35C9B67-ADBC-4CE8-98C8-4AD885B0DCE1}" destId="{0705A7DC-BA1D-47B6-986E-36DB063A45C7}" srcOrd="0" destOrd="3" presId="urn:microsoft.com/office/officeart/2005/8/layout/radial4"/>
    <dgm:cxn modelId="{BBA89CF6-5A3A-43F9-A85B-A0266DDB75A2}" type="presOf" srcId="{730E613C-A6AA-4A5B-9A9B-895F5368A3FB}" destId="{0705A7DC-BA1D-47B6-986E-36DB063A45C7}" srcOrd="0" destOrd="4" presId="urn:microsoft.com/office/officeart/2005/8/layout/radial4"/>
    <dgm:cxn modelId="{C53D0B75-F35A-4D58-81A3-78960F54256E}" srcId="{D4AD5703-DE06-44C7-B060-E21C427613C5}" destId="{B6604AD6-C016-4AF4-A2A9-CDEE36AEF7CB}" srcOrd="7" destOrd="0" parTransId="{AFADD17F-DE75-4FCF-9B23-35727923E5A9}" sibTransId="{554F1BD3-23FC-447F-9310-F04B60C41670}"/>
    <dgm:cxn modelId="{E348FD08-D51B-4E3A-9D5C-4F56C4660B9A}" type="presOf" srcId="{F0AC4513-BE09-4812-B49F-4CCCF79F56D4}" destId="{0705A7DC-BA1D-47B6-986E-36DB063A45C7}" srcOrd="0" destOrd="2" presId="urn:microsoft.com/office/officeart/2005/8/layout/radial4"/>
    <dgm:cxn modelId="{3424CC13-02B9-4D44-BC11-B05B89EC76BB}" srcId="{E0DE7FC3-05DD-41F8-A93B-17E37FBA99A2}" destId="{3526AD83-551C-4FC1-A126-07DC455B981C}" srcOrd="1" destOrd="0" parTransId="{BE5B3C89-CED4-4780-8A93-EABAA5C05257}" sibTransId="{147B295A-EBF9-4A20-87BB-664DD4844506}"/>
    <dgm:cxn modelId="{F380DB5C-63FC-4F48-96C3-78119FA06A77}" srcId="{3526AD83-551C-4FC1-A126-07DC455B981C}" destId="{EEC40ED6-5A80-446E-A76F-4F0E354F9462}" srcOrd="0" destOrd="0" parTransId="{95480EF8-93C8-4F11-8EB9-9E44C923D9CB}" sibTransId="{4C18D965-0564-4B9F-8872-00B9A63FFEDC}"/>
    <dgm:cxn modelId="{CB320ACB-BF0D-4A8F-8533-BCAE37317CDC}" srcId="{D20E421B-DFB4-45C3-BA00-49FA0E1CC344}" destId="{9F38184A-05AE-4C6E-B789-39CBA4E35302}" srcOrd="0" destOrd="0" parTransId="{E10E3D59-9E90-4C74-BE8A-C3F968230D0C}" sibTransId="{343A6376-7B79-4639-8AF9-13C7783B2383}"/>
    <dgm:cxn modelId="{772909AF-CF88-4EEE-88A4-0B0ED75095AB}" type="presOf" srcId="{9A272527-AEC1-4A11-B257-1D17899994EB}" destId="{37840515-5973-4B60-9470-DCC494E77099}" srcOrd="0" destOrd="3" presId="urn:microsoft.com/office/officeart/2005/8/layout/radial4"/>
    <dgm:cxn modelId="{9D312B26-C7C4-4AA9-AC61-38BA5B79A22F}" type="presOf" srcId="{BE5B3C89-CED4-4780-8A93-EABAA5C05257}" destId="{23762DEE-6CE9-4EB4-980F-2228379FEF9D}" srcOrd="0" destOrd="0" presId="urn:microsoft.com/office/officeart/2005/8/layout/radial4"/>
    <dgm:cxn modelId="{857884E7-8732-4A51-90F9-F6D30803BCF6}" type="presOf" srcId="{647CB51B-A4B6-425F-8C89-A31491E068B5}" destId="{37840515-5973-4B60-9470-DCC494E77099}" srcOrd="0" destOrd="2" presId="urn:microsoft.com/office/officeart/2005/8/layout/radial4"/>
    <dgm:cxn modelId="{ED7C7E37-BD44-45EF-81CE-E1628D508EFE}" srcId="{E0DE7FC3-05DD-41F8-A93B-17E37FBA99A2}" destId="{AA52E464-0DD4-465D-B209-04C115A98368}" srcOrd="3" destOrd="0" parTransId="{CEEA15DC-5EAB-42B4-A891-08DF65C4940D}" sibTransId="{068DBD26-5C38-461A-8123-66B795C7FAC3}"/>
    <dgm:cxn modelId="{5C0D29F2-8041-4E61-A09D-57BB0291A1B9}" type="presOf" srcId="{3526AD83-551C-4FC1-A126-07DC455B981C}" destId="{3D4C0AF9-0E89-4621-A721-2FB9AA31FBD5}" srcOrd="0" destOrd="0" presId="urn:microsoft.com/office/officeart/2005/8/layout/radial4"/>
    <dgm:cxn modelId="{5A854D0C-AF41-425C-B8C1-8F193DB7BE63}" type="presOf" srcId="{CEEA15DC-5EAB-42B4-A891-08DF65C4940D}" destId="{E750B10D-3CE0-4C02-B96C-91B619D224D4}" srcOrd="0" destOrd="0" presId="urn:microsoft.com/office/officeart/2005/8/layout/radial4"/>
    <dgm:cxn modelId="{0E3CD6F1-EFED-47E3-8AA3-03CD32E9515A}" type="presOf" srcId="{B6604AD6-C016-4AF4-A2A9-CDEE36AEF7CB}" destId="{37840515-5973-4B60-9470-DCC494E77099}" srcOrd="0" destOrd="8" presId="urn:microsoft.com/office/officeart/2005/8/layout/radial4"/>
    <dgm:cxn modelId="{BB10FC19-69DF-42AB-B23D-87B3233E7912}" type="presParOf" srcId="{62222EA0-69AD-435D-B846-D23728F3081C}" destId="{E2B26D40-CEB8-480B-9958-6903BBB4B7DE}" srcOrd="0" destOrd="0" presId="urn:microsoft.com/office/officeart/2005/8/layout/radial4"/>
    <dgm:cxn modelId="{8325089A-7E57-434D-8E23-52E642D105FE}" type="presParOf" srcId="{62222EA0-69AD-435D-B846-D23728F3081C}" destId="{23B2D597-4BCD-4CBB-8167-C9AF0A7E6FF6}" srcOrd="1" destOrd="0" presId="urn:microsoft.com/office/officeart/2005/8/layout/radial4"/>
    <dgm:cxn modelId="{B9B359F5-9B54-4593-8C28-97D3C2C22CD6}" type="presParOf" srcId="{62222EA0-69AD-435D-B846-D23728F3081C}" destId="{37840515-5973-4B60-9470-DCC494E77099}" srcOrd="2" destOrd="0" presId="urn:microsoft.com/office/officeart/2005/8/layout/radial4"/>
    <dgm:cxn modelId="{9014948A-E34F-478C-BA96-FB106C9D1356}" type="presParOf" srcId="{62222EA0-69AD-435D-B846-D23728F3081C}" destId="{23762DEE-6CE9-4EB4-980F-2228379FEF9D}" srcOrd="3" destOrd="0" presId="urn:microsoft.com/office/officeart/2005/8/layout/radial4"/>
    <dgm:cxn modelId="{0A546F9A-FCE5-4E78-8C6E-5C55E0F6D6AC}" type="presParOf" srcId="{62222EA0-69AD-435D-B846-D23728F3081C}" destId="{3D4C0AF9-0E89-4621-A721-2FB9AA31FBD5}" srcOrd="4" destOrd="0" presId="urn:microsoft.com/office/officeart/2005/8/layout/radial4"/>
    <dgm:cxn modelId="{AF5A4C0A-7F77-42AC-99A8-06EFBD0F5485}" type="presParOf" srcId="{62222EA0-69AD-435D-B846-D23728F3081C}" destId="{CBEC65E8-103E-43F6-920E-1F4E5107EC87}" srcOrd="5" destOrd="0" presId="urn:microsoft.com/office/officeart/2005/8/layout/radial4"/>
    <dgm:cxn modelId="{1AE566EA-AE55-4902-BEE1-043D09FFA33C}" type="presParOf" srcId="{62222EA0-69AD-435D-B846-D23728F3081C}" destId="{0705A7DC-BA1D-47B6-986E-36DB063A45C7}" srcOrd="6" destOrd="0" presId="urn:microsoft.com/office/officeart/2005/8/layout/radial4"/>
    <dgm:cxn modelId="{E8D15BE0-8D59-4FAE-9927-BFC37A389F34}" type="presParOf" srcId="{62222EA0-69AD-435D-B846-D23728F3081C}" destId="{E750B10D-3CE0-4C02-B96C-91B619D224D4}" srcOrd="7" destOrd="0" presId="urn:microsoft.com/office/officeart/2005/8/layout/radial4"/>
    <dgm:cxn modelId="{3EC484E3-819D-44D4-A2C1-81BFA62C6245}" type="presParOf" srcId="{62222EA0-69AD-435D-B846-D23728F3081C}" destId="{24F5BD4A-B829-4B5F-A719-F54C308D9A81}" srcOrd="8" destOrd="0" presId="urn:microsoft.com/office/officeart/2005/8/layout/radial4"/>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2" y="2053025"/>
          <a:ext cx="5648319" cy="585435"/>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to atrakcyjny, zróżnicowany i bogaty rynek pracy, zapewniony dzięki rozwiniętemu i innowacyjnemu sektorowi usług oraz sektorowi małych i średnich przedsiębiorstw produkcyjnych i handlowych</a:t>
          </a:r>
          <a:endParaRPr lang="pl-PL" sz="1200" kern="1200">
            <a:solidFill>
              <a:schemeClr val="accent1">
                <a:lumMod val="50000"/>
              </a:schemeClr>
            </a:solidFill>
          </a:endParaRPr>
        </a:p>
      </dsp:txBody>
      <dsp:txXfrm>
        <a:off x="28581" y="2081604"/>
        <a:ext cx="5591161" cy="528277"/>
      </dsp:txXfrm>
    </dsp:sp>
    <dsp:sp modelId="{8392C9FF-A8EA-439E-A648-53E7E32E0AA6}">
      <dsp:nvSpPr>
        <dsp:cNvPr id="0" name=""/>
        <dsp:cNvSpPr/>
      </dsp:nvSpPr>
      <dsp:spPr>
        <a:xfrm rot="7538576">
          <a:off x="1222981" y="2945601"/>
          <a:ext cx="1188909" cy="43463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3" y="3128472"/>
          <a:ext cx="2783324" cy="472226"/>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Relatywnie niskie średnie dochody mieszkańców</a:t>
          </a:r>
          <a:endParaRPr lang="pl-PL" sz="800" kern="1200">
            <a:solidFill>
              <a:srgbClr val="FF0000"/>
            </a:solidFill>
          </a:endParaRPr>
        </a:p>
      </dsp:txBody>
      <dsp:txXfrm>
        <a:off x="13828" y="3142303"/>
        <a:ext cx="2755662" cy="444564"/>
      </dsp:txXfrm>
    </dsp:sp>
    <dsp:sp modelId="{4079F557-B870-4692-B361-17B891DAF6D5}">
      <dsp:nvSpPr>
        <dsp:cNvPr id="0" name=""/>
        <dsp:cNvSpPr/>
      </dsp:nvSpPr>
      <dsp:spPr>
        <a:xfrm rot="13135659">
          <a:off x="1246938" y="1380909"/>
          <a:ext cx="1303468" cy="43463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0" y="704676"/>
          <a:ext cx="2783324" cy="968085"/>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b="0" i="0" u="none" kern="1200">
              <a:solidFill>
                <a:schemeClr val="accent3">
                  <a:lumMod val="75000"/>
                </a:schemeClr>
              </a:solidFill>
            </a:rPr>
            <a:t>Mocne strony:</a:t>
          </a:r>
          <a:endParaRPr lang="pl-PL" sz="9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Dostępność terenów inwestycyjnych, w tym w ramach Legnickiej Specjalnej Strefy Ekonomicznej</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Korzystny rynek pracy. Relatywnie niski poziom bezrobocia, wzrastająca liczba zarejestrowanych podmiotów gospodarczych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Liczne instytucje otoczenia biznesu</a:t>
          </a:r>
        </a:p>
        <a:p>
          <a:pPr marL="57150" lvl="1" indent="-57150" algn="l" defTabSz="355600">
            <a:lnSpc>
              <a:spcPct val="90000"/>
            </a:lnSpc>
            <a:spcBef>
              <a:spcPct val="0"/>
            </a:spcBef>
            <a:spcAft>
              <a:spcPct val="15000"/>
            </a:spcAft>
            <a:buChar char="••"/>
          </a:pPr>
          <a:endParaRPr lang="pl-PL" sz="800" b="0" i="0" u="none" kern="1200"/>
        </a:p>
        <a:p>
          <a:pPr marL="57150" lvl="1" indent="-57150" algn="l" defTabSz="355600">
            <a:lnSpc>
              <a:spcPct val="90000"/>
            </a:lnSpc>
            <a:spcBef>
              <a:spcPct val="0"/>
            </a:spcBef>
            <a:spcAft>
              <a:spcPct val="15000"/>
            </a:spcAft>
            <a:buChar char="••"/>
          </a:pPr>
          <a:r>
            <a:rPr lang="pl-PL" sz="800" b="0" i="0" u="none" kern="1200"/>
            <a:t>  </a:t>
          </a:r>
          <a:endParaRPr lang="pl-PL" sz="800" kern="1200">
            <a:solidFill>
              <a:schemeClr val="accent3">
                <a:lumMod val="75000"/>
              </a:schemeClr>
            </a:solidFill>
          </a:endParaRPr>
        </a:p>
      </dsp:txBody>
      <dsp:txXfrm>
        <a:off x="28354" y="733030"/>
        <a:ext cx="2726616" cy="911377"/>
      </dsp:txXfrm>
    </dsp:sp>
    <dsp:sp modelId="{23B2D597-4BCD-4CBB-8167-C9AF0A7E6FF6}">
      <dsp:nvSpPr>
        <dsp:cNvPr id="0" name=""/>
        <dsp:cNvSpPr/>
      </dsp:nvSpPr>
      <dsp:spPr>
        <a:xfrm rot="18891279">
          <a:off x="2948125" y="1220253"/>
          <a:ext cx="1559223" cy="43463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906885" y="101132"/>
          <a:ext cx="2741439" cy="15675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Działalność krajowego potentata KGHM: rynek pracy, nowe inwestycje, przedsiębiorstwa kooperujące, wysokie stawki wynagrodzeń, wysokie emerytury górnicze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Przedłużenie funkcjonowania LSSE do 2026 r., utrzymanie ulg inwestycyjnych dla nowych firm</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Dynamicznie rozwijający się rynek usług świadczonych i pobieranych za pomocą usług teleinformatycznych umożliwiający mniejszym ośrodkom miejskim funkcjonowanie na rynku globalnym</a:t>
          </a:r>
          <a:endParaRPr lang="pl-PL" sz="800" kern="1200">
            <a:solidFill>
              <a:schemeClr val="accent1">
                <a:lumMod val="75000"/>
              </a:schemeClr>
            </a:solidFill>
          </a:endParaRPr>
        </a:p>
      </dsp:txBody>
      <dsp:txXfrm>
        <a:off x="2952797" y="147044"/>
        <a:ext cx="2649615" cy="1475726"/>
      </dsp:txXfrm>
    </dsp:sp>
    <dsp:sp modelId="{CBEC65E8-103E-43F6-920E-1F4E5107EC87}">
      <dsp:nvSpPr>
        <dsp:cNvPr id="0" name=""/>
        <dsp:cNvSpPr/>
      </dsp:nvSpPr>
      <dsp:spPr>
        <a:xfrm rot="2400685">
          <a:off x="3066735" y="2931554"/>
          <a:ext cx="1428344" cy="43463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2936242" y="2971593"/>
          <a:ext cx="2783324" cy="1272900"/>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Utrzymanie się niekorzystnych zjawisk gospodarczych spowodowanych światowym kryzysem gospodarczym</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Brak wypracowanych praktyk w zakresie transferu technologii i współpracy pomiędzy sektorem naukowo-badawczym, a przedsiębiorstwami powodujący utrzymywanie się niskiego poziomu innowacyjności w kraju. </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Migracje mieszkańców Legnicy do ościennych gmin i Wrocławia, w tym wysoko wykwalifikowanych specjalistów</a:t>
          </a:r>
          <a:endParaRPr lang="pl-PL" sz="800" kern="1200">
            <a:solidFill>
              <a:schemeClr val="bg2">
                <a:lumMod val="25000"/>
              </a:schemeClr>
            </a:solidFill>
          </a:endParaRPr>
        </a:p>
      </dsp:txBody>
      <dsp:txXfrm>
        <a:off x="2973524" y="3008875"/>
        <a:ext cx="2708760" cy="119833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0823C-FB88-48C1-A013-749C90A40A7A}">
      <dsp:nvSpPr>
        <dsp:cNvPr id="0" name=""/>
        <dsp:cNvSpPr/>
      </dsp:nvSpPr>
      <dsp:spPr>
        <a:xfrm>
          <a:off x="0" y="4495"/>
          <a:ext cx="1371600" cy="1263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just" defTabSz="488950">
            <a:lnSpc>
              <a:spcPct val="90000"/>
            </a:lnSpc>
            <a:spcBef>
              <a:spcPct val="0"/>
            </a:spcBef>
            <a:spcAft>
              <a:spcPct val="35000"/>
            </a:spcAft>
          </a:pPr>
          <a:r>
            <a:rPr lang="pl-PL" sz="1100" b="1" kern="1200"/>
            <a:t>Cel strategiczny I  - </a:t>
          </a:r>
          <a:r>
            <a:rPr lang="pl-PL" sz="1100" b="1" i="1" kern="1200"/>
            <a:t>Rozwój nowoczesnej gospodarki opartej na innowacjach oraz podnoszenie atrakcyjności inwestycyjnej Miasta</a:t>
          </a:r>
        </a:p>
      </dsp:txBody>
      <dsp:txXfrm>
        <a:off x="0" y="4495"/>
        <a:ext cx="1371600" cy="1263142"/>
      </dsp:txXfrm>
    </dsp:sp>
    <dsp:sp modelId="{35751DF6-74B7-4174-A7B3-1FF68B260B33}">
      <dsp:nvSpPr>
        <dsp:cNvPr id="0" name=""/>
        <dsp:cNvSpPr/>
      </dsp:nvSpPr>
      <dsp:spPr>
        <a:xfrm>
          <a:off x="1371599" y="4495"/>
          <a:ext cx="274320" cy="1263142"/>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F7031-64E6-4E84-84FD-D2414A6AA4CB}">
      <dsp:nvSpPr>
        <dsp:cNvPr id="0" name=""/>
        <dsp:cNvSpPr/>
      </dsp:nvSpPr>
      <dsp:spPr>
        <a:xfrm>
          <a:off x="1755647" y="4495"/>
          <a:ext cx="3730752" cy="126314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pl-PL" sz="1000" b="1" kern="1200"/>
            <a:t>Cel Operacyjny I.1 - Modernizacja i rozbudowa układu transportu publicznego o znaczeniu regionalnym i ponadlokalnym</a:t>
          </a:r>
        </a:p>
        <a:p>
          <a:pPr marL="57150" lvl="1" indent="-57150" algn="just" defTabSz="444500">
            <a:lnSpc>
              <a:spcPct val="90000"/>
            </a:lnSpc>
            <a:spcBef>
              <a:spcPct val="0"/>
            </a:spcBef>
            <a:spcAft>
              <a:spcPct val="15000"/>
            </a:spcAft>
            <a:buChar char="••"/>
          </a:pPr>
          <a:r>
            <a:rPr lang="pl-PL" sz="1000" b="1" kern="1200"/>
            <a:t>Cel operacyjny I.2 - Rozbudowa i modernizacja infrastruktury technicznej dla istniejących i nowych terenów inwestycyjnych</a:t>
          </a:r>
        </a:p>
        <a:p>
          <a:pPr marL="57150" lvl="1" indent="-57150" algn="just" defTabSz="444500">
            <a:lnSpc>
              <a:spcPct val="90000"/>
            </a:lnSpc>
            <a:spcBef>
              <a:spcPct val="0"/>
            </a:spcBef>
            <a:spcAft>
              <a:spcPct val="15000"/>
            </a:spcAft>
            <a:buChar char="••"/>
          </a:pPr>
          <a:r>
            <a:rPr lang="pl-PL" sz="1000" b="1" kern="1200"/>
            <a:t>Cel operacyjny I.3 - Rozwój technologii oraz usług publicznych</a:t>
          </a:r>
          <a:br>
            <a:rPr lang="pl-PL" sz="1000" b="1" kern="1200"/>
          </a:br>
          <a:r>
            <a:rPr lang="pl-PL" sz="1000" b="1" kern="1200"/>
            <a:t> i komercyjnych świadczonych elektronicznie</a:t>
          </a:r>
        </a:p>
        <a:p>
          <a:pPr marL="57150" lvl="1" indent="-57150" algn="just" defTabSz="444500">
            <a:lnSpc>
              <a:spcPct val="90000"/>
            </a:lnSpc>
            <a:spcBef>
              <a:spcPct val="0"/>
            </a:spcBef>
            <a:spcAft>
              <a:spcPct val="15000"/>
            </a:spcAft>
            <a:buChar char="••"/>
          </a:pPr>
          <a:r>
            <a:rPr lang="pl-PL" sz="1000" b="1" kern="1200"/>
            <a:t>Cel operacyjny I.4 - Tworzenie "klimatu dla biznesu" - Legnica centrum konferencyjno-biznesowym</a:t>
          </a:r>
        </a:p>
      </dsp:txBody>
      <dsp:txXfrm>
        <a:off x="1755647" y="4495"/>
        <a:ext cx="3730752" cy="1263142"/>
      </dsp:txXfrm>
    </dsp:sp>
    <dsp:sp modelId="{184D25E3-6A64-44FE-877A-FEF604F447BF}">
      <dsp:nvSpPr>
        <dsp:cNvPr id="0" name=""/>
        <dsp:cNvSpPr/>
      </dsp:nvSpPr>
      <dsp:spPr>
        <a:xfrm>
          <a:off x="0" y="2018594"/>
          <a:ext cx="1371600" cy="1117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l" defTabSz="488950">
            <a:lnSpc>
              <a:spcPct val="90000"/>
            </a:lnSpc>
            <a:spcBef>
              <a:spcPct val="0"/>
            </a:spcBef>
            <a:spcAft>
              <a:spcPct val="35000"/>
            </a:spcAft>
          </a:pPr>
          <a:r>
            <a:rPr lang="pl-PL" sz="1100" b="1" i="0" kern="1200"/>
            <a:t>Cel strategiczny II - </a:t>
          </a:r>
          <a:r>
            <a:rPr lang="pl-PL" sz="1100" b="1" i="1" kern="1200"/>
            <a:t>Wzrost znaczenia Legnicy jako regionalnego ośrodka edukacji, kultury, turystyki i sportu </a:t>
          </a:r>
        </a:p>
      </dsp:txBody>
      <dsp:txXfrm>
        <a:off x="0" y="2018594"/>
        <a:ext cx="1371600" cy="1117395"/>
      </dsp:txXfrm>
    </dsp:sp>
    <dsp:sp modelId="{092B5771-03DE-4821-B153-5C0B06A11423}">
      <dsp:nvSpPr>
        <dsp:cNvPr id="0" name=""/>
        <dsp:cNvSpPr/>
      </dsp:nvSpPr>
      <dsp:spPr>
        <a:xfrm>
          <a:off x="1371600" y="1285304"/>
          <a:ext cx="274320" cy="2583976"/>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9E1B34-6EC2-4272-8DFF-D6949A04C2C7}">
      <dsp:nvSpPr>
        <dsp:cNvPr id="0" name=""/>
        <dsp:cNvSpPr/>
      </dsp:nvSpPr>
      <dsp:spPr>
        <a:xfrm>
          <a:off x="1755648" y="1285304"/>
          <a:ext cx="3730752" cy="258397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pl-PL" sz="1000" b="1" kern="1200"/>
            <a:t>Cel operacyjny II.1 - Dostosowanie oferty edukacyjnej do potrzeb rynku pracy</a:t>
          </a:r>
        </a:p>
        <a:p>
          <a:pPr marL="57150" lvl="1" indent="-57150" algn="just" defTabSz="444500">
            <a:lnSpc>
              <a:spcPct val="90000"/>
            </a:lnSpc>
            <a:spcBef>
              <a:spcPct val="0"/>
            </a:spcBef>
            <a:spcAft>
              <a:spcPct val="15000"/>
            </a:spcAft>
            <a:buChar char="••"/>
          </a:pPr>
          <a:r>
            <a:rPr lang="pl-PL" sz="1000" b="1" kern="1200"/>
            <a:t>Cel operacyjny II.2 - Implementacja nowoczesnych technologii </a:t>
          </a:r>
          <a:br>
            <a:rPr lang="pl-PL" sz="1000" b="1" kern="1200"/>
          </a:br>
          <a:r>
            <a:rPr lang="pl-PL" sz="1000" b="1" kern="1200"/>
            <a:t>w edukacji, służąca rozwojowi kompetencji cyfrowych dzieci </a:t>
          </a:r>
          <a:br>
            <a:rPr lang="pl-PL" sz="1000" b="1" kern="1200"/>
          </a:br>
          <a:r>
            <a:rPr lang="pl-PL" sz="1000" b="1" kern="1200"/>
            <a:t>i młodzieży</a:t>
          </a:r>
        </a:p>
        <a:p>
          <a:pPr marL="57150" lvl="1" indent="-57150" algn="just" defTabSz="444500">
            <a:lnSpc>
              <a:spcPct val="90000"/>
            </a:lnSpc>
            <a:spcBef>
              <a:spcPct val="0"/>
            </a:spcBef>
            <a:spcAft>
              <a:spcPct val="15000"/>
            </a:spcAft>
            <a:buChar char="••"/>
          </a:pPr>
          <a:r>
            <a:rPr lang="pl-PL" sz="1000" b="1" kern="1200"/>
            <a:t>Cel operacyjny II.3 - Rozbudowa oferty pozalekcyjnej i pozaszkolnej dla dzieci i młodzieży</a:t>
          </a:r>
        </a:p>
        <a:p>
          <a:pPr marL="57150" lvl="1" indent="-57150" algn="just" defTabSz="444500">
            <a:lnSpc>
              <a:spcPct val="90000"/>
            </a:lnSpc>
            <a:spcBef>
              <a:spcPct val="0"/>
            </a:spcBef>
            <a:spcAft>
              <a:spcPct val="15000"/>
            </a:spcAft>
            <a:buChar char="••"/>
          </a:pPr>
          <a:r>
            <a:rPr lang="pl-PL" sz="1000" b="1" i="0" u="none" kern="1200"/>
            <a:t>Cel operacyjny II.4 - Rozwój edukacji ustawicznej i innych form podnoszenia kwalifikacji dla osób pozostających na rynku pracy</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II.5 - Rozwój infrastruktury usług kultury, turystyki i sportu o znaczeniu ponadlokalnym</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II.6 - Kulturalna i sportowa aktywizacja dzieci</a:t>
          </a:r>
          <a:br>
            <a:rPr lang="pl-PL" sz="1000" b="1" i="0" u="none" kern="1200"/>
          </a:br>
          <a:r>
            <a:rPr lang="pl-PL" sz="1000" b="1" i="0" u="none" kern="1200"/>
            <a:t> i młodzieży, w tym szczególnie młodzieży akademickiej</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II.7 - Wykorzystanie technologii teleinfromatycznych </a:t>
          </a:r>
          <a:br>
            <a:rPr lang="pl-PL" sz="1000" b="1" i="0" u="none" kern="1200"/>
          </a:br>
          <a:r>
            <a:rPr lang="pl-PL" sz="1000" b="1" i="0" u="none" kern="1200"/>
            <a:t>w rozwoju usług kultury i jej promocji</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II.8 - Wspieranie kultury i edukacji mniejszości narodowych jako ważnego elementu atrakcyjności miasta</a:t>
          </a:r>
          <a:endParaRPr lang="pl-PL" sz="1000" kern="1200"/>
        </a:p>
      </dsp:txBody>
      <dsp:txXfrm>
        <a:off x="1755648" y="1285304"/>
        <a:ext cx="3730752" cy="2583976"/>
      </dsp:txXfrm>
    </dsp:sp>
    <dsp:sp modelId="{B9F5D5B1-EC98-4887-8CED-9033B1D16B8E}">
      <dsp:nvSpPr>
        <dsp:cNvPr id="0" name=""/>
        <dsp:cNvSpPr/>
      </dsp:nvSpPr>
      <dsp:spPr>
        <a:xfrm>
          <a:off x="0" y="4325326"/>
          <a:ext cx="1371600" cy="6680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l" defTabSz="488950">
            <a:lnSpc>
              <a:spcPct val="90000"/>
            </a:lnSpc>
            <a:spcBef>
              <a:spcPct val="0"/>
            </a:spcBef>
            <a:spcAft>
              <a:spcPct val="35000"/>
            </a:spcAft>
          </a:pPr>
          <a:r>
            <a:rPr lang="pl-PL" sz="1100" b="1" kern="1200"/>
            <a:t>Cel strategiczny III - </a:t>
          </a:r>
          <a:r>
            <a:rPr lang="pl-PL" sz="1100" b="1" i="1" kern="1200"/>
            <a:t>Poprawa jakości </a:t>
          </a:r>
          <a:br>
            <a:rPr lang="pl-PL" sz="1100" b="1" i="1" kern="1200"/>
          </a:br>
          <a:r>
            <a:rPr lang="pl-PL" sz="1100" b="1" i="1" kern="1200"/>
            <a:t>i warunków życia Legniczan</a:t>
          </a:r>
        </a:p>
      </dsp:txBody>
      <dsp:txXfrm>
        <a:off x="0" y="4325326"/>
        <a:ext cx="1371600" cy="668007"/>
      </dsp:txXfrm>
    </dsp:sp>
    <dsp:sp modelId="{0421244B-670D-433E-B2CF-B90A14721F18}">
      <dsp:nvSpPr>
        <dsp:cNvPr id="0" name=""/>
        <dsp:cNvSpPr/>
      </dsp:nvSpPr>
      <dsp:spPr>
        <a:xfrm>
          <a:off x="1371600" y="3886946"/>
          <a:ext cx="274320" cy="1544768"/>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007F9-519D-4C9B-A141-0F463A89A706}">
      <dsp:nvSpPr>
        <dsp:cNvPr id="0" name=""/>
        <dsp:cNvSpPr/>
      </dsp:nvSpPr>
      <dsp:spPr>
        <a:xfrm>
          <a:off x="1755648" y="3886946"/>
          <a:ext cx="3730752" cy="154476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pl-PL" sz="1000" b="1" i="0" u="none" kern="1200"/>
            <a:t>Cel operacyjny III.1 - Podniesienie jakości usług społecznych i ochrony zdrowia</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III.2 - Rozwój oferty i infrastruktury dla osób starszych </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III.3 -Zapewnienie bezpieczeństwa mieszkańcom </a:t>
          </a:r>
          <a:br>
            <a:rPr lang="pl-PL" sz="1000" b="1" i="0" u="none" kern="1200"/>
          </a:br>
          <a:r>
            <a:rPr lang="pl-PL" sz="1000" b="1" i="0" u="none" kern="1200"/>
            <a:t>i ich mieniu</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III.4  - Modernizacja wewnętrznego układu komunikacyjnego</a:t>
          </a:r>
          <a:endParaRPr lang="pl-PL" sz="1000" kern="1200"/>
        </a:p>
        <a:p>
          <a:pPr marL="57150" lvl="1" indent="-57150" algn="just" defTabSz="444500">
            <a:lnSpc>
              <a:spcPct val="90000"/>
            </a:lnSpc>
            <a:spcBef>
              <a:spcPct val="0"/>
            </a:spcBef>
            <a:spcAft>
              <a:spcPct val="15000"/>
            </a:spcAft>
            <a:buChar char="••"/>
          </a:pPr>
          <a:r>
            <a:rPr lang="pl-PL" sz="1000" b="1" i="0" u="none" kern="1200"/>
            <a:t>Cel operacyjny III.5 - Modernizacja i rozwój infrastruktury</a:t>
          </a:r>
          <a:br>
            <a:rPr lang="pl-PL" sz="1000" b="1" i="0" u="none" kern="1200"/>
          </a:br>
          <a:r>
            <a:rPr lang="pl-PL" sz="1000" b="1" i="0" u="none" kern="1200"/>
            <a:t> technicznej i zarządzania usługami komunalnymi</a:t>
          </a:r>
          <a:endParaRPr lang="pl-PL" sz="1000" kern="1200"/>
        </a:p>
      </dsp:txBody>
      <dsp:txXfrm>
        <a:off x="1755648" y="3886946"/>
        <a:ext cx="3730752" cy="1544768"/>
      </dsp:txXfrm>
    </dsp:sp>
    <dsp:sp modelId="{9FD2BBF7-92B6-4C19-A286-D4966A533C66}">
      <dsp:nvSpPr>
        <dsp:cNvPr id="0" name=""/>
        <dsp:cNvSpPr/>
      </dsp:nvSpPr>
      <dsp:spPr>
        <a:xfrm>
          <a:off x="0" y="5449381"/>
          <a:ext cx="1371600" cy="1433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l" defTabSz="488950">
            <a:lnSpc>
              <a:spcPct val="90000"/>
            </a:lnSpc>
            <a:spcBef>
              <a:spcPct val="0"/>
            </a:spcBef>
            <a:spcAft>
              <a:spcPct val="35000"/>
            </a:spcAft>
          </a:pPr>
          <a:r>
            <a:rPr lang="pl-PL" sz="1100" b="1" kern="1200"/>
            <a:t>Cel strategiczny IV - </a:t>
          </a:r>
          <a:r>
            <a:rPr lang="pl-PL" sz="1100" b="1" i="1" kern="1200"/>
            <a:t>Kształtowanie atrakcyjnej przestrzeni publicznej </a:t>
          </a:r>
          <a:br>
            <a:rPr lang="pl-PL" sz="1100" b="1" i="1" kern="1200"/>
          </a:br>
          <a:r>
            <a:rPr lang="pl-PL" sz="1100" b="1" i="1" kern="1200"/>
            <a:t>i zachowanie obiektów dziedzictwa kulturowego</a:t>
          </a:r>
        </a:p>
      </dsp:txBody>
      <dsp:txXfrm>
        <a:off x="0" y="5449381"/>
        <a:ext cx="1371600" cy="1433180"/>
      </dsp:txXfrm>
    </dsp:sp>
    <dsp:sp modelId="{73C08AF0-A1B9-48CF-8719-1067C841E3DD}">
      <dsp:nvSpPr>
        <dsp:cNvPr id="0" name=""/>
        <dsp:cNvSpPr/>
      </dsp:nvSpPr>
      <dsp:spPr>
        <a:xfrm>
          <a:off x="1371600" y="5449381"/>
          <a:ext cx="274320" cy="14331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AB3D4-81BC-4215-8DB9-B3FB45C216B5}">
      <dsp:nvSpPr>
        <dsp:cNvPr id="0" name=""/>
        <dsp:cNvSpPr/>
      </dsp:nvSpPr>
      <dsp:spPr>
        <a:xfrm>
          <a:off x="1755648" y="5449381"/>
          <a:ext cx="3730752" cy="14331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pl-PL" sz="1000" b="1" i="0" u="none" kern="1200"/>
            <a:t>Cel operacyjny IV.1 - Rozwój przestrzeni publicznych sprzyjających aktywizacji lokalnych społeczności</a:t>
          </a:r>
          <a:endParaRPr lang="pl-PL" sz="1000" kern="1200"/>
        </a:p>
        <a:p>
          <a:pPr marL="57150" lvl="1" indent="-57150" algn="just" defTabSz="444500">
            <a:lnSpc>
              <a:spcPct val="90000"/>
            </a:lnSpc>
            <a:spcBef>
              <a:spcPct val="0"/>
            </a:spcBef>
            <a:spcAft>
              <a:spcPct val="15000"/>
            </a:spcAft>
            <a:buChar char="••"/>
          </a:pPr>
          <a:r>
            <a:rPr lang="pl-PL" sz="1000" b="1" i="0" u="none" kern="1200"/>
            <a:t>Cel operacyjny IV.2 - Rewitalizacja obszarów zdegradowanych</a:t>
          </a:r>
          <a:endParaRPr lang="pl-PL" sz="1000" kern="1200"/>
        </a:p>
        <a:p>
          <a:pPr marL="57150" lvl="1" indent="-57150" algn="just" defTabSz="444500">
            <a:lnSpc>
              <a:spcPct val="90000"/>
            </a:lnSpc>
            <a:spcBef>
              <a:spcPct val="0"/>
            </a:spcBef>
            <a:spcAft>
              <a:spcPct val="15000"/>
            </a:spcAft>
            <a:buChar char="••"/>
          </a:pPr>
          <a:r>
            <a:rPr lang="pl-PL" sz="1000" b="1" i="0" u="none" kern="1200"/>
            <a:t>Cel operacyjny IV.3 - Ochrona i adaptacja obiektów o wysokiej wartości architektonicznej i historycznej na potrzeby usług publicznych i rozwoju turystyki</a:t>
          </a:r>
          <a:endParaRPr lang="pl-PL" sz="1000" kern="1200"/>
        </a:p>
      </dsp:txBody>
      <dsp:txXfrm>
        <a:off x="1755648" y="5449381"/>
        <a:ext cx="3730752" cy="1433180"/>
      </dsp:txXfrm>
    </dsp:sp>
    <dsp:sp modelId="{46F10133-0730-473B-AE7D-6820BA5697E3}">
      <dsp:nvSpPr>
        <dsp:cNvPr id="0" name=""/>
        <dsp:cNvSpPr/>
      </dsp:nvSpPr>
      <dsp:spPr>
        <a:xfrm>
          <a:off x="0" y="7416415"/>
          <a:ext cx="1371600" cy="82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l" defTabSz="488950">
            <a:lnSpc>
              <a:spcPct val="90000"/>
            </a:lnSpc>
            <a:spcBef>
              <a:spcPct val="0"/>
            </a:spcBef>
            <a:spcAft>
              <a:spcPct val="35000"/>
            </a:spcAft>
          </a:pPr>
          <a:r>
            <a:rPr lang="pl-PL" sz="1100" b="1" kern="1200"/>
            <a:t>Cel strategiczny V - </a:t>
          </a:r>
          <a:r>
            <a:rPr lang="pl-PL" sz="1100" b="1" i="1" kern="1200"/>
            <a:t>Ochrona</a:t>
          </a:r>
          <a:br>
            <a:rPr lang="pl-PL" sz="1100" b="1" i="1" kern="1200"/>
          </a:br>
          <a:r>
            <a:rPr lang="pl-PL" sz="1100" b="1" i="1" kern="1200"/>
            <a:t> i kształtowanie środowiska przyrodniczego </a:t>
          </a:r>
        </a:p>
      </dsp:txBody>
      <dsp:txXfrm>
        <a:off x="0" y="7416415"/>
        <a:ext cx="1371600" cy="825900"/>
      </dsp:txXfrm>
    </dsp:sp>
    <dsp:sp modelId="{EEF4B8F5-8718-47ED-9B7E-76BABF1C9BEE}">
      <dsp:nvSpPr>
        <dsp:cNvPr id="0" name=""/>
        <dsp:cNvSpPr/>
      </dsp:nvSpPr>
      <dsp:spPr>
        <a:xfrm>
          <a:off x="1371600" y="6900227"/>
          <a:ext cx="274320" cy="1858276"/>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4492A3-1CFB-4180-87EE-C292A7A3B7A8}">
      <dsp:nvSpPr>
        <dsp:cNvPr id="0" name=""/>
        <dsp:cNvSpPr/>
      </dsp:nvSpPr>
      <dsp:spPr>
        <a:xfrm>
          <a:off x="1755648" y="6900227"/>
          <a:ext cx="3730752" cy="185827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pl-PL" sz="1000" b="1" i="0" u="none" kern="1200"/>
            <a:t>Cel operacyjny V.1 -  Ochrona terenów cennych przyrodniczo i ich adaptacja na potrzeby edukacyjne  oraz adaptacja zaniedbanych terenów zieleni na potrzeby rekreacji</a:t>
          </a:r>
          <a:endParaRPr lang="pl-PL" sz="1000" kern="1200"/>
        </a:p>
        <a:p>
          <a:pPr marL="57150" lvl="1" indent="-57150" algn="just" defTabSz="444500">
            <a:lnSpc>
              <a:spcPct val="90000"/>
            </a:lnSpc>
            <a:spcBef>
              <a:spcPct val="0"/>
            </a:spcBef>
            <a:spcAft>
              <a:spcPct val="15000"/>
            </a:spcAft>
            <a:buChar char="••"/>
          </a:pPr>
          <a:r>
            <a:rPr lang="pl-PL" sz="1000" b="1" i="0" u="none" kern="1200"/>
            <a:t>Cel operacyjny V.2 - Zintegrowanie i wzmocnienie systemów przeciwdziałania oraz ograniczania skutków powodzi i innych zjawisk ekstremalnych</a:t>
          </a:r>
          <a:endParaRPr lang="pl-PL" sz="1000" kern="1200"/>
        </a:p>
        <a:p>
          <a:pPr marL="57150" lvl="1" indent="-57150" algn="just" defTabSz="444500">
            <a:lnSpc>
              <a:spcPct val="90000"/>
            </a:lnSpc>
            <a:spcBef>
              <a:spcPct val="0"/>
            </a:spcBef>
            <a:spcAft>
              <a:spcPct val="15000"/>
            </a:spcAft>
            <a:buChar char="••"/>
          </a:pPr>
          <a:r>
            <a:rPr lang="pl-PL" sz="1000" b="1" i="0" u="none" kern="1200"/>
            <a:t>Cel operacyjny V.3 - Zwiększenie wykorzystania technologii efektywnych energetycznie i rozwiązań służących ograniczeniu emisji zanieczyszczeń i substancji szkodliwych, w tym CO₂</a:t>
          </a:r>
          <a:endParaRPr lang="pl-PL" sz="1000" kern="1200"/>
        </a:p>
        <a:p>
          <a:pPr marL="57150" lvl="1" indent="-57150" algn="just" defTabSz="444500">
            <a:lnSpc>
              <a:spcPct val="90000"/>
            </a:lnSpc>
            <a:spcBef>
              <a:spcPct val="0"/>
            </a:spcBef>
            <a:spcAft>
              <a:spcPct val="15000"/>
            </a:spcAft>
            <a:buChar char="••"/>
          </a:pPr>
          <a:r>
            <a:rPr lang="pl-PL" sz="1000" b="1" i="0" u="none" kern="1200"/>
            <a:t>Cel operacyjny V.4 - Kształtowanie świadomości ekologicznej mieszkańców</a:t>
          </a:r>
          <a:endParaRPr lang="pl-PL" sz="1000" kern="1200"/>
        </a:p>
        <a:p>
          <a:pPr marL="57150" lvl="1" indent="-57150" algn="just" defTabSz="444500">
            <a:lnSpc>
              <a:spcPct val="90000"/>
            </a:lnSpc>
            <a:spcBef>
              <a:spcPct val="0"/>
            </a:spcBef>
            <a:spcAft>
              <a:spcPct val="15000"/>
            </a:spcAft>
            <a:buChar char="••"/>
          </a:pPr>
          <a:r>
            <a:rPr lang="pl-PL" sz="1000" b="1" i="0" u="none" kern="1200"/>
            <a:t>Cel operacyjny V.5 - Rozwój infrastruktury dla gospodarki odpadami</a:t>
          </a:r>
          <a:endParaRPr lang="pl-PL" sz="1000" kern="1200"/>
        </a:p>
      </dsp:txBody>
      <dsp:txXfrm>
        <a:off x="1755648" y="6900227"/>
        <a:ext cx="3730752" cy="1858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16" y="3883443"/>
          <a:ext cx="6001952" cy="609532"/>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latin typeface="Calibri"/>
              <a:ea typeface="+mn-ea"/>
              <a:cs typeface="+mn-cs"/>
            </a:rPr>
            <a:t>Legnica miastem spotkań biznesu, otwartym na inwestycje i nowych inwestorów, </a:t>
          </a:r>
          <a:r>
            <a:rPr lang="pl-PL" sz="1200" b="1" kern="1200">
              <a:solidFill>
                <a:schemeClr val="accent1">
                  <a:lumMod val="50000"/>
                </a:schemeClr>
              </a:solidFill>
            </a:rPr>
            <a:t>budującym swoją gospodarczą przewagę konkurencyjną w oparciu o wysoką dostępność komunikacyjną </a:t>
          </a:r>
          <a:br>
            <a:rPr lang="pl-PL" sz="1200" b="1" kern="1200">
              <a:solidFill>
                <a:schemeClr val="accent1">
                  <a:lumMod val="50000"/>
                </a:schemeClr>
              </a:solidFill>
            </a:rPr>
          </a:br>
          <a:r>
            <a:rPr lang="pl-PL" sz="1200" b="1" kern="1200">
              <a:solidFill>
                <a:schemeClr val="accent1">
                  <a:lumMod val="50000"/>
                </a:schemeClr>
              </a:solidFill>
            </a:rPr>
            <a:t>i rozbudowaną infrastrukturę sieciową </a:t>
          </a:r>
          <a:endParaRPr lang="pl-PL" sz="1200" kern="1200">
            <a:solidFill>
              <a:schemeClr val="accent1">
                <a:lumMod val="50000"/>
              </a:schemeClr>
            </a:solidFill>
          </a:endParaRPr>
        </a:p>
      </dsp:txBody>
      <dsp:txXfrm>
        <a:off x="29771" y="3913198"/>
        <a:ext cx="5942442" cy="550022"/>
      </dsp:txXfrm>
    </dsp:sp>
    <dsp:sp modelId="{8392C9FF-A8EA-439E-A648-53E7E32E0AA6}">
      <dsp:nvSpPr>
        <dsp:cNvPr id="0" name=""/>
        <dsp:cNvSpPr/>
      </dsp:nvSpPr>
      <dsp:spPr>
        <a:xfrm rot="8154202">
          <a:off x="1305326" y="4855022"/>
          <a:ext cx="1534995" cy="4650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59396" y="5005943"/>
          <a:ext cx="2924472" cy="1231396"/>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Słabe połączenia komunikacji publicznej z sąsiednimi obszarami i okalającymi gminami. Oparcie komunikacji na funkcjonowaniu prywatnych busów</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Duże obciążenie ruchem komunikacyjnym wewnętrznego układu drogowego</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Brak zaangażowania zagranicznych firrm działających w LSSE  w inicjatwy społeczne miasta</a:t>
          </a:r>
          <a:endParaRPr lang="pl-PL" sz="800" kern="1200">
            <a:solidFill>
              <a:srgbClr val="FF0000"/>
            </a:solidFill>
          </a:endParaRPr>
        </a:p>
      </dsp:txBody>
      <dsp:txXfrm>
        <a:off x="95462" y="5042009"/>
        <a:ext cx="2852340" cy="1159264"/>
      </dsp:txXfrm>
    </dsp:sp>
    <dsp:sp modelId="{4079F557-B870-4692-B361-17B891DAF6D5}">
      <dsp:nvSpPr>
        <dsp:cNvPr id="0" name=""/>
        <dsp:cNvSpPr/>
      </dsp:nvSpPr>
      <dsp:spPr>
        <a:xfrm rot="14051894">
          <a:off x="1115031" y="2738785"/>
          <a:ext cx="2016519" cy="4650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71240" y="1017848"/>
          <a:ext cx="2924472" cy="2271465"/>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Korzystne położenie komunikacyjne Miasta (A4, S3, dr. Nr 94, E-30)</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Bliskość Wrocławia - możliwość korzystania z usług wyższego rzędu, usług metropolitalnych, rynku pracy i dużego rynku konsumenckiego</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Wysoka dostępność do infrastruktury technicznej i usług komunalnych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Bliskość lotniska we Wrocławiu</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Rozbudowana baza hotelowa oraz relatywnie wysoka liczba osób korzystających z noclegów głównie w celach biznesowych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Dostępność terenów inwestycyjnych, w tym w ramach Legnickiej Specjalnej Strefie Ekonomicznej  </a:t>
          </a:r>
          <a:endParaRPr lang="pl-PL" sz="800" kern="1200">
            <a:solidFill>
              <a:srgbClr val="A5A5A5">
                <a:lumMod val="7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Dostęp do usług administracji ponadlokalnej</a:t>
          </a:r>
          <a:endParaRPr lang="pl-PL" sz="800" kern="1200">
            <a:solidFill>
              <a:srgbClr val="A5A5A5">
                <a:lumMod val="7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Korzystny rynek pracy. Relatywnie niski poziom bezrobocia, wzrastająca liczba zarejestrowanych podmiotów gospodarczych</a:t>
          </a:r>
          <a:endParaRPr lang="pl-PL" sz="800" kern="1200">
            <a:solidFill>
              <a:srgbClr val="A5A5A5">
                <a:lumMod val="7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Liczne instytucje otoczenia biznesu</a:t>
          </a:r>
          <a:endParaRPr lang="pl-PL" sz="800" kern="1200">
            <a:solidFill>
              <a:srgbClr val="A5A5A5">
                <a:lumMod val="75000"/>
              </a:srgbClr>
            </a:solidFill>
            <a:latin typeface="Calibri"/>
            <a:ea typeface="+mn-ea"/>
            <a:cs typeface="+mn-cs"/>
          </a:endParaRPr>
        </a:p>
      </dsp:txBody>
      <dsp:txXfrm>
        <a:off x="137769" y="1084377"/>
        <a:ext cx="2791414" cy="2138407"/>
      </dsp:txXfrm>
    </dsp:sp>
    <dsp:sp modelId="{23B2D597-4BCD-4CBB-8167-C9AF0A7E6FF6}">
      <dsp:nvSpPr>
        <dsp:cNvPr id="0" name=""/>
        <dsp:cNvSpPr/>
      </dsp:nvSpPr>
      <dsp:spPr>
        <a:xfrm rot="18164339">
          <a:off x="2717006" y="2515118"/>
          <a:ext cx="2420377" cy="4650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3119444" y="170134"/>
          <a:ext cx="2924472" cy="311916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1">
                  <a:lumMod val="75000"/>
                </a:schemeClr>
              </a:solidFill>
            </a:rPr>
            <a:t>Szanse: </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Wzrost znaczenia polityki miejskiej – nowe instrumenty wspierające rozwój miejskich obszarów funkcjonalnych</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Umiejscowienie Legnicy w ważnych dokumentach strategicznych na szczeblu centralnym i wojewódzkim: Legnica miejskim obszarem funkcjonalnym o znaczeniu regionalnym, położenie w pasmach rozwojowych: Autostradzie Nowej Gospodarki, Legnicko-Głogowskim Obszarze Przemysłowym,Obszarze Rolniczym</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Rozbudowa i modernizacja zew. układu komunikacyjnego. Rozbudowa trasy S3, magistrali kolejowej E-30</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Posiadanie zasobów naturalnych dla rozwoju nowych gałęzi gospodarki: złoża węgla brunatnego, grunty rolnicze o wysokich parametrach jakościowych gleb</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Działalność krajowego potentata KGHM: rynek pracy, nowe inwestycje, przedsiębiorstwa kooperujące, wysokie stawki wynagrodzeń, wysokie emerytury górnicze</a:t>
          </a:r>
          <a:endParaRPr lang="pl-PL" sz="800" kern="1200">
            <a:solidFill>
              <a:srgbClr val="5B9BD5">
                <a:lumMod val="7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Przedłużenie funkcjonowania LSSE do 2026 r., utrzymanie ulg inwestycyjnych dla nowych firm</a:t>
          </a:r>
          <a:endParaRPr lang="pl-PL" sz="800" kern="1200">
            <a:solidFill>
              <a:srgbClr val="5B9BD5">
                <a:lumMod val="7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Dynamicznie rozwijający się rynek usług świadczonych i pobieranych za pomocą usług teleinformatycznych umożliwiający mniejszym ośrodkom miejskim funkcjonowaniu na rynku globalnym</a:t>
          </a:r>
          <a:endParaRPr lang="pl-PL" sz="800" kern="1200">
            <a:solidFill>
              <a:srgbClr val="5B9BD5">
                <a:lumMod val="75000"/>
              </a:srgbClr>
            </a:solidFill>
            <a:latin typeface="Calibri"/>
            <a:ea typeface="+mn-ea"/>
            <a:cs typeface="+mn-cs"/>
          </a:endParaRPr>
        </a:p>
      </dsp:txBody>
      <dsp:txXfrm>
        <a:off x="3205099" y="255789"/>
        <a:ext cx="2753162" cy="2947854"/>
      </dsp:txXfrm>
    </dsp:sp>
    <dsp:sp modelId="{CBEC65E8-103E-43F6-920E-1F4E5107EC87}">
      <dsp:nvSpPr>
        <dsp:cNvPr id="0" name=""/>
        <dsp:cNvSpPr/>
      </dsp:nvSpPr>
      <dsp:spPr>
        <a:xfrm rot="3070397">
          <a:off x="2962075" y="5080809"/>
          <a:ext cx="1888834" cy="4650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3036375" y="5029612"/>
          <a:ext cx="2924472" cy="2038962"/>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Brak pewności co do realizacji zewnętrznych inwestycji drogowych: drogi ekspresowej S-3 na odcinku Legnica-Lubawka, ograniczenia węzłów drogowych na A4 w związku z dostosowaniem A-4 do autostrady płatnej. Od ich realizacji zależeć będzie przekierowanie części ruchu na drogę krajową nr 94 i miasto.</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Brak wypracowanych praktyk w zakresie transferu technologii i współpracy pomiędzy sektorem naukowo-badawczym, a przedsiębiorstwami powodujący utrzymywanie się niskiego poziomu innowacyjności w kraju. </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Utrzymanie się niekorzystnych zjawisk gospodarczych spowodowanych światowym kryzysem gospodarczym</a:t>
          </a:r>
          <a:endParaRPr lang="pl-PL" sz="800" kern="1200">
            <a:solidFill>
              <a:srgbClr val="E7E6E6">
                <a:lumMod val="25000"/>
              </a:srgbClr>
            </a:solidFill>
            <a:latin typeface="Calibri"/>
            <a:ea typeface="+mn-ea"/>
            <a:cs typeface="+mn-cs"/>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Migracje mieszkańców Legnicy do ościennych gmin i Wrocławia, w tym wysoko wykwalifikowanych specjalistów</a:t>
          </a:r>
          <a:endParaRPr lang="pl-PL" sz="800" kern="1200">
            <a:solidFill>
              <a:srgbClr val="E7E6E6">
                <a:lumMod val="25000"/>
              </a:srgbClr>
            </a:solidFill>
            <a:latin typeface="Calibri"/>
            <a:ea typeface="+mn-ea"/>
            <a:cs typeface="+mn-cs"/>
          </a:endParaRPr>
        </a:p>
      </dsp:txBody>
      <dsp:txXfrm>
        <a:off x="3096094" y="5089331"/>
        <a:ext cx="2805034" cy="19195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53762" y="1448454"/>
          <a:ext cx="5432637" cy="888085"/>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miastem ładu przestrzennego, o wysokiej estetyce, zrewitalizowanej zabudowie historycznej, atrakcyjnych przestrzeniach publicznych dla integracji społecznej, wypoczynku, turystyki, rekreacji oraz kultury w centrum i na osiedlach mieszkaniowych</a:t>
          </a:r>
          <a:endParaRPr lang="pl-PL" sz="1200" kern="1200">
            <a:solidFill>
              <a:schemeClr val="accent1">
                <a:lumMod val="50000"/>
              </a:schemeClr>
            </a:solidFill>
          </a:endParaRPr>
        </a:p>
      </dsp:txBody>
      <dsp:txXfrm>
        <a:off x="97115" y="1491807"/>
        <a:ext cx="5345931" cy="801379"/>
      </dsp:txXfrm>
    </dsp:sp>
    <dsp:sp modelId="{8392C9FF-A8EA-439E-A648-53E7E32E0AA6}">
      <dsp:nvSpPr>
        <dsp:cNvPr id="0" name=""/>
        <dsp:cNvSpPr/>
      </dsp:nvSpPr>
      <dsp:spPr>
        <a:xfrm rot="8152550">
          <a:off x="1136697" y="2671481"/>
          <a:ext cx="1263067"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4" y="2888004"/>
          <a:ext cx="2718365" cy="74581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Wysoki stopień degradacji znacznej części historycznej zabudowy Miasta</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Brak ścieżek rowerowych zintegrowanych z sąsiednimi gminami</a:t>
          </a:r>
          <a:endParaRPr lang="pl-PL" sz="800" kern="1200">
            <a:solidFill>
              <a:srgbClr val="FF0000"/>
            </a:solidFill>
          </a:endParaRPr>
        </a:p>
      </dsp:txBody>
      <dsp:txXfrm>
        <a:off x="21840" y="2909848"/>
        <a:ext cx="2674677" cy="702126"/>
      </dsp:txXfrm>
    </dsp:sp>
    <dsp:sp modelId="{4079F557-B870-4692-B361-17B891DAF6D5}">
      <dsp:nvSpPr>
        <dsp:cNvPr id="0" name=""/>
        <dsp:cNvSpPr/>
      </dsp:nvSpPr>
      <dsp:spPr>
        <a:xfrm rot="13412590">
          <a:off x="1138621" y="746006"/>
          <a:ext cx="1294476"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5940" y="0"/>
          <a:ext cx="2621531" cy="1022426"/>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Specyficzne dziedzictwo kulturowe i historyczne budujące potencjał turystyczny i rozwój kulturalny Legnicy</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Rozbudowana baza hotelowa oraz relatywnie wysoka liczba osób korzystających z noclegów głównie w celach biznesowych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Dobrze rozbudowana infrastruktura usług kultury </a:t>
          </a:r>
          <a:endParaRPr lang="pl-PL" sz="800" kern="1200">
            <a:solidFill>
              <a:schemeClr val="accent3">
                <a:lumMod val="75000"/>
              </a:schemeClr>
            </a:solidFill>
          </a:endParaRPr>
        </a:p>
      </dsp:txBody>
      <dsp:txXfrm>
        <a:off x="35886" y="29946"/>
        <a:ext cx="2561639" cy="962534"/>
      </dsp:txXfrm>
    </dsp:sp>
    <dsp:sp modelId="{23B2D597-4BCD-4CBB-8167-C9AF0A7E6FF6}">
      <dsp:nvSpPr>
        <dsp:cNvPr id="0" name=""/>
        <dsp:cNvSpPr/>
      </dsp:nvSpPr>
      <dsp:spPr>
        <a:xfrm rot="19061515">
          <a:off x="3147157" y="800062"/>
          <a:ext cx="1182472"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864868" y="225626"/>
          <a:ext cx="2621531" cy="775108"/>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Wzrost znaczenia polityki miejskiej – nowe instrumenty wspierające rozwój miejskich obszarów funkcjonalnych</a:t>
          </a:r>
          <a:endParaRPr lang="pl-PL" sz="800" kern="1200">
            <a:solidFill>
              <a:schemeClr val="accent1">
                <a:lumMod val="75000"/>
              </a:schemeClr>
            </a:solidFill>
          </a:endParaRPr>
        </a:p>
      </dsp:txBody>
      <dsp:txXfrm>
        <a:off x="2887570" y="248328"/>
        <a:ext cx="2576127" cy="729704"/>
      </dsp:txXfrm>
    </dsp:sp>
    <dsp:sp modelId="{F4E3D5CC-4121-48A3-9BB4-41D360C15979}">
      <dsp:nvSpPr>
        <dsp:cNvPr id="0" name=""/>
        <dsp:cNvSpPr/>
      </dsp:nvSpPr>
      <dsp:spPr>
        <a:xfrm rot="2407645">
          <a:off x="3207094" y="2511312"/>
          <a:ext cx="1095145"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662A13-6671-409F-B572-0353928FE0D2}">
      <dsp:nvSpPr>
        <dsp:cNvPr id="0" name=""/>
        <dsp:cNvSpPr/>
      </dsp:nvSpPr>
      <dsp:spPr>
        <a:xfrm>
          <a:off x="2859719" y="2878532"/>
          <a:ext cx="2627258" cy="393549"/>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bg1">
                  <a:lumMod val="50000"/>
                </a:schemeClr>
              </a:solidFill>
              <a:latin typeface="Calibri"/>
              <a:ea typeface="+mn-ea"/>
              <a:cs typeface="+mn-cs"/>
            </a:rPr>
            <a:t>Zagrożenia:</a:t>
          </a:r>
          <a:endParaRPr lang="pl-PL" sz="900" kern="1200">
            <a:solidFill>
              <a:schemeClr val="bg1">
                <a:lumMod val="50000"/>
              </a:schemeClr>
            </a:solidFill>
          </a:endParaRPr>
        </a:p>
        <a:p>
          <a:pPr marL="57150" lvl="1" indent="-57150" algn="l" defTabSz="355600">
            <a:lnSpc>
              <a:spcPct val="90000"/>
            </a:lnSpc>
            <a:spcBef>
              <a:spcPct val="0"/>
            </a:spcBef>
            <a:spcAft>
              <a:spcPct val="15000"/>
            </a:spcAft>
            <a:buChar char="••"/>
          </a:pPr>
          <a:r>
            <a:rPr lang="pl-PL" sz="800" b="0" i="0" u="none" kern="1200">
              <a:solidFill>
                <a:sysClr val="windowText" lastClr="000000">
                  <a:hueOff val="0"/>
                  <a:satOff val="0"/>
                  <a:lumOff val="0"/>
                  <a:alphaOff val="0"/>
                </a:sysClr>
              </a:solidFill>
              <a:latin typeface="Calibri"/>
              <a:ea typeface="+mn-ea"/>
              <a:cs typeface="+mn-cs"/>
            </a:rPr>
            <a:t>Naturalne trendy zanikania turystyki sentymentalnej</a:t>
          </a:r>
          <a:endParaRPr lang="pl-PL" sz="800" kern="1200">
            <a:solidFill>
              <a:srgbClr val="E7E6E6">
                <a:lumMod val="25000"/>
              </a:srgbClr>
            </a:solidFill>
            <a:latin typeface="Calibri"/>
            <a:ea typeface="+mn-ea"/>
            <a:cs typeface="+mn-cs"/>
          </a:endParaRPr>
        </a:p>
      </dsp:txBody>
      <dsp:txXfrm>
        <a:off x="2871246" y="2890059"/>
        <a:ext cx="2604204" cy="3704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2" y="2445231"/>
          <a:ext cx="5486394" cy="806686"/>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Legniczanie niezależnie od wieku - zaangażowani społecznie, kreatywni, aktywni sportowo i kulturalnie, świadomi roli sportu i rekreacji w budowaniu zdrowego społeczeństwa, o wysokiej świadomości ekologicznej, poczuciu tożsamości lokalnej, tworzący społeczeństwo obywatelskie</a:t>
          </a:r>
          <a:endParaRPr lang="pl-PL" sz="1200" kern="1200">
            <a:solidFill>
              <a:schemeClr val="accent1">
                <a:lumMod val="50000"/>
              </a:schemeClr>
            </a:solidFill>
          </a:endParaRPr>
        </a:p>
      </dsp:txBody>
      <dsp:txXfrm>
        <a:off x="39381" y="2484610"/>
        <a:ext cx="5407636" cy="727928"/>
      </dsp:txXfrm>
    </dsp:sp>
    <dsp:sp modelId="{8392C9FF-A8EA-439E-A648-53E7E32E0AA6}">
      <dsp:nvSpPr>
        <dsp:cNvPr id="0" name=""/>
        <dsp:cNvSpPr/>
      </dsp:nvSpPr>
      <dsp:spPr>
        <a:xfrm rot="8355936">
          <a:off x="1144637" y="3483752"/>
          <a:ext cx="1231761"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71252" y="3605833"/>
          <a:ext cx="2445173" cy="981807"/>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Brak hali widowiskowo-sportowej o dużej pojemności uniemożliwiający organizację dużych wydarzeń sportowych i kulturowych na terenie Legnicy</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Brak ścieżek rowerowych zintegrowanych z sąsiednimi gminami</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Utrzymujące się wysokie wskaźniki przestępczości</a:t>
          </a:r>
          <a:endParaRPr lang="pl-PL" sz="800" kern="1200">
            <a:solidFill>
              <a:srgbClr val="FF0000"/>
            </a:solidFill>
          </a:endParaRPr>
        </a:p>
      </dsp:txBody>
      <dsp:txXfrm>
        <a:off x="100008" y="3634589"/>
        <a:ext cx="2387661" cy="924295"/>
      </dsp:txXfrm>
    </dsp:sp>
    <dsp:sp modelId="{4079F557-B870-4692-B361-17B891DAF6D5}">
      <dsp:nvSpPr>
        <dsp:cNvPr id="0" name=""/>
        <dsp:cNvSpPr/>
      </dsp:nvSpPr>
      <dsp:spPr>
        <a:xfrm rot="13977533">
          <a:off x="1045246" y="1493121"/>
          <a:ext cx="1668650"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0" y="0"/>
          <a:ext cx="2753968" cy="2076498"/>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Rozbudowana baza sportowa i rekreacyjno-wypoczynkowa, szczególnie dla celów lokalnych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Tradycja i doświadczenie w organizacji ważnych wydarzeń kulturalnych - Satyrykon, Legnica Cantat, Festiwal SREBRO, itd.</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Bliskość Wrocławia - możliwość korzystania z usług wyższego rzędu, usług metropolitalnych, rynku pracy i dużego rynku konsumenckiego</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Dostęp do usług administracji ponadlokalnej</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Dobrze rozbudowana infrastruktura usług kultury </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Dobre wyposażenie placówek opieki zdrowotnej, funkcjonowanie Wojewódzkiego Szpitala Specjalistycznego</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Specyficzne dziedzictwo kulturowe i historyczne budujące potencjał turystyczny i rozwój kulturalny Legnicy</a:t>
          </a:r>
          <a:endParaRPr lang="pl-PL" sz="800" kern="1200">
            <a:solidFill>
              <a:schemeClr val="accent3">
                <a:lumMod val="75000"/>
              </a:schemeClr>
            </a:solidFill>
          </a:endParaRPr>
        </a:p>
      </dsp:txBody>
      <dsp:txXfrm>
        <a:off x="60819" y="60819"/>
        <a:ext cx="2632330" cy="1954860"/>
      </dsp:txXfrm>
    </dsp:sp>
    <dsp:sp modelId="{23B2D597-4BCD-4CBB-8167-C9AF0A7E6FF6}">
      <dsp:nvSpPr>
        <dsp:cNvPr id="0" name=""/>
        <dsp:cNvSpPr/>
      </dsp:nvSpPr>
      <dsp:spPr>
        <a:xfrm rot="19393887">
          <a:off x="3215644" y="1880224"/>
          <a:ext cx="1081931"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967369" y="1463638"/>
          <a:ext cx="2445173" cy="60772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1">
                  <a:lumMod val="75000"/>
                </a:schemeClr>
              </a:solidFill>
            </a:rPr>
            <a:t>Szanse: </a:t>
          </a:r>
        </a:p>
        <a:p>
          <a:pPr marL="57150" lvl="1" indent="-57150" algn="l" defTabSz="355600">
            <a:lnSpc>
              <a:spcPct val="90000"/>
            </a:lnSpc>
            <a:spcBef>
              <a:spcPct val="0"/>
            </a:spcBef>
            <a:spcAft>
              <a:spcPct val="15000"/>
            </a:spcAft>
            <a:buChar char="••"/>
          </a:pPr>
          <a:r>
            <a:rPr lang="pl-PL" sz="800" b="0" i="0" u="none" kern="1200"/>
            <a:t>Podnoszący się wskaźnik wykształcenia społeczeństwa</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Rozwijająca się moda na uprawianie sportu, rekreacji i zdrowy tryb życia w społeczeństwie</a:t>
          </a:r>
          <a:endParaRPr lang="pl-PL" sz="800" kern="1200">
            <a:solidFill>
              <a:schemeClr val="accent1">
                <a:lumMod val="75000"/>
              </a:schemeClr>
            </a:solidFill>
          </a:endParaRPr>
        </a:p>
      </dsp:txBody>
      <dsp:txXfrm>
        <a:off x="2985169" y="1481438"/>
        <a:ext cx="2409573" cy="572123"/>
      </dsp:txXfrm>
    </dsp:sp>
    <dsp:sp modelId="{097B1011-8F2A-4CFF-805C-6D7DBE3FCD89}">
      <dsp:nvSpPr>
        <dsp:cNvPr id="0" name=""/>
        <dsp:cNvSpPr/>
      </dsp:nvSpPr>
      <dsp:spPr>
        <a:xfrm rot="2424292">
          <a:off x="3118226" y="3478670"/>
          <a:ext cx="1226384"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514DE4-6890-44F9-9D7A-8B94D09EBF3D}">
      <dsp:nvSpPr>
        <dsp:cNvPr id="0" name=""/>
        <dsp:cNvSpPr/>
      </dsp:nvSpPr>
      <dsp:spPr>
        <a:xfrm>
          <a:off x="2975767" y="3598676"/>
          <a:ext cx="2445173" cy="977089"/>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Negatywne tendencje demograficzne. Wzrost obciążenia demograficznego ludności w wieku produkcyjnym</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Migracje mieszkańców Legnicy do ościennych gmin i Wrocławia, w tym wysoko wykwalifikowanych specjalistów</a:t>
          </a:r>
          <a:endParaRPr lang="pl-PL" sz="800" kern="1200">
            <a:solidFill>
              <a:schemeClr val="bg2">
                <a:lumMod val="25000"/>
              </a:schemeClr>
            </a:solidFill>
          </a:endParaRPr>
        </a:p>
      </dsp:txBody>
      <dsp:txXfrm>
        <a:off x="3004385" y="3627294"/>
        <a:ext cx="2387937" cy="9198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2" y="2612664"/>
          <a:ext cx="5486394" cy="611107"/>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Legniczanie – wysoko wyedukowani, przedsiębiorczy, o wysokich aspiracjach życiowych i wyższym statusie materialnym</a:t>
          </a:r>
          <a:endParaRPr lang="pl-PL" sz="1200" kern="1200">
            <a:solidFill>
              <a:schemeClr val="accent1">
                <a:lumMod val="50000"/>
              </a:schemeClr>
            </a:solidFill>
          </a:endParaRPr>
        </a:p>
      </dsp:txBody>
      <dsp:txXfrm>
        <a:off x="29834" y="2642496"/>
        <a:ext cx="5426730" cy="551443"/>
      </dsp:txXfrm>
    </dsp:sp>
    <dsp:sp modelId="{8392C9FF-A8EA-439E-A648-53E7E32E0AA6}">
      <dsp:nvSpPr>
        <dsp:cNvPr id="0" name=""/>
        <dsp:cNvSpPr/>
      </dsp:nvSpPr>
      <dsp:spPr>
        <a:xfrm rot="9010722">
          <a:off x="1339504" y="3354540"/>
          <a:ext cx="977226"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95256" y="3560038"/>
          <a:ext cx="2454996" cy="344756"/>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Relatywnie niskie średnie dochody mieszkańców</a:t>
          </a:r>
          <a:endParaRPr lang="pl-PL" sz="800" kern="1200">
            <a:solidFill>
              <a:srgbClr val="FF0000"/>
            </a:solidFill>
          </a:endParaRPr>
        </a:p>
      </dsp:txBody>
      <dsp:txXfrm>
        <a:off x="105354" y="3570136"/>
        <a:ext cx="2434800" cy="324560"/>
      </dsp:txXfrm>
    </dsp:sp>
    <dsp:sp modelId="{4079F557-B870-4692-B361-17B891DAF6D5}">
      <dsp:nvSpPr>
        <dsp:cNvPr id="0" name=""/>
        <dsp:cNvSpPr/>
      </dsp:nvSpPr>
      <dsp:spPr>
        <a:xfrm rot="13752198">
          <a:off x="913364" y="1637041"/>
          <a:ext cx="1812537"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0" y="1"/>
          <a:ext cx="2454996" cy="2324109"/>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Duża liczba szkół wyższych oraz studentów kształcących się w legnickich uczelniach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Bliskość Wrocławia - możliwość korzystania z usług wyższego rzędu, usług metropolitalnych, rynku pracy i dużego rynku konsumenckiego</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Korzystny rynek pracy. Relatywnie niski poziom bezrobocia, wzrastająca liczba zarejestrowanych podmiotów gospodarczych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Wysoka dostępność do infrastruktury technicznej i usług komunalnych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Dobry dostęp do placówek wychowania przedszkolnego i edukacji podstawowej i gimnazjalnej</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Szkolnictwo zawodowe na poziomie ponadgimnazjalnym doposażone i z bogatą ofertą. Współpraca szkół zawodowych z pracodawcami strefy ekonomicznej oraz z wyższymi uczelniami technicznymi</a:t>
          </a:r>
          <a:endParaRPr lang="pl-PL" sz="800" kern="1200">
            <a:solidFill>
              <a:schemeClr val="accent3">
                <a:lumMod val="75000"/>
              </a:schemeClr>
            </a:solidFill>
          </a:endParaRPr>
        </a:p>
      </dsp:txBody>
      <dsp:txXfrm>
        <a:off x="68071" y="68072"/>
        <a:ext cx="2318854" cy="2187967"/>
      </dsp:txXfrm>
    </dsp:sp>
    <dsp:sp modelId="{23B2D597-4BCD-4CBB-8167-C9AF0A7E6FF6}">
      <dsp:nvSpPr>
        <dsp:cNvPr id="0" name=""/>
        <dsp:cNvSpPr/>
      </dsp:nvSpPr>
      <dsp:spPr>
        <a:xfrm rot="18637688">
          <a:off x="2755546" y="1631510"/>
          <a:ext cx="1820972"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3031395" y="0"/>
          <a:ext cx="2454996" cy="230316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Działalność krajowego potentata KGHM: rynek pracy, nowe inwestycje, przedsiębiorstwa kooperujące, wysokie stawki wynagrodzeń, wysokie emerytury górnicze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Podnoszący się wskaźnik wykształcenia społeczeństwa</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Wzrastajacy udział i znaczenie szkolnictwa zawodowego w edukacji ponadgimnazjalnej. Wzrastajaca świadomość wyboru kierunku kształcenia zgodnego z potrzebami rynku pracy.</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Dynamicznie rozwijający się rynek usług świadczonych i pobieranych za pomocą usług teleinformatycznych umożliwiający mniejszym ośrodkom miejskim funkcjonowaniu na rynku globalnym</a:t>
          </a:r>
          <a:endParaRPr lang="pl-PL" sz="800" kern="1200">
            <a:solidFill>
              <a:schemeClr val="accent1">
                <a:lumMod val="75000"/>
              </a:schemeClr>
            </a:solidFill>
          </a:endParaRPr>
        </a:p>
      </dsp:txBody>
      <dsp:txXfrm>
        <a:off x="3098853" y="67458"/>
        <a:ext cx="2320080" cy="2168253"/>
      </dsp:txXfrm>
    </dsp:sp>
    <dsp:sp modelId="{CBEC65E8-103E-43F6-920E-1F4E5107EC87}">
      <dsp:nvSpPr>
        <dsp:cNvPr id="0" name=""/>
        <dsp:cNvSpPr/>
      </dsp:nvSpPr>
      <dsp:spPr>
        <a:xfrm rot="2634467">
          <a:off x="2904477" y="3620163"/>
          <a:ext cx="1574494"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3031405" y="3549462"/>
          <a:ext cx="2454996" cy="1655491"/>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pl-PL" sz="9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Migracje mieszkańców Legnicy do ościennych gmin i Wrocławia, w tym wysoko wykwalifikowanych specjalistów</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Negatywne tendencje demograficzne. Wzrost obciążenia demograficznego ludności w wieku produkcyjnym</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Utrzymanie się niekorzystnych zjawisk gospodarczych spowodowanych światowym kryzysem gospodarczym</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Brak zainteresowania w umiejscawianiu uniwersyteckich centrów naukowo-badawczych w ośrodkach miejskich o znaczeniu regionalnym i lokalnym</a:t>
          </a:r>
          <a:endParaRPr lang="pl-PL" sz="800" kern="1200">
            <a:solidFill>
              <a:schemeClr val="bg2">
                <a:lumMod val="25000"/>
              </a:schemeClr>
            </a:solidFill>
          </a:endParaRPr>
        </a:p>
      </dsp:txBody>
      <dsp:txXfrm>
        <a:off x="3079893" y="3597950"/>
        <a:ext cx="2358020" cy="15585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209866" y="2361058"/>
          <a:ext cx="4709617" cy="493463"/>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regionalnym ośrodkiem nauki, edukacji i kultury</a:t>
          </a:r>
          <a:endParaRPr lang="pl-PL" sz="1200" kern="1200">
            <a:solidFill>
              <a:schemeClr val="accent1">
                <a:lumMod val="50000"/>
              </a:schemeClr>
            </a:solidFill>
          </a:endParaRPr>
        </a:p>
      </dsp:txBody>
      <dsp:txXfrm>
        <a:off x="233955" y="2385147"/>
        <a:ext cx="4661439" cy="445285"/>
      </dsp:txXfrm>
    </dsp:sp>
    <dsp:sp modelId="{8392C9FF-A8EA-439E-A648-53E7E32E0AA6}">
      <dsp:nvSpPr>
        <dsp:cNvPr id="0" name=""/>
        <dsp:cNvSpPr/>
      </dsp:nvSpPr>
      <dsp:spPr>
        <a:xfrm rot="8665315">
          <a:off x="1191157" y="2991502"/>
          <a:ext cx="1082023" cy="42364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7" y="3168556"/>
          <a:ext cx="2584287" cy="699069"/>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Brak hali widowiskowo-sportowej o dużej pojemności uniemożliwiający organizację dużych wydarzeń sportowych i kulturowych na terenie Legnicy</a:t>
          </a:r>
          <a:endParaRPr lang="pl-PL" sz="800" kern="1200">
            <a:solidFill>
              <a:srgbClr val="FF0000"/>
            </a:solidFill>
          </a:endParaRPr>
        </a:p>
      </dsp:txBody>
      <dsp:txXfrm>
        <a:off x="20482" y="3189031"/>
        <a:ext cx="2543337" cy="658119"/>
      </dsp:txXfrm>
    </dsp:sp>
    <dsp:sp modelId="{4079F557-B870-4692-B361-17B891DAF6D5}">
      <dsp:nvSpPr>
        <dsp:cNvPr id="0" name=""/>
        <dsp:cNvSpPr/>
      </dsp:nvSpPr>
      <dsp:spPr>
        <a:xfrm rot="13878935">
          <a:off x="987232" y="1441458"/>
          <a:ext cx="1626324" cy="42364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0" y="0"/>
          <a:ext cx="2584287" cy="2037051"/>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Tradycja i doświadczenie w organizacji ważnych wydarzeń kulturalnych - Satyrykon, Legnica Cantat, Festiwal SREBRO, itd.</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Dobrze rozbudowana infrastruktura usług kultury </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Specyficzne dziedzictwo kulturowe i historyczne budujące potencjał turystyczny i rozwój kulturalny Legnicy</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Duża liczba szkół wyższych oraz studentów kształcących się w legnickich uczelniach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Szkolnictwo zawodowe na poziomie ponadgimnazjalnym doposażone i z bogatą ofertą. Współpraca szkół zawodowych z pracodawcami strefy ekonomicznej oraz z wyższymi uczelniami technicznymi</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Dobry dostęp do placówek wychowania przedszkolnego i edukacji podstawowej i gimnazjalnej</a:t>
          </a:r>
          <a:endParaRPr lang="pl-PL" sz="800" kern="1200">
            <a:solidFill>
              <a:schemeClr val="accent3">
                <a:lumMod val="75000"/>
              </a:schemeClr>
            </a:solidFill>
          </a:endParaRPr>
        </a:p>
      </dsp:txBody>
      <dsp:txXfrm>
        <a:off x="59663" y="59663"/>
        <a:ext cx="2464961" cy="1917725"/>
      </dsp:txXfrm>
    </dsp:sp>
    <dsp:sp modelId="{23B2D597-4BCD-4CBB-8167-C9AF0A7E6FF6}">
      <dsp:nvSpPr>
        <dsp:cNvPr id="0" name=""/>
        <dsp:cNvSpPr/>
      </dsp:nvSpPr>
      <dsp:spPr>
        <a:xfrm rot="19252176">
          <a:off x="2763929" y="1617376"/>
          <a:ext cx="1515527" cy="42364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817356" y="751368"/>
          <a:ext cx="2584287" cy="11992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Wzrost znaczenia polityki miejskiej – nowe instrumenty wspierające rozwój miejskich obszarów funkcjonalnych</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Wzrastajacy udział i znaczenie szkolnictwa zawodowego w edukacji ponadgimnazjalnej. Wzrastajaca świadomość wyboru kierunku kształcenia zgodnego z potrzebami rynku pracy</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Podnoszący się wskaźnik wykształcenia społeczeństwa</a:t>
          </a:r>
          <a:endParaRPr lang="pl-PL" sz="800" kern="1200">
            <a:solidFill>
              <a:schemeClr val="accent1">
                <a:lumMod val="75000"/>
              </a:schemeClr>
            </a:solidFill>
          </a:endParaRPr>
        </a:p>
      </dsp:txBody>
      <dsp:txXfrm>
        <a:off x="2852480" y="786492"/>
        <a:ext cx="2514039" cy="1128981"/>
      </dsp:txXfrm>
    </dsp:sp>
    <dsp:sp modelId="{3EFB5B0E-65DB-4411-9406-CBBE06E618F5}">
      <dsp:nvSpPr>
        <dsp:cNvPr id="0" name=""/>
        <dsp:cNvSpPr/>
      </dsp:nvSpPr>
      <dsp:spPr>
        <a:xfrm rot="2400139">
          <a:off x="2745006" y="3192960"/>
          <a:ext cx="1538818" cy="42364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80F464-E98F-45C5-B9EB-5090EFF0923B}">
      <dsp:nvSpPr>
        <dsp:cNvPr id="0" name=""/>
        <dsp:cNvSpPr/>
      </dsp:nvSpPr>
      <dsp:spPr>
        <a:xfrm>
          <a:off x="2823635" y="3155357"/>
          <a:ext cx="2560323" cy="1488031"/>
        </a:xfrm>
        <a:prstGeom prst="roundRect">
          <a:avLst>
            <a:gd name="adj" fmla="val 10000"/>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bg1">
                  <a:lumMod val="50000"/>
                </a:schemeClr>
              </a:solidFill>
            </a:rPr>
            <a:t>Zagrożenia:</a:t>
          </a:r>
        </a:p>
        <a:p>
          <a:pPr marL="57150" lvl="1" indent="-57150" algn="l" defTabSz="355600">
            <a:lnSpc>
              <a:spcPct val="90000"/>
            </a:lnSpc>
            <a:spcBef>
              <a:spcPct val="0"/>
            </a:spcBef>
            <a:spcAft>
              <a:spcPct val="15000"/>
            </a:spcAft>
            <a:buChar char="••"/>
          </a:pPr>
          <a:r>
            <a:rPr lang="pl-PL" sz="800" b="0" i="0" u="none" kern="1200"/>
            <a:t>Brak wypracowanych praktyk w zakresie transferu technologii i współpracy pomiędzy sektorem naukowo-badawczym, a przedsiębiorstwami powodujący utrzymywanie się niskiego poziomu innowacyjności w kraju. </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Brak zainteresowania w umiejscawianiu uniwersyteckich centrów naukowo-badawczych w ośrodkach miejskich o znaczeniu regionalnym i lokalnym</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Negatywne tendencje demograficzne. Wzrost obciążenia demograficznego ludności w wieku produkcyjnym</a:t>
          </a:r>
          <a:endParaRPr lang="pl-PL" sz="800" kern="1200">
            <a:solidFill>
              <a:schemeClr val="bg2">
                <a:lumMod val="25000"/>
              </a:schemeClr>
            </a:solidFill>
          </a:endParaRPr>
        </a:p>
      </dsp:txBody>
      <dsp:txXfrm>
        <a:off x="2867218" y="3198940"/>
        <a:ext cx="2473157" cy="14008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126481" y="1357265"/>
          <a:ext cx="5343681" cy="589240"/>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miastem wysokiej jakości środowiska przyrodniczego, dzięki świadczeniu nowoczesnych i wysokiej jakości usług komunalnych  </a:t>
          </a:r>
          <a:endParaRPr lang="pl-PL" sz="1200" kern="1200">
            <a:solidFill>
              <a:schemeClr val="accent1">
                <a:lumMod val="50000"/>
              </a:schemeClr>
            </a:solidFill>
          </a:endParaRPr>
        </a:p>
      </dsp:txBody>
      <dsp:txXfrm>
        <a:off x="155245" y="1386029"/>
        <a:ext cx="5286153" cy="531712"/>
      </dsp:txXfrm>
    </dsp:sp>
    <dsp:sp modelId="{8392C9FF-A8EA-439E-A648-53E7E32E0AA6}">
      <dsp:nvSpPr>
        <dsp:cNvPr id="0" name=""/>
        <dsp:cNvSpPr/>
      </dsp:nvSpPr>
      <dsp:spPr>
        <a:xfrm rot="8540451">
          <a:off x="1254472" y="2178432"/>
          <a:ext cx="1158342" cy="43588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6" y="2338378"/>
          <a:ext cx="2616112" cy="927227"/>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rgbClr val="FF0000"/>
              </a:solidFill>
            </a:rPr>
            <a:t>Słabe strony: </a:t>
          </a:r>
        </a:p>
        <a:p>
          <a:pPr marL="57150" lvl="1" indent="-57150" algn="l" defTabSz="355600">
            <a:lnSpc>
              <a:spcPct val="90000"/>
            </a:lnSpc>
            <a:spcBef>
              <a:spcPct val="0"/>
            </a:spcBef>
            <a:spcAft>
              <a:spcPct val="15000"/>
            </a:spcAft>
            <a:buChar char="••"/>
          </a:pPr>
          <a:r>
            <a:rPr lang="pl-PL" sz="800" b="0" i="0" u="none" kern="1200"/>
            <a:t>Zanieczyszczenie środowiska: wysokie stężenie zanieczyszczeń powietrza - niska emisja, zanieczyszczenie gleb w pobliżu Huty Miedzi, występowanie dzikich wysypisk</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Duże obciążenie ruchem komunikacyjnym wewnętrznego układu drogowego</a:t>
          </a:r>
          <a:endParaRPr lang="pl-PL" sz="800" kern="1200">
            <a:solidFill>
              <a:srgbClr val="FF0000"/>
            </a:solidFill>
          </a:endParaRPr>
        </a:p>
      </dsp:txBody>
      <dsp:txXfrm>
        <a:off x="27164" y="2365536"/>
        <a:ext cx="2561796" cy="872911"/>
      </dsp:txXfrm>
    </dsp:sp>
    <dsp:sp modelId="{4079F557-B870-4692-B361-17B891DAF6D5}">
      <dsp:nvSpPr>
        <dsp:cNvPr id="0" name=""/>
        <dsp:cNvSpPr/>
      </dsp:nvSpPr>
      <dsp:spPr>
        <a:xfrm rot="12671690">
          <a:off x="1292045" y="811289"/>
          <a:ext cx="955890" cy="43588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0" y="446905"/>
          <a:ext cx="2555335" cy="568452"/>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Wysoka dostępność do infrastruktury technicznej i usług komunalnych</a:t>
          </a:r>
          <a:endParaRPr lang="pl-PL" sz="800" kern="1200">
            <a:solidFill>
              <a:schemeClr val="accent3">
                <a:lumMod val="75000"/>
              </a:schemeClr>
            </a:solidFill>
          </a:endParaRPr>
        </a:p>
      </dsp:txBody>
      <dsp:txXfrm>
        <a:off x="16649" y="463554"/>
        <a:ext cx="2522037" cy="535154"/>
      </dsp:txXfrm>
    </dsp:sp>
    <dsp:sp modelId="{23B2D597-4BCD-4CBB-8167-C9AF0A7E6FF6}">
      <dsp:nvSpPr>
        <dsp:cNvPr id="0" name=""/>
        <dsp:cNvSpPr/>
      </dsp:nvSpPr>
      <dsp:spPr>
        <a:xfrm rot="19121847">
          <a:off x="3101550" y="698393"/>
          <a:ext cx="1067911" cy="43588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750532" y="0"/>
          <a:ext cx="2673678" cy="103865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Rozwijająca się moda na uprawianie sportu, rekreacji i zdrowy tryb życia w społeczeństwie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Wzrost znaczenia polityki miejskiej – nowe instrumenty wspierające rozwój miejskich obszarów funkcjonalnych</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endParaRPr lang="pl-PL" sz="800" kern="1200">
            <a:solidFill>
              <a:schemeClr val="accent1">
                <a:lumMod val="75000"/>
              </a:schemeClr>
            </a:solidFill>
          </a:endParaRPr>
        </a:p>
      </dsp:txBody>
      <dsp:txXfrm>
        <a:off x="2780953" y="30421"/>
        <a:ext cx="2612836" cy="977809"/>
      </dsp:txXfrm>
    </dsp:sp>
    <dsp:sp modelId="{CBEC65E8-103E-43F6-920E-1F4E5107EC87}">
      <dsp:nvSpPr>
        <dsp:cNvPr id="0" name=""/>
        <dsp:cNvSpPr/>
      </dsp:nvSpPr>
      <dsp:spPr>
        <a:xfrm rot="2485314">
          <a:off x="3090812" y="2191760"/>
          <a:ext cx="1132847" cy="43588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2777563" y="2340177"/>
          <a:ext cx="2704466" cy="972931"/>
        </a:xfrm>
        <a:prstGeom prst="roundRect">
          <a:avLst>
            <a:gd name="adj" fmla="val 10000"/>
          </a:avLst>
        </a:prstGeom>
        <a:solidFill>
          <a:schemeClr val="lt1"/>
        </a:solidFill>
        <a:ln w="12700" cap="flat" cmpd="sng" algn="ctr">
          <a:solidFill>
            <a:schemeClr val="bg2">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Brak pewności co do realizacji zewnętrznych inwestycji drogowych: drogi ekspresowej S-3 na odcinku Legnica-Lubawka, ograniczenia węzłów drogowych na A4 w związku z dostosowaniem A-4 do autostrady płatnej. Od ich realizacji zależeć będzie przekierowanie części ruchu na drogę krajową nr 94 i miasto.</a:t>
          </a:r>
          <a:endParaRPr lang="pl-PL" sz="800" kern="1200">
            <a:solidFill>
              <a:schemeClr val="bg2">
                <a:lumMod val="25000"/>
              </a:schemeClr>
            </a:solidFill>
          </a:endParaRPr>
        </a:p>
      </dsp:txBody>
      <dsp:txXfrm>
        <a:off x="2806059" y="2368673"/>
        <a:ext cx="2647474" cy="91593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2" y="1681682"/>
          <a:ext cx="5486394" cy="764957"/>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miastem sprzyjającym rodzinie: bezpiecznym, zapewniającym powszechny dostęp do rozbudowanej infrastruktury społecznej i wysokospecjalistycznych usług zdrowia</a:t>
          </a:r>
          <a:endParaRPr lang="pl-PL" sz="1200" kern="1200">
            <a:solidFill>
              <a:schemeClr val="accent1">
                <a:lumMod val="50000"/>
              </a:schemeClr>
            </a:solidFill>
          </a:endParaRPr>
        </a:p>
      </dsp:txBody>
      <dsp:txXfrm>
        <a:off x="37344" y="1719024"/>
        <a:ext cx="5411710" cy="690273"/>
      </dsp:txXfrm>
    </dsp:sp>
    <dsp:sp modelId="{8392C9FF-A8EA-439E-A648-53E7E32E0AA6}">
      <dsp:nvSpPr>
        <dsp:cNvPr id="0" name=""/>
        <dsp:cNvSpPr/>
      </dsp:nvSpPr>
      <dsp:spPr>
        <a:xfrm rot="8544494">
          <a:off x="1145927" y="2629976"/>
          <a:ext cx="1176282"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8AB41D-24DC-4091-AEFF-E52AEEF470CC}">
      <dsp:nvSpPr>
        <dsp:cNvPr id="0" name=""/>
        <dsp:cNvSpPr/>
      </dsp:nvSpPr>
      <dsp:spPr>
        <a:xfrm>
          <a:off x="-9" y="2772155"/>
          <a:ext cx="2536096" cy="855389"/>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rgbClr val="FF0000"/>
              </a:solidFill>
            </a:rPr>
            <a:t>Słabe strony:</a:t>
          </a:r>
        </a:p>
        <a:p>
          <a:pPr marL="57150" lvl="1" indent="-57150" algn="l" defTabSz="355600">
            <a:lnSpc>
              <a:spcPct val="90000"/>
            </a:lnSpc>
            <a:spcBef>
              <a:spcPct val="0"/>
            </a:spcBef>
            <a:spcAft>
              <a:spcPct val="15000"/>
            </a:spcAft>
            <a:buChar char="••"/>
          </a:pPr>
          <a:r>
            <a:rPr lang="pl-PL" sz="800" b="0" i="0" u="none" kern="1200"/>
            <a:t>Słabe połączenia komunikacji publicznej z sąsiednimi obszarami i okalającymi gminami. Oparcie komunikacji na funkcjonowaniu prywatnych busów</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Utrzymujące się wysokie wskaźniki przestępczości</a:t>
          </a:r>
          <a:endParaRPr lang="pl-PL" sz="800" kern="1200">
            <a:solidFill>
              <a:srgbClr val="FF0000"/>
            </a:solidFill>
          </a:endParaRPr>
        </a:p>
        <a:p>
          <a:pPr marL="57150" lvl="1" indent="-57150" algn="l" defTabSz="355600">
            <a:lnSpc>
              <a:spcPct val="90000"/>
            </a:lnSpc>
            <a:spcBef>
              <a:spcPct val="0"/>
            </a:spcBef>
            <a:spcAft>
              <a:spcPct val="15000"/>
            </a:spcAft>
            <a:buChar char="••"/>
          </a:pPr>
          <a:r>
            <a:rPr lang="pl-PL" sz="800" b="0" i="0" u="none" kern="1200"/>
            <a:t>Relatywnie niskie średnie dochody mieszkańców</a:t>
          </a:r>
          <a:endParaRPr lang="pl-PL" sz="800" kern="1200">
            <a:solidFill>
              <a:srgbClr val="FF0000"/>
            </a:solidFill>
          </a:endParaRPr>
        </a:p>
      </dsp:txBody>
      <dsp:txXfrm>
        <a:off x="25044" y="2797208"/>
        <a:ext cx="2485990" cy="805283"/>
      </dsp:txXfrm>
    </dsp:sp>
    <dsp:sp modelId="{4079F557-B870-4692-B361-17B891DAF6D5}">
      <dsp:nvSpPr>
        <dsp:cNvPr id="0" name=""/>
        <dsp:cNvSpPr/>
      </dsp:nvSpPr>
      <dsp:spPr>
        <a:xfrm rot="13371776">
          <a:off x="1084293" y="952201"/>
          <a:ext cx="1376392"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613A9-F5C4-4D27-AD94-D5DF52CC0829}">
      <dsp:nvSpPr>
        <dsp:cNvPr id="0" name=""/>
        <dsp:cNvSpPr/>
      </dsp:nvSpPr>
      <dsp:spPr>
        <a:xfrm>
          <a:off x="5" y="0"/>
          <a:ext cx="2536096" cy="1390295"/>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3">
                  <a:lumMod val="75000"/>
                </a:schemeClr>
              </a:solidFill>
            </a:rPr>
            <a:t>Mocne strony:</a:t>
          </a:r>
        </a:p>
        <a:p>
          <a:pPr marL="57150" lvl="1" indent="-57150" algn="l" defTabSz="355600">
            <a:lnSpc>
              <a:spcPct val="90000"/>
            </a:lnSpc>
            <a:spcBef>
              <a:spcPct val="0"/>
            </a:spcBef>
            <a:spcAft>
              <a:spcPct val="15000"/>
            </a:spcAft>
            <a:buChar char="••"/>
          </a:pPr>
          <a:r>
            <a:rPr lang="pl-PL" sz="800" b="0" i="0" u="none" kern="1200"/>
            <a:t>Korzystny rynek pracy. Relatywnie niski poziom bezrobocia, wzrastająca liczba zarejestrowanych podmiotów gospodarczych</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Dobre wyposażenie placówek opieki zdrowotnej, funkcjonowanie Wojewódzkiego Szpitala Specjalistycznego</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Dobry dostęp do placówek wychowania przedszkolnego i edukacji podstawowej i gimnazjalnej</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r>
            <a:rPr lang="pl-PL" sz="800" b="0" i="0" u="none" kern="1200"/>
            <a:t>Dostęp do usług administracji ponadlokalnej</a:t>
          </a:r>
          <a:endParaRPr lang="pl-PL" sz="800" kern="1200">
            <a:solidFill>
              <a:schemeClr val="accent3">
                <a:lumMod val="75000"/>
              </a:schemeClr>
            </a:solidFill>
          </a:endParaRPr>
        </a:p>
        <a:p>
          <a:pPr marL="57150" lvl="1" indent="-57150" algn="l" defTabSz="355600">
            <a:lnSpc>
              <a:spcPct val="90000"/>
            </a:lnSpc>
            <a:spcBef>
              <a:spcPct val="0"/>
            </a:spcBef>
            <a:spcAft>
              <a:spcPct val="15000"/>
            </a:spcAft>
            <a:buChar char="••"/>
          </a:pPr>
          <a:endParaRPr lang="pl-PL" sz="800" kern="1200">
            <a:solidFill>
              <a:schemeClr val="accent3">
                <a:lumMod val="75000"/>
              </a:schemeClr>
            </a:solidFill>
          </a:endParaRPr>
        </a:p>
      </dsp:txBody>
      <dsp:txXfrm>
        <a:off x="40725" y="40720"/>
        <a:ext cx="2454656" cy="1308855"/>
      </dsp:txXfrm>
    </dsp:sp>
    <dsp:sp modelId="{23B2D597-4BCD-4CBB-8167-C9AF0A7E6FF6}">
      <dsp:nvSpPr>
        <dsp:cNvPr id="0" name=""/>
        <dsp:cNvSpPr/>
      </dsp:nvSpPr>
      <dsp:spPr>
        <a:xfrm rot="19199686">
          <a:off x="3210024" y="1021733"/>
          <a:ext cx="1047483"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950303" y="316191"/>
          <a:ext cx="2536096" cy="101988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Podnoszący się wskaźnik wykształcenia społeczeństwa</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Rozwijająca się moda na uprawianie sportu, rekreacji i zdrowy tryb życia w społeczeństwie</a:t>
          </a:r>
          <a:endParaRPr lang="pl-PL" sz="800" kern="1200">
            <a:solidFill>
              <a:schemeClr val="accent1">
                <a:lumMod val="75000"/>
              </a:schemeClr>
            </a:solidFill>
          </a:endParaRPr>
        </a:p>
      </dsp:txBody>
      <dsp:txXfrm>
        <a:off x="2980174" y="346062"/>
        <a:ext cx="2476354" cy="960139"/>
      </dsp:txXfrm>
    </dsp:sp>
    <dsp:sp modelId="{CBEC65E8-103E-43F6-920E-1F4E5107EC87}">
      <dsp:nvSpPr>
        <dsp:cNvPr id="0" name=""/>
        <dsp:cNvSpPr/>
      </dsp:nvSpPr>
      <dsp:spPr>
        <a:xfrm rot="2282666">
          <a:off x="3152353" y="2639912"/>
          <a:ext cx="1192694" cy="42217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2950296" y="2750852"/>
          <a:ext cx="2536096" cy="935322"/>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Migracje mieszkańców Legnicy do ościennych gmin i Wrocławia, w tym wysoko wykwalifikowanych specjalistów</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b="0" i="0" u="none" kern="1200"/>
            <a:t>Negatywne tendencje demograficzne. Wzrost obciążenia demograficznego ludności w wieku produkcyjnym</a:t>
          </a:r>
          <a:endParaRPr lang="pl-PL" sz="800" kern="1200">
            <a:solidFill>
              <a:schemeClr val="bg2">
                <a:lumMod val="25000"/>
              </a:schemeClr>
            </a:solidFill>
          </a:endParaRPr>
        </a:p>
      </dsp:txBody>
      <dsp:txXfrm>
        <a:off x="2977691" y="2778247"/>
        <a:ext cx="2481306" cy="88053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26D40-CEB8-480B-9958-6903BBB4B7DE}">
      <dsp:nvSpPr>
        <dsp:cNvPr id="0" name=""/>
        <dsp:cNvSpPr/>
      </dsp:nvSpPr>
      <dsp:spPr>
        <a:xfrm>
          <a:off x="0" y="2729763"/>
          <a:ext cx="5343799" cy="609853"/>
        </a:xfrm>
        <a:prstGeom prst="round2DiagRect">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chemeClr val="accent1">
                  <a:lumMod val="50000"/>
                </a:schemeClr>
              </a:solidFill>
            </a:rPr>
            <a:t>Legnica miastem o wysokim dostępie do Internetu szerokopasmowego, rozwijającym e-usługi, w tym usługi publiczne, którego mieszkańcy powszechnie i umiejętnie wykorzystują technologie teleinformatyczne</a:t>
          </a:r>
          <a:endParaRPr lang="pl-PL" sz="1200" kern="1200">
            <a:solidFill>
              <a:schemeClr val="accent1">
                <a:lumMod val="50000"/>
              </a:schemeClr>
            </a:solidFill>
          </a:endParaRPr>
        </a:p>
      </dsp:txBody>
      <dsp:txXfrm>
        <a:off x="29771" y="2759534"/>
        <a:ext cx="5284257" cy="550311"/>
      </dsp:txXfrm>
    </dsp:sp>
    <dsp:sp modelId="{23B2D597-4BCD-4CBB-8167-C9AF0A7E6FF6}">
      <dsp:nvSpPr>
        <dsp:cNvPr id="0" name=""/>
        <dsp:cNvSpPr/>
      </dsp:nvSpPr>
      <dsp:spPr>
        <a:xfrm rot="13445173">
          <a:off x="1265643" y="1911268"/>
          <a:ext cx="1482197" cy="4165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40515-5973-4B60-9470-DCC494E77099}">
      <dsp:nvSpPr>
        <dsp:cNvPr id="0" name=""/>
        <dsp:cNvSpPr/>
      </dsp:nvSpPr>
      <dsp:spPr>
        <a:xfrm>
          <a:off x="-254014" y="0"/>
          <a:ext cx="3162113" cy="2247193"/>
        </a:xfrm>
        <a:prstGeom prst="roundRect">
          <a:avLst>
            <a:gd name="adj" fmla="val 1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3">
                  <a:lumMod val="75000"/>
                </a:schemeClr>
              </a:solidFill>
            </a:rPr>
            <a:t>Mocne strony:</a:t>
          </a:r>
          <a:endParaRPr lang="pl-PL" sz="10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kern="1200"/>
            <a:t>Wielu operatorów oferujących komercyjne usługi dostępu do Internetu bezprzewodowego i przewodowego </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kern="1200"/>
            <a:t>Szeroki dostęp do usług telekomuni8kacyjnych  - miasto nie jest wykluczone cyfrowo pod względem dostępnej infrastruktury teletechnicznej operatorów komercyjnych</a:t>
          </a:r>
        </a:p>
        <a:p>
          <a:pPr marL="57150" lvl="1" indent="-57150" algn="l" defTabSz="355600">
            <a:lnSpc>
              <a:spcPct val="90000"/>
            </a:lnSpc>
            <a:spcBef>
              <a:spcPct val="0"/>
            </a:spcBef>
            <a:spcAft>
              <a:spcPct val="15000"/>
            </a:spcAft>
            <a:buChar char="••"/>
          </a:pPr>
          <a:r>
            <a:rPr lang="pl-PL" sz="800" kern="1200"/>
            <a:t>Świadczenie przez jednostki miejskie ( Urząd Miasta, ZUS, US, NFZ, potwierdzanie profilu zaufanego ePUAP itd) e-usług </a:t>
          </a:r>
        </a:p>
        <a:p>
          <a:pPr marL="57150" lvl="1" indent="-57150" algn="l" defTabSz="355600">
            <a:lnSpc>
              <a:spcPct val="90000"/>
            </a:lnSpc>
            <a:spcBef>
              <a:spcPct val="0"/>
            </a:spcBef>
            <a:spcAft>
              <a:spcPct val="15000"/>
            </a:spcAft>
            <a:buChar char="••"/>
          </a:pPr>
          <a:r>
            <a:rPr lang="pl-PL" sz="800" kern="1200"/>
            <a:t>Budowa własnej infrastruktury teletechnicznej (LEGMAN) w ramach realizacji innych projektów realizowanych w obrębie miasta </a:t>
          </a:r>
        </a:p>
        <a:p>
          <a:pPr marL="57150" lvl="1" indent="-57150" algn="l" defTabSz="355600">
            <a:lnSpc>
              <a:spcPct val="90000"/>
            </a:lnSpc>
            <a:spcBef>
              <a:spcPct val="0"/>
            </a:spcBef>
            <a:spcAft>
              <a:spcPct val="15000"/>
            </a:spcAft>
            <a:buChar char="••"/>
          </a:pPr>
          <a:r>
            <a:rPr lang="pl-PL" sz="800" kern="1200"/>
            <a:t>Dostęp do bezpłatnego Internetu bezprzewodowego na terenie miejskich placówek oświatowych, w obrębie centrum  miasta oraz w przestrzeni publicznej obiektów handlowych i gastronomicznych </a:t>
          </a:r>
        </a:p>
        <a:p>
          <a:pPr marL="57150" lvl="1" indent="-57150" algn="l" defTabSz="355600">
            <a:lnSpc>
              <a:spcPct val="90000"/>
            </a:lnSpc>
            <a:spcBef>
              <a:spcPct val="0"/>
            </a:spcBef>
            <a:spcAft>
              <a:spcPct val="15000"/>
            </a:spcAft>
            <a:buChar char="••"/>
          </a:pPr>
          <a:r>
            <a:rPr lang="pl-PL" sz="800" kern="1200"/>
            <a:t>Uruchomienie e- usługi dedykowanych dla osób niepełnosprawnych</a:t>
          </a:r>
        </a:p>
        <a:p>
          <a:pPr marL="57150" lvl="1" indent="-57150" algn="l" defTabSz="355600">
            <a:lnSpc>
              <a:spcPct val="90000"/>
            </a:lnSpc>
            <a:spcBef>
              <a:spcPct val="0"/>
            </a:spcBef>
            <a:spcAft>
              <a:spcPct val="15000"/>
            </a:spcAft>
            <a:buChar char="••"/>
          </a:pPr>
          <a:r>
            <a:rPr lang="pl-PL" sz="800" kern="1200"/>
            <a:t>Edukacja na wszystkich szczeblach kształcenia w kierunkach związanych z tworzeniem i wykorzystaniem technologii IT</a:t>
          </a:r>
        </a:p>
        <a:p>
          <a:pPr marL="57150" lvl="1" indent="-57150" algn="l" defTabSz="355600">
            <a:lnSpc>
              <a:spcPct val="90000"/>
            </a:lnSpc>
            <a:spcBef>
              <a:spcPct val="0"/>
            </a:spcBef>
            <a:spcAft>
              <a:spcPct val="15000"/>
            </a:spcAft>
            <a:buChar char="••"/>
          </a:pPr>
          <a:r>
            <a:rPr lang="pl-PL" sz="800" kern="1200"/>
            <a:t>Organizacja szkoleń dla seniorów oraz osób niepełnosprawnych</a:t>
          </a:r>
        </a:p>
      </dsp:txBody>
      <dsp:txXfrm>
        <a:off x="-188196" y="65818"/>
        <a:ext cx="3030477" cy="2115557"/>
      </dsp:txXfrm>
    </dsp:sp>
    <dsp:sp modelId="{23762DEE-6CE9-4EB4-980F-2228379FEF9D}">
      <dsp:nvSpPr>
        <dsp:cNvPr id="0" name=""/>
        <dsp:cNvSpPr/>
      </dsp:nvSpPr>
      <dsp:spPr>
        <a:xfrm rot="18650487">
          <a:off x="2679599" y="1712783"/>
          <a:ext cx="1886697" cy="443433"/>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4C0AF9-0E89-4621-A721-2FB9AA31FBD5}">
      <dsp:nvSpPr>
        <dsp:cNvPr id="0" name=""/>
        <dsp:cNvSpPr/>
      </dsp:nvSpPr>
      <dsp:spPr>
        <a:xfrm>
          <a:off x="3073030" y="219065"/>
          <a:ext cx="2333674" cy="200354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accent1">
                  <a:lumMod val="75000"/>
                </a:schemeClr>
              </a:solidFill>
            </a:rPr>
            <a:t>Szanse:</a:t>
          </a:r>
        </a:p>
        <a:p>
          <a:pPr marL="57150" lvl="1" indent="-57150" algn="l" defTabSz="355600">
            <a:lnSpc>
              <a:spcPct val="90000"/>
            </a:lnSpc>
            <a:spcBef>
              <a:spcPct val="0"/>
            </a:spcBef>
            <a:spcAft>
              <a:spcPct val="15000"/>
            </a:spcAft>
            <a:buChar char="••"/>
          </a:pPr>
          <a:r>
            <a:rPr lang="pl-PL" sz="800" b="0" i="0" u="none" kern="1200"/>
            <a:t>Umiejscowienie Legnicy w ważnych dokumentach strategicznych na szczeblu centralnym i wojewódzkim: Legnica miejskim obszarem funkcjonalnym o znaczeniu regionalnym, położenie w pasmach rozwojowych: Autostradzie Nowej Gospodarki, Legnicko-Głogowskim Obszarze Przemysłowym,Obszarze Rolniczym</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Wykorzystanie dla rozwoju miasta kolejnego okresu budżetowego UE</a:t>
          </a:r>
          <a:endParaRPr lang="pl-PL" sz="800" kern="1200">
            <a:solidFill>
              <a:schemeClr val="accent1">
                <a:lumMod val="75000"/>
              </a:schemeClr>
            </a:solidFill>
          </a:endParaRPr>
        </a:p>
        <a:p>
          <a:pPr marL="57150" lvl="1" indent="-57150" algn="l" defTabSz="355600">
            <a:lnSpc>
              <a:spcPct val="90000"/>
            </a:lnSpc>
            <a:spcBef>
              <a:spcPct val="0"/>
            </a:spcBef>
            <a:spcAft>
              <a:spcPct val="15000"/>
            </a:spcAft>
            <a:buChar char="••"/>
          </a:pPr>
          <a:r>
            <a:rPr lang="pl-PL" sz="800" b="0" i="0" u="none" kern="1200"/>
            <a:t>Dynamicznie rozwijający się rynek usług świadczonych i pobieranych za pomocą usług teleinformatycznych umożliwiający mniejszym ośrodkom miejskim funkcjonowanie na rynku globalnym</a:t>
          </a:r>
          <a:endParaRPr lang="pl-PL" sz="800" kern="1200">
            <a:solidFill>
              <a:schemeClr val="accent1">
                <a:lumMod val="75000"/>
              </a:schemeClr>
            </a:solidFill>
          </a:endParaRPr>
        </a:p>
      </dsp:txBody>
      <dsp:txXfrm>
        <a:off x="3131712" y="277747"/>
        <a:ext cx="2216310" cy="1886177"/>
      </dsp:txXfrm>
    </dsp:sp>
    <dsp:sp modelId="{CBEC65E8-103E-43F6-920E-1F4E5107EC87}">
      <dsp:nvSpPr>
        <dsp:cNvPr id="0" name=""/>
        <dsp:cNvSpPr/>
      </dsp:nvSpPr>
      <dsp:spPr>
        <a:xfrm rot="8310066">
          <a:off x="1311182" y="3487997"/>
          <a:ext cx="885846" cy="4165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5A7DC-BA1D-47B6-986E-36DB063A45C7}">
      <dsp:nvSpPr>
        <dsp:cNvPr id="0" name=""/>
        <dsp:cNvSpPr/>
      </dsp:nvSpPr>
      <dsp:spPr>
        <a:xfrm>
          <a:off x="0" y="3582481"/>
          <a:ext cx="2900797" cy="1065719"/>
        </a:xfrm>
        <a:prstGeom prst="roundRect">
          <a:avLst>
            <a:gd name="adj" fmla="val 10000"/>
          </a:avLst>
        </a:prstGeom>
        <a:solidFill>
          <a:schemeClr val="lt1"/>
        </a:solidFill>
        <a:ln w="12700" cap="flat" cmpd="sng" algn="ctr">
          <a:solidFill>
            <a:schemeClr val="accent2">
              <a:lumMod val="75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rgbClr val="FF0000"/>
              </a:solidFill>
            </a:rPr>
            <a:t>Słabe strony:</a:t>
          </a:r>
        </a:p>
        <a:p>
          <a:pPr marL="57150" lvl="1" indent="-57150" algn="l" defTabSz="355600">
            <a:lnSpc>
              <a:spcPct val="90000"/>
            </a:lnSpc>
            <a:spcBef>
              <a:spcPct val="0"/>
            </a:spcBef>
            <a:spcAft>
              <a:spcPct val="15000"/>
            </a:spcAft>
            <a:buChar char="••"/>
          </a:pPr>
          <a:r>
            <a:rPr lang="pl-PL" sz="800" kern="1200"/>
            <a:t>Brak dedykowanej infrastruktury teletechnicznej na potrzeby usług z obszaru "inteligentne miasto"  </a:t>
          </a:r>
          <a:endParaRPr lang="pl-PL" sz="800" kern="1200">
            <a:solidFill>
              <a:schemeClr val="bg2">
                <a:lumMod val="25000"/>
              </a:schemeClr>
            </a:solidFill>
          </a:endParaRPr>
        </a:p>
        <a:p>
          <a:pPr marL="57150" lvl="1" indent="-57150" algn="l" defTabSz="355600">
            <a:lnSpc>
              <a:spcPct val="90000"/>
            </a:lnSpc>
            <a:spcBef>
              <a:spcPct val="0"/>
            </a:spcBef>
            <a:spcAft>
              <a:spcPct val="15000"/>
            </a:spcAft>
            <a:buChar char="••"/>
          </a:pPr>
          <a:r>
            <a:rPr lang="pl-PL" sz="800" kern="1200"/>
            <a:t>Brak spójnego ogólnomiejskiego programu rozwoju teleinformatyki i e-usług.</a:t>
          </a:r>
        </a:p>
        <a:p>
          <a:pPr marL="57150" lvl="1" indent="-57150" algn="l" defTabSz="355600">
            <a:lnSpc>
              <a:spcPct val="90000"/>
            </a:lnSpc>
            <a:spcBef>
              <a:spcPct val="0"/>
            </a:spcBef>
            <a:spcAft>
              <a:spcPct val="15000"/>
            </a:spcAft>
            <a:buChar char="••"/>
          </a:pPr>
          <a:r>
            <a:rPr lang="pl-PL" sz="800" kern="1200"/>
            <a:t>Wciąż jeszcze małe zainteresowanie wśród mieszkańców miasta wykorzystywania usług świadczonych elektronicznie.</a:t>
          </a:r>
        </a:p>
        <a:p>
          <a:pPr marL="57150" lvl="1" indent="-57150" algn="l" defTabSz="444500">
            <a:lnSpc>
              <a:spcPct val="90000"/>
            </a:lnSpc>
            <a:spcBef>
              <a:spcPct val="0"/>
            </a:spcBef>
            <a:spcAft>
              <a:spcPct val="15000"/>
            </a:spcAft>
            <a:buChar char="••"/>
          </a:pPr>
          <a:endParaRPr lang="pl-PL" sz="1000" kern="1200">
            <a:solidFill>
              <a:schemeClr val="bg2">
                <a:lumMod val="25000"/>
              </a:schemeClr>
            </a:solidFill>
          </a:endParaRPr>
        </a:p>
      </dsp:txBody>
      <dsp:txXfrm>
        <a:off x="31214" y="3613695"/>
        <a:ext cx="2838369" cy="1003291"/>
      </dsp:txXfrm>
    </dsp:sp>
    <dsp:sp modelId="{E750B10D-3CE0-4C02-B96C-91B619D224D4}">
      <dsp:nvSpPr>
        <dsp:cNvPr id="0" name=""/>
        <dsp:cNvSpPr/>
      </dsp:nvSpPr>
      <dsp:spPr>
        <a:xfrm rot="1872801">
          <a:off x="3137969" y="3476950"/>
          <a:ext cx="1259423" cy="443433"/>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F5BD4A-B829-4B5F-A719-F54C308D9A81}">
      <dsp:nvSpPr>
        <dsp:cNvPr id="0" name=""/>
        <dsp:cNvSpPr/>
      </dsp:nvSpPr>
      <dsp:spPr>
        <a:xfrm>
          <a:off x="3143051" y="3554203"/>
          <a:ext cx="2326372" cy="941593"/>
        </a:xfrm>
        <a:prstGeom prst="roundRect">
          <a:avLst>
            <a:gd name="adj" fmla="val 10000"/>
          </a:avLst>
        </a:prstGeom>
        <a:solidFill>
          <a:schemeClr val="lt1"/>
        </a:solidFill>
        <a:ln w="12700" cap="flat" cmpd="sng" algn="ctr">
          <a:solidFill>
            <a:schemeClr val="bg1">
              <a:lumMod val="5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pl-PL" sz="1000" kern="1200">
              <a:solidFill>
                <a:schemeClr val="bg2">
                  <a:lumMod val="25000"/>
                </a:schemeClr>
              </a:solidFill>
            </a:rPr>
            <a:t>Zagrożenia:</a:t>
          </a:r>
        </a:p>
        <a:p>
          <a:pPr marL="57150" lvl="1" indent="-57150" algn="l" defTabSz="355600">
            <a:lnSpc>
              <a:spcPct val="90000"/>
            </a:lnSpc>
            <a:spcBef>
              <a:spcPct val="0"/>
            </a:spcBef>
            <a:spcAft>
              <a:spcPct val="15000"/>
            </a:spcAft>
            <a:buChar char="••"/>
          </a:pPr>
          <a:r>
            <a:rPr lang="pl-PL" sz="800" b="0" i="0" u="none" kern="1200"/>
            <a:t>Brak wypracowanych praktyk w zakresie transferu technologii i współpracy pomiędzy sektorem naukowo-badawczym, a przedsiębiorstwami powodujący utrzymywanie się niskiego poziomu innowacyjności w kraju. </a:t>
          </a:r>
          <a:endParaRPr lang="pl-PL" sz="800" kern="1200">
            <a:solidFill>
              <a:schemeClr val="bg2">
                <a:lumMod val="25000"/>
              </a:schemeClr>
            </a:solidFill>
          </a:endParaRPr>
        </a:p>
      </dsp:txBody>
      <dsp:txXfrm>
        <a:off x="3170629" y="3581781"/>
        <a:ext cx="2271216" cy="8864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898368-FFF3-4C6C-A987-6F5072EA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52143</Words>
  <Characters>312860</Characters>
  <Application>Microsoft Office Word</Application>
  <DocSecurity>0</DocSecurity>
  <Lines>2607</Lines>
  <Paragraphs>728</Paragraphs>
  <ScaleCrop>false</ScaleCrop>
  <HeadingPairs>
    <vt:vector size="2" baseType="variant">
      <vt:variant>
        <vt:lpstr>Tytuł</vt:lpstr>
      </vt:variant>
      <vt:variant>
        <vt:i4>1</vt:i4>
      </vt:variant>
    </vt:vector>
  </HeadingPairs>
  <TitlesOfParts>
    <vt:vector size="1" baseType="lpstr">
      <vt:lpstr>Strategia rozwoju Miasta Legnicy  2015-2020 PLUS</vt:lpstr>
    </vt:vector>
  </TitlesOfParts>
  <Company>Hewlett-Packard</Company>
  <LinksUpToDate>false</LinksUpToDate>
  <CharactersWithSpaces>364275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Miasta Legnicy  2015-2020 PLUS</dc:title>
  <dc:subject>Projekt</dc:subject>
  <dc:creator>LideR Projekt Sp. z o.o.</dc:creator>
  <cp:lastModifiedBy>Jolanta Szkorupińska</cp:lastModifiedBy>
  <cp:revision>3</cp:revision>
  <cp:lastPrinted>2018-01-17T09:09:00Z</cp:lastPrinted>
  <dcterms:created xsi:type="dcterms:W3CDTF">2018-01-17T09:08:00Z</dcterms:created>
  <dcterms:modified xsi:type="dcterms:W3CDTF">2018-01-17T09:10:00Z</dcterms:modified>
</cp:coreProperties>
</file>