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firstLine="4820" w:left="844" w:right="0"/>
        <w:contextualSpacing w:val="false"/>
      </w:pPr>
      <w:r>
        <w:rPr>
          <w:sz w:val="22"/>
          <w:szCs w:val="22"/>
        </w:rPr>
        <w:t>Legnica, dnia 30 stycznia 2015 r.</w:t>
      </w:r>
    </w:p>
    <w:p>
      <w:pPr>
        <w:pStyle w:val="style0"/>
        <w:spacing w:after="0" w:before="0"/>
        <w:contextualSpacing w:val="false"/>
        <w:jc w:val="both"/>
      </w:pPr>
      <w:r>
        <w:rPr>
          <w:sz w:val="22"/>
          <w:szCs w:val="22"/>
        </w:rPr>
        <w:t>OK.1711.11.2014.XII</w:t>
      </w:r>
    </w:p>
    <w:p>
      <w:pPr>
        <w:pStyle w:val="style0"/>
        <w:spacing w:after="0" w:before="0"/>
        <w:ind w:firstLine="708" w:left="4956" w:right="-286"/>
        <w:contextualSpacing w:val="false"/>
        <w:jc w:val="both"/>
      </w:pPr>
      <w:r>
        <w:rPr>
          <w:b/>
          <w:i/>
          <w:sz w:val="22"/>
          <w:szCs w:val="22"/>
        </w:rPr>
        <w:t>Pan</w:t>
      </w:r>
    </w:p>
    <w:p>
      <w:pPr>
        <w:pStyle w:val="style0"/>
        <w:spacing w:after="0" w:before="0"/>
        <w:ind w:firstLine="708" w:left="4956" w:right="-286"/>
        <w:contextualSpacing w:val="false"/>
        <w:jc w:val="both"/>
      </w:pPr>
      <w:r>
        <w:rPr>
          <w:b/>
          <w:i/>
          <w:sz w:val="22"/>
          <w:szCs w:val="22"/>
        </w:rPr>
        <w:t>Mirosław Giedrojć</w:t>
      </w:r>
    </w:p>
    <w:p>
      <w:pPr>
        <w:pStyle w:val="style0"/>
        <w:spacing w:after="0" w:before="0"/>
        <w:ind w:firstLine="708" w:left="4956" w:right="-286"/>
        <w:contextualSpacing w:val="false"/>
        <w:jc w:val="both"/>
      </w:pPr>
      <w:r>
        <w:rPr>
          <w:b/>
          <w:i/>
          <w:sz w:val="22"/>
          <w:szCs w:val="22"/>
        </w:rPr>
        <w:t>Komendant</w:t>
      </w:r>
    </w:p>
    <w:p>
      <w:pPr>
        <w:pStyle w:val="style0"/>
        <w:spacing w:after="0" w:before="0"/>
        <w:ind w:firstLine="708" w:left="4956" w:right="-286"/>
        <w:contextualSpacing w:val="false"/>
        <w:jc w:val="both"/>
      </w:pPr>
      <w:r>
        <w:rPr>
          <w:b/>
          <w:i/>
          <w:sz w:val="22"/>
          <w:szCs w:val="22"/>
        </w:rPr>
        <w:t>Straży Miejskiej w Legnicy</w:t>
      </w:r>
    </w:p>
    <w:p>
      <w:pPr>
        <w:pStyle w:val="style24"/>
        <w:spacing w:after="0" w:before="0"/>
        <w:contextualSpacing w:val="false"/>
      </w:pPr>
      <w:r>
        <w:rPr/>
      </w:r>
    </w:p>
    <w:p>
      <w:pPr>
        <w:pStyle w:val="style0"/>
        <w:tabs>
          <w:tab w:leader="none" w:pos="0" w:val="left"/>
        </w:tabs>
        <w:spacing w:after="0" w:before="0"/>
        <w:ind w:firstLine="709" w:left="0" w:right="0"/>
        <w:contextualSpacing w:val="false"/>
        <w:jc w:val="both"/>
      </w:pPr>
      <w:r>
        <w:rPr>
          <w:sz w:val="22"/>
          <w:szCs w:val="22"/>
        </w:rPr>
        <w:t xml:space="preserve">Informuję, że w dniach 31 grudnia 2014 r. oraz od 7 do 13 stycznia 2015 r. w Straży Miejskiej </w:t>
      </w:r>
      <w:r>
        <w:rPr>
          <w:bCs/>
          <w:iCs/>
          <w:sz w:val="22"/>
          <w:szCs w:val="22"/>
        </w:rPr>
        <w:t xml:space="preserve">w Legnicy, </w:t>
      </w:r>
      <w:r>
        <w:rPr>
          <w:sz w:val="22"/>
          <w:szCs w:val="22"/>
        </w:rPr>
        <w:t xml:space="preserve">została przeprowadzona kontrola w zakresie </w:t>
      </w:r>
      <w:r>
        <w:rPr>
          <w:i/>
          <w:sz w:val="22"/>
          <w:szCs w:val="22"/>
        </w:rPr>
        <w:t>prawidłowości ponoszenia wydatków rzeczowych w 2013 r</w:t>
      </w:r>
      <w:r>
        <w:rPr>
          <w:sz w:val="22"/>
          <w:szCs w:val="22"/>
        </w:rPr>
        <w:t>. Ustalenia kontroli zostały opisane w protokole kontroli podpisanym w dniu 20 stycznia 2015 r.</w:t>
      </w:r>
    </w:p>
    <w:p>
      <w:pPr>
        <w:pStyle w:val="style0"/>
        <w:spacing w:after="0" w:before="0"/>
        <w:ind w:firstLine="708" w:left="0" w:right="0"/>
        <w:contextualSpacing w:val="false"/>
        <w:jc w:val="both"/>
      </w:pPr>
      <w:r>
        <w:rPr>
          <w:sz w:val="22"/>
          <w:szCs w:val="22"/>
        </w:rPr>
        <w:t>Szczegółową kontrolą objęto wydatki rzeczowe za 2013 r. na podstawie dowodów źródłowych oraz ewidencji księgowej wydatków w dziale 754 Bezpieczeństwo publiczne i ochrona przeciwpożarowa, rozdziale 75416</w:t>
      </w:r>
      <w:r>
        <w:rPr>
          <w:rFonts w:ascii="NimbusRomNo9LEE-Regu" w:cs="NimbusRomNo9LEE-Regu" w:hAnsi="NimbusRomNo9LEE-Regu"/>
          <w:sz w:val="22"/>
          <w:szCs w:val="22"/>
        </w:rPr>
        <w:t xml:space="preserve"> Straż gminna (miejska)</w:t>
      </w:r>
      <w:r>
        <w:rPr>
          <w:sz w:val="22"/>
          <w:szCs w:val="22"/>
        </w:rPr>
        <w:t xml:space="preserve"> w </w:t>
      </w:r>
      <w:r>
        <w:rPr>
          <w:i/>
          <w:sz w:val="22"/>
          <w:szCs w:val="22"/>
        </w:rPr>
        <w:t>§ 4210 Zakup materiałów</w:t>
      </w:r>
      <w:r>
        <w:rPr>
          <w:sz w:val="22"/>
          <w:szCs w:val="22"/>
        </w:rPr>
        <w:t xml:space="preserve"> w kwocie 70 075,95 zł, w </w:t>
      </w:r>
      <w:r>
        <w:rPr>
          <w:i/>
          <w:sz w:val="22"/>
          <w:szCs w:val="22"/>
        </w:rPr>
        <w:t>§ 4270 Zakup usług remontowych</w:t>
      </w:r>
      <w:r>
        <w:rPr>
          <w:sz w:val="22"/>
          <w:szCs w:val="22"/>
        </w:rPr>
        <w:t xml:space="preserve"> w kwocie 56 323,13 zł, w </w:t>
      </w:r>
      <w:r>
        <w:rPr>
          <w:i/>
          <w:sz w:val="22"/>
          <w:szCs w:val="22"/>
        </w:rPr>
        <w:t>§ 4300 Zakup usług pozostałych</w:t>
      </w:r>
      <w:r>
        <w:rPr>
          <w:sz w:val="22"/>
          <w:szCs w:val="22"/>
        </w:rPr>
        <w:t xml:space="preserve"> w kwocie 47 188,80 zł oraz w </w:t>
      </w:r>
      <w:r>
        <w:rPr>
          <w:i/>
          <w:sz w:val="22"/>
          <w:szCs w:val="22"/>
        </w:rPr>
        <w:t>§ 6060 Wydatki na zakupy inwestycyjne jednostek budżetowych</w:t>
      </w:r>
      <w:r>
        <w:rPr>
          <w:sz w:val="22"/>
          <w:szCs w:val="22"/>
        </w:rPr>
        <w:t xml:space="preserve"> w kwocie 130 236,20 zł.</w:t>
      </w:r>
    </w:p>
    <w:p>
      <w:pPr>
        <w:pStyle w:val="style31"/>
        <w:spacing w:after="0" w:before="0"/>
        <w:ind w:firstLine="708" w:left="0" w:right="0"/>
        <w:contextualSpacing w:val="false"/>
      </w:pPr>
      <w:r>
        <w:rPr>
          <w:sz w:val="22"/>
          <w:szCs w:val="22"/>
        </w:rPr>
        <w:t xml:space="preserve">Wydatki objęte kontrolą były dokonywane zgodnie z zasadami gospodarowania środkami publicznymi określonymi art. 44 ustawy z dnia 27 sierpnia 2009 r. </w:t>
      </w:r>
      <w:r>
        <w:rPr>
          <w:i/>
          <w:sz w:val="22"/>
          <w:szCs w:val="22"/>
        </w:rPr>
        <w:t>o finansach publicznych</w:t>
      </w:r>
      <w:r>
        <w:rPr>
          <w:sz w:val="22"/>
          <w:szCs w:val="22"/>
        </w:rPr>
        <w:t xml:space="preserve">, tj. w wysokościach ustalonych planem finansowym jednostki oraz w wysokości i terminach wynikających z wcześniej zaciągniętych zobowiązań. Zamówień udzielano zgodnie z uregulowaniami wewnętrznymi przyjętymi w zakresie zamówień o wartości do 14 000 </w:t>
      </w:r>
      <w:r>
        <w:rPr>
          <w:i/>
          <w:sz w:val="22"/>
          <w:szCs w:val="22"/>
        </w:rPr>
        <w:t>euro</w:t>
      </w:r>
      <w:r>
        <w:rPr>
          <w:sz w:val="22"/>
          <w:szCs w:val="22"/>
        </w:rPr>
        <w:t xml:space="preserve">. W badanym okresie w jednostce nie wystąpiły zamówienia o wartości przekraczającej ww. kwotę. Wydatki zostały wykazane w sprawozdaniu </w:t>
      </w:r>
      <w:r>
        <w:rPr>
          <w:i/>
          <w:sz w:val="22"/>
          <w:szCs w:val="22"/>
        </w:rPr>
        <w:t xml:space="preserve">Rb-28S z wykonania planu wydatków budżetowych jednostki samorządu terytorialnego samorządowej jednostki budżetowej </w:t>
      </w:r>
      <w:r>
        <w:rPr>
          <w:sz w:val="22"/>
          <w:szCs w:val="22"/>
        </w:rPr>
        <w:t>w wysokości wynikającej z ewidencji księgowej.</w:t>
      </w:r>
    </w:p>
    <w:p>
      <w:pPr>
        <w:pStyle w:val="style24"/>
        <w:spacing w:after="0" w:before="0"/>
        <w:contextualSpacing w:val="false"/>
      </w:pPr>
      <w:r>
        <w:rPr/>
      </w:r>
    </w:p>
    <w:p>
      <w:pPr>
        <w:pStyle w:val="style24"/>
        <w:spacing w:after="0" w:before="0"/>
        <w:ind w:firstLine="708" w:left="0" w:right="0"/>
        <w:contextualSpacing w:val="false"/>
      </w:pPr>
      <w:r>
        <w:rPr>
          <w:sz w:val="22"/>
          <w:szCs w:val="22"/>
        </w:rPr>
        <w:t xml:space="preserve">Kontrola wykazała, że niezgodnie z klasyfikacją w rozporządzeniu Ministra Finansów z dnia 2 marca 2010 r. </w:t>
      </w:r>
      <w:r>
        <w:rPr>
          <w:i/>
          <w:sz w:val="22"/>
          <w:szCs w:val="22"/>
        </w:rPr>
        <w:t xml:space="preserve">w sprawie szczegółowej klasyfikacji dochodów, wydatków, przychodów rozchodów oraz środków pochodzących ze źródeł zagranicznych </w:t>
      </w:r>
      <w:r>
        <w:rPr>
          <w:bCs/>
          <w:sz w:val="22"/>
          <w:szCs w:val="22"/>
        </w:rPr>
        <w:t xml:space="preserve">zakwalifikowano nw. wydatki: </w:t>
      </w:r>
    </w:p>
    <w:p>
      <w:pPr>
        <w:pStyle w:val="style24"/>
        <w:numPr>
          <w:ilvl w:val="0"/>
          <w:numId w:val="1"/>
        </w:numPr>
        <w:spacing w:after="0" w:before="0"/>
        <w:ind w:hanging="360" w:left="1068" w:right="0"/>
        <w:contextualSpacing w:val="false"/>
      </w:pPr>
      <w:r>
        <w:rPr>
          <w:sz w:val="22"/>
          <w:szCs w:val="22"/>
        </w:rPr>
        <w:t xml:space="preserve">do § 4210 </w:t>
      </w:r>
      <w:r>
        <w:rPr>
          <w:i/>
          <w:sz w:val="22"/>
          <w:szCs w:val="22"/>
        </w:rPr>
        <w:t xml:space="preserve">Zakup materiałów i wyposażenia </w:t>
      </w:r>
      <w:r>
        <w:rPr>
          <w:sz w:val="22"/>
          <w:szCs w:val="22"/>
        </w:rPr>
        <w:t>zakwalifikowano rejestrację nowego samochodu zakupionego w ramach środków na inwestycje. Wydatek ten w kwocie 180,50 zł, zgodnie z art. 28 ust. 2 ustawy z dnia 29 września 1994 r. o</w:t>
      </w:r>
      <w:r>
        <w:rPr>
          <w:i/>
          <w:sz w:val="22"/>
          <w:szCs w:val="22"/>
        </w:rPr>
        <w:t xml:space="preserve"> rachunkowości</w:t>
      </w:r>
      <w:r>
        <w:rPr>
          <w:sz w:val="22"/>
          <w:szCs w:val="22"/>
        </w:rPr>
        <w:t xml:space="preserve"> zwiększa wartość zakupionego samochodu i winien być zakwalifikowany do </w:t>
      </w:r>
      <w:r>
        <w:rPr>
          <w:i/>
          <w:sz w:val="22"/>
          <w:szCs w:val="22"/>
        </w:rPr>
        <w:t>§ 6060 Wydatki na zakupy inwestycyjne jednostek budżetowych;</w:t>
      </w:r>
    </w:p>
    <w:p>
      <w:pPr>
        <w:pStyle w:val="style24"/>
        <w:numPr>
          <w:ilvl w:val="0"/>
          <w:numId w:val="1"/>
        </w:numPr>
        <w:spacing w:after="0" w:before="0"/>
        <w:ind w:hanging="360" w:left="1068" w:right="0"/>
        <w:contextualSpacing w:val="false"/>
      </w:pPr>
      <w:r>
        <w:rPr>
          <w:sz w:val="22"/>
          <w:szCs w:val="22"/>
        </w:rPr>
        <w:t xml:space="preserve">do § 4210 zakwalifikowano również wydatek w kwocie 520,29 zł na wykonanie tablic (ROLL SCREN) z logo firmy zamiast do § 4300 </w:t>
      </w:r>
      <w:r>
        <w:rPr>
          <w:i/>
          <w:sz w:val="22"/>
          <w:szCs w:val="22"/>
        </w:rPr>
        <w:t>Zakup usług pozostałych;</w:t>
      </w:r>
    </w:p>
    <w:p>
      <w:pPr>
        <w:pStyle w:val="style24"/>
        <w:numPr>
          <w:ilvl w:val="0"/>
          <w:numId w:val="1"/>
        </w:numPr>
        <w:spacing w:after="0" w:before="0"/>
        <w:ind w:hanging="360" w:left="1068" w:right="0"/>
        <w:contextualSpacing w:val="false"/>
      </w:pPr>
      <w:r>
        <w:rPr>
          <w:sz w:val="22"/>
          <w:szCs w:val="22"/>
        </w:rPr>
        <w:t xml:space="preserve">do § 4270 </w:t>
      </w:r>
      <w:r>
        <w:rPr>
          <w:i/>
          <w:sz w:val="22"/>
          <w:szCs w:val="22"/>
        </w:rPr>
        <w:t xml:space="preserve">Zakup usług remontowych </w:t>
      </w:r>
      <w:r>
        <w:rPr>
          <w:sz w:val="22"/>
          <w:szCs w:val="22"/>
        </w:rPr>
        <w:t>zakwalifikowano wydatek na zakup anteny do samochodu - 110,70 zł oraz montaż anteny samochodowej - 135,30 zł. Poniesiony wydatek na zakup anteny winien być zakwalifikowany do § 4210 natomiast montaż anteny samochodowej do § 4300;</w:t>
      </w:r>
    </w:p>
    <w:p>
      <w:pPr>
        <w:pStyle w:val="style24"/>
        <w:numPr>
          <w:ilvl w:val="0"/>
          <w:numId w:val="1"/>
        </w:numPr>
        <w:spacing w:after="0" w:before="0"/>
        <w:ind w:hanging="360" w:left="1068" w:right="0"/>
        <w:contextualSpacing w:val="false"/>
      </w:pPr>
      <w:r>
        <w:rPr>
          <w:sz w:val="22"/>
          <w:szCs w:val="22"/>
        </w:rPr>
        <w:t xml:space="preserve">do § 4270 zakwalifikowano również wydatek w kwocie 369 zł na przeinstalowanie mobilnych urządzeń </w:t>
      </w:r>
      <w:r>
        <w:rPr>
          <w:i/>
          <w:sz w:val="22"/>
          <w:szCs w:val="22"/>
        </w:rPr>
        <w:t>systemu</w:t>
      </w:r>
      <w:r>
        <w:rPr>
          <w:sz w:val="22"/>
          <w:szCs w:val="22"/>
        </w:rPr>
        <w:t xml:space="preserve"> w samochodach służbowych. Wydatek ten winien być zakwalifikowany do § 4300;</w:t>
      </w:r>
    </w:p>
    <w:p>
      <w:pPr>
        <w:pStyle w:val="style24"/>
        <w:numPr>
          <w:ilvl w:val="0"/>
          <w:numId w:val="1"/>
        </w:numPr>
        <w:spacing w:after="0" w:before="0"/>
        <w:ind w:hanging="360" w:left="1068" w:right="0"/>
        <w:contextualSpacing w:val="false"/>
      </w:pPr>
      <w:r>
        <w:rPr>
          <w:sz w:val="22"/>
          <w:szCs w:val="22"/>
        </w:rPr>
        <w:t>do § 4300</w:t>
      </w:r>
      <w:r>
        <w:rPr>
          <w:i/>
          <w:sz w:val="22"/>
          <w:szCs w:val="22"/>
        </w:rPr>
        <w:t xml:space="preserve"> Zakup usług pozostałych </w:t>
      </w:r>
      <w:r>
        <w:rPr>
          <w:sz w:val="22"/>
          <w:szCs w:val="22"/>
        </w:rPr>
        <w:t>zakwalifikowano wydatek w kwocie 61,50 zł na zakup druków. Wydatek ten winien być zakwalifikowany do § 4210;</w:t>
      </w:r>
    </w:p>
    <w:p>
      <w:pPr>
        <w:pStyle w:val="style24"/>
        <w:numPr>
          <w:ilvl w:val="0"/>
          <w:numId w:val="1"/>
        </w:numPr>
        <w:spacing w:after="0" w:before="0"/>
        <w:ind w:hanging="360" w:left="1068" w:right="0"/>
        <w:contextualSpacing w:val="false"/>
      </w:pPr>
      <w:r>
        <w:rPr>
          <w:sz w:val="22"/>
          <w:szCs w:val="22"/>
        </w:rPr>
        <w:t>do § 4300 zakwalifikowano również rejestrację nowego samochodu zakupionego ze środków na inwestycje. Zgodnie z art. 28 ust. 2 ustawy z dnia 29 września 1994 r. o </w:t>
      </w:r>
      <w:r>
        <w:rPr>
          <w:i/>
          <w:sz w:val="22"/>
          <w:szCs w:val="22"/>
        </w:rPr>
        <w:t>rachunkowości</w:t>
      </w:r>
      <w:r>
        <w:rPr>
          <w:sz w:val="22"/>
          <w:szCs w:val="22"/>
        </w:rPr>
        <w:t xml:space="preserve"> cena nabycia, to cena zakupu składnika aktywów, powiększona o koszty bezpośrednio związane z zakupem i przystosowaniem składnika aktywów do stanu zdatnego do używania. Zatem wydatek w kwocie 180,50 zł powinien być zaliczony na zwiększenie wartości zakupionego samochodu i winien być zakwalifikowany do </w:t>
      </w:r>
      <w:r>
        <w:rPr>
          <w:i/>
          <w:sz w:val="22"/>
          <w:szCs w:val="22"/>
        </w:rPr>
        <w:t>§ 6060 Wydatki na zakupy inwestycyjne jednostek budżetowych.</w:t>
      </w:r>
      <w:r>
        <w:rPr>
          <w:sz w:val="22"/>
          <w:szCs w:val="22"/>
        </w:rPr>
        <w:t xml:space="preserve"> </w:t>
      </w:r>
    </w:p>
    <w:p>
      <w:pPr>
        <w:pStyle w:val="style24"/>
        <w:spacing w:after="0" w:before="0"/>
        <w:contextualSpacing w:val="false"/>
      </w:pPr>
      <w:r>
        <w:rPr/>
      </w:r>
    </w:p>
    <w:p>
      <w:pPr>
        <w:pStyle w:val="style24"/>
        <w:spacing w:after="0" w:before="0"/>
        <w:ind w:firstLine="709" w:left="0" w:right="0"/>
        <w:contextualSpacing w:val="false"/>
      </w:pPr>
      <w:r>
        <w:rPr>
          <w:sz w:val="22"/>
          <w:szCs w:val="22"/>
        </w:rPr>
        <w:t xml:space="preserve">W celu wyeliminowania stwierdzonych nieprawidłowości zalecam realizację następujących zaleceń pokontrolnych: </w:t>
      </w:r>
    </w:p>
    <w:p>
      <w:pPr>
        <w:pStyle w:val="style24"/>
        <w:spacing w:after="0" w:before="0"/>
        <w:contextualSpacing w:val="false"/>
      </w:pPr>
      <w:r>
        <w:rPr/>
      </w:r>
    </w:p>
    <w:p>
      <w:pPr>
        <w:pStyle w:val="style28"/>
        <w:numPr>
          <w:ilvl w:val="0"/>
          <w:numId w:val="2"/>
        </w:numPr>
        <w:spacing w:after="0" w:before="0"/>
        <w:contextualSpacing w:val="false"/>
        <w:jc w:val="both"/>
      </w:pPr>
      <w:r>
        <w:rPr>
          <w:sz w:val="22"/>
          <w:szCs w:val="22"/>
        </w:rPr>
        <w:t xml:space="preserve">Wydatki klasyfikować zgodnie z rozporządzeniem Ministra Finansów z dnia 2 marca 2010 r. </w:t>
      </w:r>
      <w:r>
        <w:rPr>
          <w:i/>
          <w:sz w:val="22"/>
          <w:szCs w:val="22"/>
        </w:rPr>
        <w:t xml:space="preserve">w sprawie szczegółowej klasyfikacji dochodów, wydatków, przychodów i rozchodów oraz środków pochodzących ze źródeł zagranicznych </w:t>
      </w:r>
      <w:r>
        <w:rPr>
          <w:sz w:val="22"/>
          <w:szCs w:val="22"/>
        </w:rPr>
        <w:t xml:space="preserve">(Dz. U. Nr 38, poz. 207 ze zm.), w szczególności do § 4230 </w:t>
      </w:r>
      <w:r>
        <w:rPr>
          <w:i/>
          <w:sz w:val="22"/>
          <w:szCs w:val="22"/>
        </w:rPr>
        <w:t>Zakup leków, wyrobów medycznych i produktów biobójczych</w:t>
      </w:r>
      <w:r>
        <w:rPr>
          <w:sz w:val="22"/>
          <w:szCs w:val="22"/>
        </w:rPr>
        <w:t xml:space="preserve"> kwalifikować wydatki na zakup środków opatrunkowych, do § 4300 </w:t>
      </w:r>
      <w:r>
        <w:rPr>
          <w:i/>
          <w:sz w:val="22"/>
          <w:szCs w:val="22"/>
        </w:rPr>
        <w:t>Zakup usług pozostałych</w:t>
      </w:r>
      <w:r>
        <w:rPr>
          <w:sz w:val="22"/>
          <w:szCs w:val="22"/>
        </w:rPr>
        <w:t xml:space="preserve"> kwalifikować wydatki na nadzór elektroniczny oraz na wykonanie pieczątek, do § 4270 </w:t>
      </w:r>
      <w:r>
        <w:rPr>
          <w:i/>
          <w:sz w:val="22"/>
          <w:szCs w:val="22"/>
        </w:rPr>
        <w:t>Zakup usług remontowych</w:t>
      </w:r>
      <w:r>
        <w:rPr>
          <w:sz w:val="22"/>
          <w:szCs w:val="22"/>
        </w:rPr>
        <w:t xml:space="preserve"> kwalifikować wydatki na naprawy sprzętu biurowego, natomiast do </w:t>
      </w:r>
      <w:r>
        <w:rPr>
          <w:i/>
          <w:sz w:val="22"/>
          <w:szCs w:val="22"/>
        </w:rPr>
        <w:t>§ 6060 Wydatki na zakupy inwestycyjne jednostek budżetowych</w:t>
      </w:r>
      <w:r>
        <w:rPr>
          <w:sz w:val="22"/>
          <w:szCs w:val="22"/>
        </w:rPr>
        <w:t xml:space="preserve"> kwalifikować wszystkie wydatki bezpośrednio związane z zakupem i przystosowaniem składnika aktywów do stanu zdatnego do używania, zgodnie z treścią art. 28 ust. 2 ustawy z dnia 29 września 1994 r. o </w:t>
      </w:r>
      <w:r>
        <w:rPr>
          <w:i/>
          <w:sz w:val="22"/>
          <w:szCs w:val="22"/>
        </w:rPr>
        <w:t>rachunkowości</w:t>
      </w:r>
      <w:r>
        <w:rPr>
          <w:sz w:val="22"/>
          <w:szCs w:val="22"/>
        </w:rPr>
        <w:t>.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24"/>
        <w:spacing w:after="0" w:before="0"/>
        <w:ind w:firstLine="708" w:left="0" w:right="0"/>
        <w:contextualSpacing w:val="false"/>
      </w:pPr>
      <w:r>
        <w:rPr>
          <w:sz w:val="22"/>
          <w:szCs w:val="22"/>
        </w:rPr>
        <w:t>Pisemną informację o sposobie realizacji zalecenia lub o działaniach podjętych w celu jego realizacji bądź o przyczynach nie podjęcia takich działań należy przedłożyć Prezydentowi Miasta Legnicy w terminie 30 dni daty otrzymania niniejszego zawiadomienia.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ind w:hanging="0" w:left="4248" w:right="0"/>
        <w:contextualSpacing w:val="false"/>
        <w:jc w:val="center"/>
      </w:pPr>
      <w:r>
        <w:rPr>
          <w:sz w:val="22"/>
          <w:szCs w:val="22"/>
        </w:rPr>
        <w:t>Prezydent Miasta Legnicy</w:t>
      </w:r>
    </w:p>
    <w:p>
      <w:pPr>
        <w:pStyle w:val="style0"/>
        <w:spacing w:after="0" w:before="0"/>
        <w:ind w:hanging="0" w:left="4248" w:right="0"/>
        <w:contextualSpacing w:val="false"/>
        <w:jc w:val="center"/>
      </w:pPr>
      <w:r>
        <w:rPr>
          <w:sz w:val="22"/>
          <w:szCs w:val="22"/>
        </w:rPr>
        <w:t>Tadeusz Krzakowski</w:t>
      </w:r>
    </w:p>
    <w:sectPr>
      <w:type w:val="nextPage"/>
      <w:pgSz w:h="16838" w:w="11906"/>
      <w:pgMar w:bottom="1418" w:footer="0" w:gutter="0" w:header="0" w:left="1418" w:right="1418" w:top="1418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NimbusRomNo9LEE-Regu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ind w:hanging="360" w:left="1068"/>
      </w:pPr>
      <w:rPr>
        <w:rFonts w:ascii="Symbol" w:cs="Symbol" w:hAnsi="Symbol" w:hint="default"/>
      </w:r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1068"/>
      </w:pPr>
      <w:rPr>
        <w:rFonts w:ascii="Symbol" w:cs="Symbol" w:hAnsi="Symbol" w:hint="default"/>
      </w:r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podstawowy Znak"/>
    <w:basedOn w:val="style15"/>
    <w:next w:val="style16"/>
    <w:rPr>
      <w:sz w:val="24"/>
      <w:szCs w:val="24"/>
    </w:rPr>
  </w:style>
  <w:style w:styleId="style17" w:type="character">
    <w:name w:val="Tekst podstawowy wcięty Znak"/>
    <w:basedOn w:val="style15"/>
    <w:next w:val="style17"/>
    <w:rPr>
      <w:rFonts w:eastAsia="Calibri"/>
      <w:sz w:val="24"/>
      <w:szCs w:val="24"/>
    </w:rPr>
  </w:style>
  <w:style w:styleId="style18" w:type="character">
    <w:name w:val="Tekst podstawowy 2 Znak"/>
    <w:basedOn w:val="style15"/>
    <w:next w:val="style18"/>
    <w:rPr>
      <w:sz w:val="24"/>
      <w:szCs w:val="24"/>
    </w:rPr>
  </w:style>
  <w:style w:styleId="style19" w:type="character">
    <w:name w:val="ListLabel 1"/>
    <w:next w:val="style19"/>
    <w:rPr>
      <w:rFonts w:cs="Symbol"/>
    </w:rPr>
  </w:style>
  <w:style w:styleId="style20" w:type="character">
    <w:name w:val="ListLabel 2"/>
    <w:next w:val="style20"/>
    <w:rPr>
      <w:rFonts w:cs="Symbol"/>
    </w:rPr>
  </w:style>
  <w:style w:styleId="style21" w:type="character">
    <w:name w:val="ListLabel 3"/>
    <w:next w:val="style21"/>
    <w:rPr>
      <w:rFonts w:cs="Symbol"/>
    </w:rPr>
  </w:style>
  <w:style w:styleId="style22" w:type="character">
    <w:name w:val="ListLabel 4"/>
    <w:next w:val="style22"/>
    <w:rPr>
      <w:rFonts w:cs="Symbol"/>
    </w:rPr>
  </w:style>
  <w:style w:styleId="style23" w:type="paragraph">
    <w:name w:val="Nagłówek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Treść tekstu"/>
    <w:basedOn w:val="style0"/>
    <w:next w:val="style24"/>
    <w:pPr>
      <w:spacing w:after="120" w:before="0"/>
      <w:contextualSpacing w:val="false"/>
      <w:jc w:val="both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Podpis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eks"/>
    <w:basedOn w:val="style0"/>
    <w:next w:val="style27"/>
    <w:pPr>
      <w:suppressLineNumbers/>
    </w:pPr>
    <w:rPr>
      <w:rFonts w:cs="Mangal"/>
    </w:rPr>
  </w:style>
  <w:style w:styleId="style28" w:type="paragraph">
    <w:name w:val="Wcięcie treści tekstu"/>
    <w:basedOn w:val="style0"/>
    <w:next w:val="style28"/>
    <w:pPr>
      <w:spacing w:after="120" w:before="0"/>
      <w:ind w:hanging="0" w:left="283" w:right="0"/>
      <w:contextualSpacing w:val="false"/>
    </w:pPr>
    <w:rPr>
      <w:rFonts w:eastAsia="Calibri"/>
    </w:rPr>
  </w:style>
  <w:style w:styleId="style29" w:type="paragraph">
    <w:name w:val="Body Text 2"/>
    <w:basedOn w:val="style0"/>
    <w:next w:val="style29"/>
    <w:pPr>
      <w:spacing w:after="120" w:before="0" w:line="480" w:lineRule="auto"/>
      <w:contextualSpacing w:val="false"/>
    </w:pPr>
    <w:rPr/>
  </w:style>
  <w:style w:styleId="style30" w:type="paragraph">
    <w:name w:val="List Paragraph"/>
    <w:basedOn w:val="style0"/>
    <w:next w:val="style30"/>
    <w:pPr>
      <w:ind w:hanging="0" w:left="708" w:right="0"/>
    </w:pPr>
    <w:rPr/>
  </w:style>
  <w:style w:styleId="style31" w:type="paragraph">
    <w:name w:val="Domyślnie"/>
    <w:next w:val="style31"/>
    <w:pPr>
      <w:widowControl w:val="false"/>
      <w:tabs>
        <w:tab w:leader="none" w:pos="2850" w:val="left"/>
      </w:tabs>
      <w:suppressAutoHyphens w:val="true"/>
      <w:jc w:val="both"/>
    </w:pPr>
    <w:rPr>
      <w:rFonts w:ascii="Times New Roman" w:cs="Times New Roman" w:eastAsia="Times New Roman" w:hAnsi="Times New Roman"/>
      <w:bCs/>
      <w:color w:val="00000A"/>
      <w:sz w:val="24"/>
      <w:szCs w:val="20"/>
      <w:lang w:bidi="ar-SA" w:eastAsia="pl-PL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2015-01-22T11:59:00.00Z</dcterms:created>
  <dc:creator>gkaczmarek</dc:creator>
  <cp:lastModifiedBy>gkaczmarek</cp:lastModifiedBy>
  <dcterms:modified xsi:type="dcterms:W3CDTF">2015-01-23T11:12:00.00Z</dcterms:modified>
  <cp:revision>5</cp:revision>
</cp:coreProperties>
</file>